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160"/>
        <w:gridCol w:w="8910"/>
      </w:tblGrid>
      <w:tr w:rsidR="008C6EDC" w14:paraId="57AA87B5" w14:textId="77777777" w:rsidTr="00D120DB">
        <w:trPr>
          <w:cantSplit/>
          <w:tblHeader/>
        </w:trPr>
        <w:tc>
          <w:tcPr>
            <w:tcW w:w="11070" w:type="dxa"/>
            <w:gridSpan w:val="2"/>
            <w:tcBorders>
              <w:bottom w:val="single" w:sz="18" w:space="0" w:color="A6A6A6" w:themeColor="background1" w:themeShade="A6"/>
            </w:tcBorders>
          </w:tcPr>
          <w:p w14:paraId="57AA87B3" w14:textId="77777777" w:rsidR="008C6EDC" w:rsidRDefault="00B0339F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b/>
                <w:bCs/>
                <w:color w:val="0000FF"/>
                <w:sz w:val="36"/>
              </w:rPr>
            </w:pPr>
            <w:r>
              <w:rPr>
                <w:rFonts w:cs="Arial"/>
                <w:b/>
                <w:bCs/>
                <w:color w:val="0000FF"/>
                <w:sz w:val="36"/>
              </w:rPr>
              <w:t>Hepatitis B Surface Antibody (AUSAB)</w:t>
            </w:r>
          </w:p>
          <w:p w14:paraId="57AA87B4" w14:textId="77777777" w:rsidR="008C6EDC" w:rsidRDefault="008C6EDC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color w:val="0000FF"/>
              </w:rPr>
            </w:pPr>
          </w:p>
        </w:tc>
      </w:tr>
      <w:tr w:rsidR="008C6EDC" w14:paraId="57AA87BB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7B6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57AA87B7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Purpose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7B8" w14:textId="77777777" w:rsidR="002F385E" w:rsidRDefault="002F385E" w:rsidP="008C6EDC">
            <w:pPr>
              <w:jc w:val="both"/>
              <w:rPr>
                <w:rFonts w:cs="Arial"/>
              </w:rPr>
            </w:pPr>
          </w:p>
          <w:p w14:paraId="668A394C" w14:textId="639CCB01" w:rsidR="00D14A32" w:rsidRPr="00D14A32" w:rsidRDefault="002F385E" w:rsidP="00D14A3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This procedure provides instructions for performing </w:t>
            </w:r>
            <w:r w:rsidR="00B0339F">
              <w:rPr>
                <w:rFonts w:cs="Arial"/>
              </w:rPr>
              <w:t>HEPATITIS B SURFACE ANTIBODY</w:t>
            </w:r>
            <w:r w:rsidR="00D14A32">
              <w:rPr>
                <w:rFonts w:cs="Arial"/>
              </w:rPr>
              <w:t xml:space="preserve"> on the Abbott Alinity ci</w:t>
            </w:r>
            <w:r w:rsidR="00B0339F">
              <w:rPr>
                <w:rFonts w:cs="Arial"/>
              </w:rPr>
              <w:t>.</w:t>
            </w:r>
            <w:r w:rsidR="00D14A32">
              <w:rPr>
                <w:rFonts w:cs="Arial"/>
              </w:rPr>
              <w:t xml:space="preserve">  </w:t>
            </w:r>
            <w:r w:rsidR="00D14A32" w:rsidRPr="00D14A32">
              <w:rPr>
                <w:rFonts w:cs="Arial"/>
              </w:rPr>
              <w:t>The Alinity i Anti-HBs assay is a chemiluminescent mi</w:t>
            </w:r>
            <w:r w:rsidR="00D14A32">
              <w:rPr>
                <w:rFonts w:cs="Arial"/>
              </w:rPr>
              <w:t xml:space="preserve">croparticle </w:t>
            </w:r>
            <w:r w:rsidR="00D14A32" w:rsidRPr="00D14A32">
              <w:rPr>
                <w:rFonts w:cs="Arial"/>
              </w:rPr>
              <w:t>immunoassay (CMIA) used for th</w:t>
            </w:r>
            <w:r w:rsidR="00D14A32">
              <w:rPr>
                <w:rFonts w:cs="Arial"/>
              </w:rPr>
              <w:t xml:space="preserve">e quantitative determination of </w:t>
            </w:r>
            <w:r w:rsidR="00D14A32" w:rsidRPr="00D14A32">
              <w:rPr>
                <w:rFonts w:cs="Arial"/>
              </w:rPr>
              <w:t>antibody to hepatitis B surface antige</w:t>
            </w:r>
            <w:r w:rsidR="00D14A32">
              <w:rPr>
                <w:rFonts w:cs="Arial"/>
              </w:rPr>
              <w:t xml:space="preserve">n (anti-HBs) in human adult and </w:t>
            </w:r>
            <w:r w:rsidR="00D14A32" w:rsidRPr="00D14A32">
              <w:rPr>
                <w:rFonts w:cs="Arial"/>
              </w:rPr>
              <w:t>pediatric serum and plasma (dipotassium EDTA, lithium heparin, and</w:t>
            </w:r>
          </w:p>
          <w:p w14:paraId="57AA87B9" w14:textId="71C78C96" w:rsidR="008C6EDC" w:rsidRPr="00D14A32" w:rsidRDefault="00D14A32" w:rsidP="00D14A32">
            <w:pPr>
              <w:jc w:val="both"/>
              <w:rPr>
                <w:rFonts w:cs="Arial"/>
              </w:rPr>
            </w:pPr>
            <w:r w:rsidRPr="00D14A32">
              <w:rPr>
                <w:rFonts w:cs="Arial"/>
              </w:rPr>
              <w:t>sodium heparin) and neonatal serum on the Ali</w:t>
            </w:r>
            <w:r>
              <w:rPr>
                <w:rFonts w:cs="Arial"/>
              </w:rPr>
              <w:t xml:space="preserve">nity i analyzer. </w:t>
            </w:r>
            <w:r w:rsidRPr="00D14A32">
              <w:rPr>
                <w:rFonts w:cs="Arial"/>
              </w:rPr>
              <w:t>It is intended for quantitative m</w:t>
            </w:r>
            <w:r>
              <w:rPr>
                <w:rFonts w:cs="Arial"/>
              </w:rPr>
              <w:t xml:space="preserve">easurement of antibody response </w:t>
            </w:r>
            <w:r w:rsidRPr="00D14A32">
              <w:rPr>
                <w:rFonts w:cs="Arial"/>
              </w:rPr>
              <w:t>following hepatitis B virus (HBV) va</w:t>
            </w:r>
            <w:r>
              <w:rPr>
                <w:rFonts w:cs="Arial"/>
              </w:rPr>
              <w:t xml:space="preserve">ccination, determination of HBV </w:t>
            </w:r>
            <w:r w:rsidRPr="00D14A32">
              <w:rPr>
                <w:rFonts w:cs="Arial"/>
              </w:rPr>
              <w:t>immune status, and for the labo</w:t>
            </w:r>
            <w:r>
              <w:rPr>
                <w:rFonts w:cs="Arial"/>
              </w:rPr>
              <w:t xml:space="preserve">ratory diagnosis of HBV disease </w:t>
            </w:r>
            <w:r w:rsidRPr="00D14A32">
              <w:rPr>
                <w:rFonts w:cs="Arial"/>
              </w:rPr>
              <w:t>associated with HBV infection when</w:t>
            </w:r>
            <w:r>
              <w:rPr>
                <w:rFonts w:cs="Arial"/>
              </w:rPr>
              <w:t xml:space="preserve"> used in conjunction with other </w:t>
            </w:r>
            <w:r w:rsidRPr="00D14A32">
              <w:rPr>
                <w:rFonts w:cs="Arial"/>
              </w:rPr>
              <w:t>laboratory results and clinical information.</w:t>
            </w:r>
          </w:p>
          <w:p w14:paraId="57AA87BA" w14:textId="77777777" w:rsidR="008C6EDC" w:rsidRPr="008634BF" w:rsidRDefault="008C6EDC" w:rsidP="00D020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</w:tr>
      <w:tr w:rsidR="008C6EDC" w14:paraId="57AA87BF" w14:textId="77777777" w:rsidTr="00D120DB">
        <w:trPr>
          <w:trHeight w:val="93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7BC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</w:p>
          <w:p w14:paraId="57AA87BD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Policy Statements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7BE" w14:textId="28D9C519" w:rsidR="008C6EDC" w:rsidRPr="001246C0" w:rsidRDefault="001B1C87" w:rsidP="00253C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15"/>
              </w:rPr>
              <w:t xml:space="preserve">This procedure applies to all personnel responsible for performing testing on the </w:t>
            </w:r>
            <w:r w:rsidR="00D14A32">
              <w:rPr>
                <w:rFonts w:cs="Arial"/>
                <w:szCs w:val="20"/>
              </w:rPr>
              <w:t>Abbott Alinity ci.</w:t>
            </w:r>
          </w:p>
        </w:tc>
      </w:tr>
      <w:tr w:rsidR="008C6EDC" w14:paraId="57AA87C6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7C0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57AA87C1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Principle</w:t>
            </w:r>
          </w:p>
          <w:p w14:paraId="57AA87C2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7C3" w14:textId="77777777" w:rsidR="001B1C87" w:rsidRDefault="001B1C87" w:rsidP="002F385E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08B61679" w14:textId="4A0D0F4D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D14A32">
              <w:rPr>
                <w:rFonts w:eastAsia="HelenPro-Regular"/>
              </w:rPr>
              <w:t>This assay is a two-step i</w:t>
            </w:r>
            <w:r>
              <w:rPr>
                <w:rFonts w:eastAsia="HelenPro-Regular"/>
              </w:rPr>
              <w:t xml:space="preserve">mmunoassay for the quantitative </w:t>
            </w:r>
            <w:r w:rsidRPr="00D14A32">
              <w:rPr>
                <w:rFonts w:eastAsia="HelenPro-Regular"/>
              </w:rPr>
              <w:t xml:space="preserve">determination of anti-HBs </w:t>
            </w:r>
            <w:r>
              <w:rPr>
                <w:rFonts w:eastAsia="HelenPro-Regular"/>
              </w:rPr>
              <w:t xml:space="preserve">in human serum and plasma using </w:t>
            </w:r>
            <w:r w:rsidRPr="00D14A32">
              <w:rPr>
                <w:rFonts w:eastAsia="HelenPro-Regular"/>
              </w:rPr>
              <w:t>chemiluminescent microparticle immunoassay (CMIA) technology.</w:t>
            </w:r>
          </w:p>
          <w:p w14:paraId="554EC1D7" w14:textId="353121BF" w:rsid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D14A32">
              <w:rPr>
                <w:rFonts w:eastAsia="HelenPro-Regular"/>
              </w:rPr>
              <w:t>Sample and recombinant HBs</w:t>
            </w:r>
            <w:r>
              <w:rPr>
                <w:rFonts w:eastAsia="HelenPro-Regular"/>
              </w:rPr>
              <w:t xml:space="preserve">Ag (rHBsAg) coated paramagnetic </w:t>
            </w:r>
            <w:r w:rsidRPr="00D14A32">
              <w:rPr>
                <w:rFonts w:eastAsia="HelenPro-Regular"/>
              </w:rPr>
              <w:t>microparticles are combined and inc</w:t>
            </w:r>
            <w:r>
              <w:rPr>
                <w:rFonts w:eastAsia="HelenPro-Regular"/>
              </w:rPr>
              <w:t xml:space="preserve">ubated. The anti-HBs present in </w:t>
            </w:r>
            <w:r w:rsidRPr="00D14A32">
              <w:rPr>
                <w:rFonts w:eastAsia="HelenPro-Regular"/>
              </w:rPr>
              <w:t>the sample binds to the rHBsAg coa</w:t>
            </w:r>
            <w:r>
              <w:rPr>
                <w:rFonts w:eastAsia="HelenPro-Regular"/>
              </w:rPr>
              <w:t xml:space="preserve">ted microparticles. The mixture </w:t>
            </w:r>
            <w:r w:rsidRPr="00D14A32">
              <w:rPr>
                <w:rFonts w:eastAsia="HelenPro-Regular"/>
              </w:rPr>
              <w:t xml:space="preserve">is washed. Recombinant HBsAg </w:t>
            </w:r>
            <w:r>
              <w:rPr>
                <w:rFonts w:eastAsia="HelenPro-Regular"/>
              </w:rPr>
              <w:t xml:space="preserve">acridinium-labeled conjugate is </w:t>
            </w:r>
            <w:r w:rsidRPr="00D14A32">
              <w:rPr>
                <w:rFonts w:eastAsia="HelenPro-Regular"/>
              </w:rPr>
              <w:t xml:space="preserve">added to create a reaction mixture </w:t>
            </w:r>
            <w:r>
              <w:rPr>
                <w:rFonts w:eastAsia="HelenPro-Regular"/>
              </w:rPr>
              <w:t xml:space="preserve">and incubated. Following a wash </w:t>
            </w:r>
            <w:r w:rsidRPr="00D14A32">
              <w:rPr>
                <w:rFonts w:eastAsia="HelenPro-Regular"/>
              </w:rPr>
              <w:t>cycle, Pre-Trigger and Trigger Solutions are added.</w:t>
            </w:r>
          </w:p>
          <w:p w14:paraId="2BC4E5FC" w14:textId="77777777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6F63835F" w14:textId="0FAC6C0F" w:rsid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D14A32">
              <w:rPr>
                <w:rFonts w:eastAsia="HelenPro-Regular"/>
              </w:rPr>
              <w:t>The resulting chemiluminescent reactio</w:t>
            </w:r>
            <w:r>
              <w:rPr>
                <w:rFonts w:eastAsia="HelenPro-Regular"/>
              </w:rPr>
              <w:t xml:space="preserve">n is measured as relative light </w:t>
            </w:r>
            <w:r w:rsidRPr="00D14A32">
              <w:rPr>
                <w:rFonts w:eastAsia="HelenPro-Regular"/>
              </w:rPr>
              <w:t>units (RLUs). There is a direct rel</w:t>
            </w:r>
            <w:r>
              <w:rPr>
                <w:rFonts w:eastAsia="HelenPro-Regular"/>
              </w:rPr>
              <w:t xml:space="preserve">ationship between the amount of </w:t>
            </w:r>
            <w:r w:rsidRPr="00D14A32">
              <w:rPr>
                <w:rFonts w:eastAsia="HelenPro-Regular"/>
              </w:rPr>
              <w:t>anti-HBs in the sample and the RLUs</w:t>
            </w:r>
            <w:r>
              <w:rPr>
                <w:rFonts w:eastAsia="HelenPro-Regular"/>
              </w:rPr>
              <w:t xml:space="preserve"> detected by the system optics. </w:t>
            </w:r>
            <w:r w:rsidRPr="00D14A32">
              <w:rPr>
                <w:rFonts w:eastAsia="HelenPro-Regular"/>
              </w:rPr>
              <w:t>The concentration of anti-HBs in t</w:t>
            </w:r>
            <w:r>
              <w:rPr>
                <w:rFonts w:eastAsia="HelenPro-Regular"/>
              </w:rPr>
              <w:t xml:space="preserve">he specimen is determined using </w:t>
            </w:r>
            <w:r w:rsidRPr="00D14A32">
              <w:rPr>
                <w:rFonts w:eastAsia="HelenPro-Regular"/>
              </w:rPr>
              <w:t>an active Alinity i Anti-HBs calibration curve.</w:t>
            </w:r>
          </w:p>
          <w:p w14:paraId="64BA4434" w14:textId="77777777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3BB7ABD8" w14:textId="77777777" w:rsidR="00B0339F" w:rsidRDefault="00D14A32" w:rsidP="00D14A3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14A32">
              <w:rPr>
                <w:rFonts w:eastAsia="HelenPro-Regular"/>
              </w:rPr>
              <w:t>For additional information on system</w:t>
            </w:r>
            <w:r>
              <w:rPr>
                <w:rFonts w:eastAsia="HelenPro-Regular"/>
              </w:rPr>
              <w:t xml:space="preserve"> and assay technology, refer to </w:t>
            </w:r>
            <w:r w:rsidRPr="00D14A32">
              <w:rPr>
                <w:rFonts w:eastAsia="HelenPro-Regular"/>
              </w:rPr>
              <w:t>the Alinity ci-series Operations Manual, Section 3.</w:t>
            </w:r>
            <w:r w:rsidRPr="00D14A32">
              <w:rPr>
                <w:rFonts w:eastAsia="HelenPro-Regular" w:cs="Arial"/>
                <w:szCs w:val="20"/>
              </w:rPr>
              <w:t xml:space="preserve"> </w:t>
            </w:r>
          </w:p>
          <w:p w14:paraId="57AA87C5" w14:textId="347947D1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</w:tc>
      </w:tr>
      <w:tr w:rsidR="008C6EDC" w14:paraId="57AA87CF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7C7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57AA87C8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Clinical Significance</w:t>
            </w:r>
          </w:p>
          <w:p w14:paraId="57AA87C9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7CA" w14:textId="77777777" w:rsidR="001B1C87" w:rsidRDefault="001B1C87" w:rsidP="001B1C87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612EDEE3" w14:textId="52DD2D72" w:rsid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D14A32">
              <w:rPr>
                <w:rFonts w:eastAsia="HelenPro-Regular"/>
              </w:rPr>
              <w:t>The Alinity i Anti-HBs assay determ</w:t>
            </w:r>
            <w:r>
              <w:rPr>
                <w:rFonts w:eastAsia="HelenPro-Regular"/>
              </w:rPr>
              <w:t xml:space="preserve">ines the concentration of anti- </w:t>
            </w:r>
            <w:r w:rsidRPr="00D14A32">
              <w:rPr>
                <w:rFonts w:eastAsia="HelenPro-Regular"/>
              </w:rPr>
              <w:t>HBs present in human serum and plasma.</w:t>
            </w:r>
          </w:p>
          <w:p w14:paraId="2B0835FD" w14:textId="77777777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32E0A561" w14:textId="5BB076C6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D14A32">
              <w:rPr>
                <w:rFonts w:eastAsia="HelenPro-Regular"/>
              </w:rPr>
              <w:t>HBV is a major cause of liver disease and is endemic</w:t>
            </w:r>
            <w:r>
              <w:rPr>
                <w:rFonts w:eastAsia="HelenPro-Regular"/>
              </w:rPr>
              <w:t xml:space="preserve"> worldwide. </w:t>
            </w:r>
            <w:r w:rsidRPr="00D14A32">
              <w:rPr>
                <w:rFonts w:eastAsia="HelenPro-Regular"/>
              </w:rPr>
              <w:t>The virus can be transmitted throug</w:t>
            </w:r>
            <w:r>
              <w:rPr>
                <w:rFonts w:eastAsia="HelenPro-Regular"/>
              </w:rPr>
              <w:t xml:space="preserve">h direct contact with blood and </w:t>
            </w:r>
            <w:r w:rsidRPr="00D14A32">
              <w:rPr>
                <w:rFonts w:eastAsia="HelenPro-Regular"/>
              </w:rPr>
              <w:t>body fluids including sexual contact</w:t>
            </w:r>
            <w:r>
              <w:rPr>
                <w:rFonts w:eastAsia="HelenPro-Regular"/>
              </w:rPr>
              <w:t xml:space="preserve">. The incubation period for HBV </w:t>
            </w:r>
            <w:r w:rsidRPr="00D14A32">
              <w:rPr>
                <w:rFonts w:eastAsia="HelenPro-Regular"/>
              </w:rPr>
              <w:t>infection can range from 1 to 6</w:t>
            </w:r>
            <w:r>
              <w:rPr>
                <w:rFonts w:eastAsia="HelenPro-Regular"/>
              </w:rPr>
              <w:t xml:space="preserve"> months averaging around 6 to 8 </w:t>
            </w:r>
            <w:r w:rsidRPr="00D14A32">
              <w:rPr>
                <w:rFonts w:eastAsia="HelenPro-Regular"/>
              </w:rPr>
              <w:t>weeks. Typical acute clinical sy</w:t>
            </w:r>
            <w:r>
              <w:rPr>
                <w:rFonts w:eastAsia="HelenPro-Regular"/>
              </w:rPr>
              <w:t xml:space="preserve">mptoms of HBV hepatitis include </w:t>
            </w:r>
            <w:r w:rsidRPr="00D14A32">
              <w:rPr>
                <w:rFonts w:eastAsia="HelenPro-Regular"/>
              </w:rPr>
              <w:t>malaise, jaundice, gastroenteritis, an</w:t>
            </w:r>
            <w:r>
              <w:rPr>
                <w:rFonts w:eastAsia="HelenPro-Regular"/>
              </w:rPr>
              <w:t xml:space="preserve">d fever. However, HBV infection </w:t>
            </w:r>
            <w:r w:rsidRPr="00D14A32">
              <w:rPr>
                <w:rFonts w:eastAsia="HelenPro-Regular"/>
              </w:rPr>
              <w:t xml:space="preserve">can also result in subclinical anicteric </w:t>
            </w:r>
            <w:r>
              <w:rPr>
                <w:rFonts w:eastAsia="HelenPro-Regular"/>
              </w:rPr>
              <w:t xml:space="preserve">hepatitis, fulminant hepatitis, </w:t>
            </w:r>
            <w:r w:rsidRPr="00D14A32">
              <w:rPr>
                <w:rFonts w:eastAsia="HelenPro-Regular"/>
              </w:rPr>
              <w:t>or chronic or persistent hepatitis. Although most</w:t>
            </w:r>
            <w:r>
              <w:rPr>
                <w:rFonts w:eastAsia="HelenPro-Regular"/>
              </w:rPr>
              <w:t xml:space="preserve"> adult patients with </w:t>
            </w:r>
            <w:r w:rsidRPr="00D14A32">
              <w:rPr>
                <w:rFonts w:eastAsia="HelenPro-Regular"/>
              </w:rPr>
              <w:t>HBV infection completely recover f</w:t>
            </w:r>
            <w:r>
              <w:rPr>
                <w:rFonts w:eastAsia="HelenPro-Regular"/>
              </w:rPr>
              <w:t xml:space="preserve">rom acute illness and clear the </w:t>
            </w:r>
            <w:r w:rsidRPr="00D14A32">
              <w:rPr>
                <w:rFonts w:eastAsia="HelenPro-Regular"/>
              </w:rPr>
              <w:t>virus, 5 to 10% of patients with HBV may become chronic carriers.</w:t>
            </w:r>
          </w:p>
          <w:p w14:paraId="5EACA7EA" w14:textId="421E80D2" w:rsid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D14A32">
              <w:rPr>
                <w:rFonts w:eastAsia="HelenPro-Regular"/>
              </w:rPr>
              <w:t>It is estimated that over 300 milli</w:t>
            </w:r>
            <w:r>
              <w:rPr>
                <w:rFonts w:eastAsia="HelenPro-Regular"/>
              </w:rPr>
              <w:t xml:space="preserve">on people worldwide are chronic </w:t>
            </w:r>
            <w:r w:rsidRPr="00D14A32">
              <w:rPr>
                <w:rFonts w:eastAsia="HelenPro-Regular"/>
              </w:rPr>
              <w:t>carriers of the virus. Chronic HBV i</w:t>
            </w:r>
            <w:r>
              <w:rPr>
                <w:rFonts w:eastAsia="HelenPro-Regular"/>
              </w:rPr>
              <w:t xml:space="preserve">nfection is associated with the </w:t>
            </w:r>
            <w:r w:rsidRPr="00D14A32">
              <w:rPr>
                <w:rFonts w:eastAsia="HelenPro-Regular"/>
              </w:rPr>
              <w:t>development of hepatocellular carci</w:t>
            </w:r>
            <w:r>
              <w:rPr>
                <w:rFonts w:eastAsia="HelenPro-Regular"/>
              </w:rPr>
              <w:t xml:space="preserve">noma. In HBV infected neonates, </w:t>
            </w:r>
            <w:r w:rsidRPr="00D14A32">
              <w:rPr>
                <w:rFonts w:eastAsia="HelenPro-Regular"/>
              </w:rPr>
              <w:t>approximately 90% develop c</w:t>
            </w:r>
            <w:r>
              <w:rPr>
                <w:rFonts w:eastAsia="HelenPro-Regular"/>
              </w:rPr>
              <w:t>hronic hepatitis B infection.</w:t>
            </w:r>
          </w:p>
          <w:p w14:paraId="2740BD26" w14:textId="77777777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7B4E0E01" w14:textId="6B77BFB2" w:rsid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D14A32">
              <w:rPr>
                <w:rFonts w:eastAsia="HelenPro-Regular"/>
              </w:rPr>
              <w:t>Anti-HBs assays are often u</w:t>
            </w:r>
            <w:r>
              <w:rPr>
                <w:rFonts w:eastAsia="HelenPro-Regular"/>
              </w:rPr>
              <w:t xml:space="preserve">sed to determine the success of </w:t>
            </w:r>
            <w:r w:rsidRPr="00D14A32">
              <w:rPr>
                <w:rFonts w:eastAsia="HelenPro-Regular"/>
              </w:rPr>
              <w:t xml:space="preserve">hepatitis B vaccination. The presence </w:t>
            </w:r>
            <w:r>
              <w:rPr>
                <w:rFonts w:eastAsia="HelenPro-Regular"/>
              </w:rPr>
              <w:t xml:space="preserve">of anti-HBs has been shown to </w:t>
            </w:r>
            <w:r w:rsidRPr="00D14A32">
              <w:rPr>
                <w:rFonts w:eastAsia="HelenPro-Regular"/>
              </w:rPr>
              <w:t>be important in protection against H</w:t>
            </w:r>
            <w:r>
              <w:rPr>
                <w:rFonts w:eastAsia="HelenPro-Regular"/>
              </w:rPr>
              <w:t xml:space="preserve">BV infection. Numerous studies </w:t>
            </w:r>
            <w:r w:rsidRPr="00D14A32">
              <w:rPr>
                <w:rFonts w:eastAsia="HelenPro-Regular"/>
              </w:rPr>
              <w:t>have demonstrated the effectivenes</w:t>
            </w:r>
            <w:r>
              <w:rPr>
                <w:rFonts w:eastAsia="HelenPro-Regular"/>
              </w:rPr>
              <w:t xml:space="preserve">s of the hepatitis B vaccine to </w:t>
            </w:r>
            <w:r w:rsidRPr="00D14A32">
              <w:rPr>
                <w:rFonts w:eastAsia="HelenPro-Regular"/>
              </w:rPr>
              <w:t xml:space="preserve">stimulate the immune system to </w:t>
            </w:r>
            <w:r>
              <w:rPr>
                <w:rFonts w:eastAsia="HelenPro-Regular"/>
              </w:rPr>
              <w:t>produce anti-HBs and to prevent HBV infection.</w:t>
            </w:r>
          </w:p>
          <w:p w14:paraId="6C020932" w14:textId="77777777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2514D3A5" w14:textId="4BA73DD8" w:rsidR="001B1C87" w:rsidRDefault="00D14A32" w:rsidP="00D14A32">
            <w:pPr>
              <w:autoSpaceDE w:val="0"/>
              <w:autoSpaceDN w:val="0"/>
              <w:adjustRightInd w:val="0"/>
              <w:rPr>
                <w:rFonts w:eastAsia="HelenPro-Regular" w:cs="Arial"/>
                <w:szCs w:val="15"/>
              </w:rPr>
            </w:pPr>
            <w:r w:rsidRPr="00D14A32">
              <w:rPr>
                <w:rFonts w:eastAsia="HelenPro-Regular"/>
              </w:rPr>
              <w:t>Assays for anti-HBs are also used t</w:t>
            </w:r>
            <w:r>
              <w:rPr>
                <w:rFonts w:eastAsia="HelenPro-Regular"/>
              </w:rPr>
              <w:t xml:space="preserve">o monitor the convalescence and </w:t>
            </w:r>
            <w:r w:rsidRPr="00D14A32">
              <w:rPr>
                <w:rFonts w:eastAsia="HelenPro-Regular"/>
              </w:rPr>
              <w:t>recovery of hepatitis B infected ind</w:t>
            </w:r>
            <w:r>
              <w:rPr>
                <w:rFonts w:eastAsia="HelenPro-Regular"/>
              </w:rPr>
              <w:t xml:space="preserve">ividuals. The presence of anti- </w:t>
            </w:r>
            <w:r w:rsidRPr="00D14A32">
              <w:rPr>
                <w:rFonts w:eastAsia="HelenPro-Regular"/>
              </w:rPr>
              <w:t>HBs after acute HBV infection and loss of hepatitis B virus surface</w:t>
            </w:r>
            <w:r w:rsidRPr="00D14A32">
              <w:rPr>
                <w:rFonts w:eastAsia="HelenPro-Regular" w:cs="Arial"/>
                <w:szCs w:val="15"/>
              </w:rPr>
              <w:t xml:space="preserve"> </w:t>
            </w:r>
            <w:r w:rsidRPr="00D14A32">
              <w:rPr>
                <w:rFonts w:eastAsia="HelenPro-Regular" w:cs="Arial"/>
                <w:szCs w:val="15"/>
              </w:rPr>
              <w:t>antigen (HBsAg) can be a useful i</w:t>
            </w:r>
            <w:r>
              <w:rPr>
                <w:rFonts w:eastAsia="HelenPro-Regular" w:cs="Arial"/>
                <w:szCs w:val="15"/>
              </w:rPr>
              <w:t xml:space="preserve">ndicator of disease resolution. </w:t>
            </w:r>
            <w:r w:rsidRPr="00D14A32">
              <w:rPr>
                <w:rFonts w:eastAsia="HelenPro-Regular" w:cs="Arial"/>
                <w:szCs w:val="15"/>
              </w:rPr>
              <w:t>Detection of anti-HBs in an asymp</w:t>
            </w:r>
            <w:r>
              <w:rPr>
                <w:rFonts w:eastAsia="HelenPro-Regular" w:cs="Arial"/>
                <w:szCs w:val="15"/>
              </w:rPr>
              <w:t xml:space="preserve">tomatic individual may indicate </w:t>
            </w:r>
            <w:r w:rsidRPr="00D14A32">
              <w:rPr>
                <w:rFonts w:eastAsia="HelenPro-Regular" w:cs="Arial"/>
                <w:szCs w:val="15"/>
              </w:rPr>
              <w:t>previous exposure to HBV or HBV vaccination.</w:t>
            </w:r>
          </w:p>
          <w:p w14:paraId="57AA87CE" w14:textId="02B64229" w:rsidR="00D14A32" w:rsidRPr="00D14A32" w:rsidRDefault="00D14A32" w:rsidP="00D14A32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</w:tc>
      </w:tr>
      <w:tr w:rsidR="008C6EDC" w14:paraId="57AA87D6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7D0" w14:textId="2527B4FB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57AA87D1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Instrument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7D2" w14:textId="77777777" w:rsidR="008C6EDC" w:rsidRPr="00CC5786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</w:rPr>
            </w:pPr>
          </w:p>
          <w:p w14:paraId="57AA87D3" w14:textId="09D1493F" w:rsidR="00D0201D" w:rsidRPr="00CC5786" w:rsidRDefault="008C6EDC" w:rsidP="008C6ED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</w:pPr>
            <w:r w:rsidRPr="00D14A32">
              <w:rPr>
                <w:b/>
                <w:bCs/>
              </w:rPr>
              <w:t>PRIMARY METHOD</w:t>
            </w:r>
            <w:r w:rsidRPr="00CC5786">
              <w:rPr>
                <w:bCs/>
              </w:rPr>
              <w:t xml:space="preserve">: </w:t>
            </w:r>
            <w:r w:rsidR="00D14A32">
              <w:rPr>
                <w:bCs/>
              </w:rPr>
              <w:t>Abbott Alinity ci</w:t>
            </w:r>
          </w:p>
          <w:p w14:paraId="57AA87D4" w14:textId="0F26A21C" w:rsidR="008C6EDC" w:rsidRDefault="00CC5786" w:rsidP="008C6ED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</w:rPr>
            </w:pPr>
            <w:r>
              <w:rPr>
                <w:bCs/>
              </w:rPr>
              <w:t>Backup Method</w:t>
            </w:r>
            <w:r w:rsidR="008C6EDC" w:rsidRPr="00CC5786">
              <w:rPr>
                <w:bCs/>
              </w:rPr>
              <w:t>:</w:t>
            </w:r>
            <w:r w:rsidR="008C6EDC" w:rsidRPr="00B1018B">
              <w:rPr>
                <w:b/>
                <w:bCs/>
              </w:rPr>
              <w:t xml:space="preserve"> </w:t>
            </w:r>
            <w:r w:rsidR="001B1C87" w:rsidRPr="00CC5786">
              <w:rPr>
                <w:bCs/>
              </w:rPr>
              <w:t>Mayo Medical La</w:t>
            </w:r>
            <w:r w:rsidRPr="00CC5786">
              <w:rPr>
                <w:bCs/>
              </w:rPr>
              <w:t>b</w:t>
            </w:r>
            <w:r w:rsidR="001B1C87" w:rsidRPr="00CC5786">
              <w:rPr>
                <w:bCs/>
              </w:rPr>
              <w:t>oratories</w:t>
            </w:r>
            <w:r w:rsidR="005B2BF8">
              <w:rPr>
                <w:bCs/>
              </w:rPr>
              <w:t xml:space="preserve"> (HBAB)</w:t>
            </w:r>
          </w:p>
          <w:p w14:paraId="57AA87D5" w14:textId="77777777" w:rsidR="008C6EDC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15"/>
              </w:rPr>
            </w:pPr>
          </w:p>
        </w:tc>
      </w:tr>
      <w:tr w:rsidR="00B816B4" w14:paraId="57AA87D9" w14:textId="77777777" w:rsidTr="00D120DB">
        <w:trPr>
          <w:trHeight w:val="697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7D7" w14:textId="77777777" w:rsidR="00B816B4" w:rsidRDefault="00B816B4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Sunquest Test Code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7D8" w14:textId="77777777" w:rsidR="00B816B4" w:rsidRPr="000A739F" w:rsidRDefault="00B0339F" w:rsidP="003571BD">
            <w:pPr>
              <w:rPr>
                <w:rFonts w:cs="Arial"/>
                <w:b/>
                <w:szCs w:val="15"/>
              </w:rPr>
            </w:pPr>
            <w:r w:rsidRPr="000A739F">
              <w:rPr>
                <w:rFonts w:cs="Arial"/>
                <w:b/>
                <w:szCs w:val="15"/>
              </w:rPr>
              <w:t>HBSAB</w:t>
            </w:r>
          </w:p>
        </w:tc>
      </w:tr>
      <w:tr w:rsidR="008C6EDC" w14:paraId="57AA87F1" w14:textId="77777777" w:rsidTr="00D120DB">
        <w:trPr>
          <w:cantSplit/>
          <w:trHeight w:val="209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7DA" w14:textId="77777777"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</w:p>
          <w:p w14:paraId="57AA87DB" w14:textId="77777777"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Specimen</w:t>
            </w:r>
          </w:p>
          <w:p w14:paraId="57AA87DC" w14:textId="77777777"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7DD" w14:textId="77777777"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  <w:p w14:paraId="57AA87DE" w14:textId="77777777" w:rsidR="00CC5786" w:rsidRDefault="0049199E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Preferred</w:t>
            </w:r>
            <w:r w:rsidR="00CC5786">
              <w:rPr>
                <w:rFonts w:cs="Arial"/>
                <w:b/>
              </w:rPr>
              <w:t xml:space="preserve"> </w:t>
            </w:r>
            <w:r w:rsidR="00D0201D">
              <w:rPr>
                <w:rFonts w:cs="Arial"/>
                <w:b/>
              </w:rPr>
              <w:t>Sample type:</w:t>
            </w:r>
            <w:r w:rsidR="00B0339F">
              <w:rPr>
                <w:rFonts w:cs="Arial"/>
              </w:rPr>
              <w:t xml:space="preserve"> Serum</w:t>
            </w:r>
            <w:r w:rsidR="00CC5786">
              <w:rPr>
                <w:rFonts w:cs="Arial"/>
              </w:rPr>
              <w:t>/SST</w:t>
            </w:r>
            <w:r w:rsidR="00B0339F">
              <w:rPr>
                <w:rFonts w:cs="Arial"/>
              </w:rPr>
              <w:t>.</w:t>
            </w:r>
          </w:p>
          <w:p w14:paraId="57AA87DF" w14:textId="3CB463C7" w:rsidR="008C6EDC" w:rsidRPr="00DA7E2D" w:rsidRDefault="00CC5786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Also acceptable:</w:t>
            </w:r>
            <w:r w:rsidR="00DA7E2D">
              <w:rPr>
                <w:rFonts w:cs="Arial"/>
              </w:rPr>
              <w:t xml:space="preserve"> Lithium Heparin</w:t>
            </w:r>
            <w:r>
              <w:rPr>
                <w:rFonts w:cs="Arial"/>
              </w:rPr>
              <w:t>, Sodium Heparin</w:t>
            </w:r>
            <w:r w:rsidR="00B0339F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EDTA</w:t>
            </w:r>
            <w:r w:rsidR="005B2BF8">
              <w:rPr>
                <w:rFonts w:cs="Arial"/>
              </w:rPr>
              <w:t xml:space="preserve"> (not acceptable for Mayo Medical Laboratories send out testing.)</w:t>
            </w:r>
          </w:p>
          <w:p w14:paraId="57AA87E0" w14:textId="77777777" w:rsidR="008C6EDC" w:rsidRDefault="008C6EDC" w:rsidP="00FC6715">
            <w:pPr>
              <w:rPr>
                <w:rFonts w:cs="Arial"/>
              </w:rPr>
            </w:pPr>
          </w:p>
          <w:p w14:paraId="57AA87E1" w14:textId="77777777" w:rsidR="00CC5786" w:rsidRDefault="00CC5786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Sample Draw Volume: </w:t>
            </w:r>
            <w:r w:rsidRPr="00CC5786">
              <w:rPr>
                <w:rFonts w:cs="Arial"/>
                <w:bCs/>
              </w:rPr>
              <w:t>2.1 mL</w:t>
            </w:r>
          </w:p>
          <w:p w14:paraId="57AA87E2" w14:textId="33EBA2AD"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Minimum </w:t>
            </w:r>
            <w:r w:rsidR="00CC5786">
              <w:rPr>
                <w:rFonts w:cs="Arial"/>
                <w:b/>
                <w:bCs/>
              </w:rPr>
              <w:t>Processed Sample V</w:t>
            </w:r>
            <w:r>
              <w:rPr>
                <w:rFonts w:cs="Arial"/>
                <w:b/>
                <w:bCs/>
              </w:rPr>
              <w:t>olume:</w:t>
            </w:r>
            <w:r>
              <w:rPr>
                <w:rFonts w:cs="Arial"/>
              </w:rPr>
              <w:t xml:space="preserve"> </w:t>
            </w:r>
            <w:r w:rsidR="00DA7E2D">
              <w:rPr>
                <w:rFonts w:cs="Arial"/>
              </w:rPr>
              <w:t xml:space="preserve"> </w:t>
            </w:r>
            <w:r w:rsidR="00625554">
              <w:rPr>
                <w:rFonts w:cs="Arial"/>
              </w:rPr>
              <w:t>200</w:t>
            </w:r>
            <w:r w:rsidR="00CC5786">
              <w:rPr>
                <w:rFonts w:cs="Arial"/>
              </w:rPr>
              <w:t xml:space="preserve"> </w:t>
            </w:r>
            <w:r w:rsidR="00DA7E2D" w:rsidRPr="009F5F31">
              <w:rPr>
                <w:rFonts w:cs="Arial"/>
                <w:szCs w:val="20"/>
              </w:rPr>
              <w:t>µL</w:t>
            </w:r>
            <w:r w:rsidR="00DA7E2D">
              <w:rPr>
                <w:rFonts w:cs="Arial"/>
                <w:szCs w:val="20"/>
              </w:rPr>
              <w:t xml:space="preserve"> of serum or plasma</w:t>
            </w:r>
          </w:p>
          <w:p w14:paraId="57AA87E3" w14:textId="77777777" w:rsidR="008C6EDC" w:rsidRDefault="008C6EDC" w:rsidP="00FC6715">
            <w:pPr>
              <w:rPr>
                <w:rFonts w:cs="Arial"/>
              </w:rPr>
            </w:pPr>
          </w:p>
          <w:p w14:paraId="57AA87E4" w14:textId="77777777" w:rsidR="008C6EDC" w:rsidRPr="00DA7E2D" w:rsidRDefault="008C6EDC" w:rsidP="00DA7E2D">
            <w:pPr>
              <w:autoSpaceDE w:val="0"/>
              <w:autoSpaceDN w:val="0"/>
              <w:adjustRightInd w:val="0"/>
              <w:rPr>
                <w:rFonts w:eastAsia="HelenPro-Bold"/>
                <w:b/>
                <w:bCs/>
              </w:rPr>
            </w:pPr>
            <w:r>
              <w:rPr>
                <w:rFonts w:cs="Arial"/>
                <w:b/>
                <w:bCs/>
              </w:rPr>
              <w:t>Stability</w:t>
            </w:r>
            <w:r w:rsidR="00B0339F">
              <w:rPr>
                <w:rFonts w:cs="Arial"/>
                <w:b/>
                <w:bCs/>
              </w:rPr>
              <w:t xml:space="preserve">: </w:t>
            </w:r>
            <w:r w:rsidR="00B0339F">
              <w:rPr>
                <w:rFonts w:cs="Arial"/>
                <w:bCs/>
              </w:rPr>
              <w:t>3 days</w:t>
            </w:r>
            <w:r w:rsidR="00DA7E2D">
              <w:rPr>
                <w:rFonts w:cs="Arial"/>
              </w:rPr>
              <w:t xml:space="preserve"> at room temperature, 7 days </w:t>
            </w:r>
            <w:r w:rsidR="00DA7E2D">
              <w:rPr>
                <w:rFonts w:eastAsia="HelenPro-Regular"/>
              </w:rPr>
              <w:t>at 2-8°C,</w:t>
            </w:r>
            <w:r w:rsidR="00B0339F">
              <w:rPr>
                <w:rFonts w:eastAsia="HelenPro-Bold"/>
                <w:bCs/>
              </w:rPr>
              <w:t xml:space="preserve"> 2 years at</w:t>
            </w:r>
            <w:r w:rsidR="00DA7E2D" w:rsidRPr="008036AC">
              <w:rPr>
                <w:rFonts w:eastAsia="HelenPro-Regular"/>
              </w:rPr>
              <w:t xml:space="preserve"> -20°C or</w:t>
            </w:r>
            <w:r w:rsidR="00DA7E2D">
              <w:rPr>
                <w:rFonts w:eastAsia="HelenPro-Regular"/>
              </w:rPr>
              <w:t xml:space="preserve"> </w:t>
            </w:r>
            <w:r w:rsidR="00DA7E2D" w:rsidRPr="008036AC">
              <w:rPr>
                <w:rFonts w:eastAsia="HelenPro-Regular"/>
              </w:rPr>
              <w:t>colder.</w:t>
            </w:r>
            <w:r w:rsidR="00DA7E2D">
              <w:rPr>
                <w:rFonts w:eastAsia="HelenPro-Regular"/>
              </w:rPr>
              <w:t xml:space="preserve"> </w:t>
            </w:r>
          </w:p>
          <w:p w14:paraId="57AA87E5" w14:textId="77777777"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14"/>
              </w:rPr>
            </w:pPr>
          </w:p>
          <w:p w14:paraId="57AA87E6" w14:textId="77777777" w:rsidR="00CC5786" w:rsidRDefault="00CC5786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14"/>
              </w:rPr>
            </w:pPr>
            <w:r w:rsidRPr="00CC5786">
              <w:rPr>
                <w:rFonts w:cs="Arial"/>
                <w:b/>
                <w:szCs w:val="14"/>
              </w:rPr>
              <w:t xml:space="preserve">Transport: </w:t>
            </w:r>
            <w:r>
              <w:rPr>
                <w:rFonts w:cs="Arial"/>
                <w:b/>
                <w:szCs w:val="14"/>
              </w:rPr>
              <w:t xml:space="preserve"> </w:t>
            </w:r>
            <w:r w:rsidRPr="00CC5786">
              <w:rPr>
                <w:rFonts w:cs="Arial"/>
                <w:szCs w:val="14"/>
              </w:rPr>
              <w:t xml:space="preserve">Ship refrigerated </w:t>
            </w:r>
            <w:r>
              <w:rPr>
                <w:rFonts w:cs="Arial"/>
                <w:szCs w:val="14"/>
              </w:rPr>
              <w:t xml:space="preserve">at </w:t>
            </w:r>
            <w:r>
              <w:rPr>
                <w:rFonts w:eastAsia="HelenPro-Regular"/>
              </w:rPr>
              <w:t>2-8°C</w:t>
            </w:r>
            <w:r w:rsidRPr="00CC5786">
              <w:rPr>
                <w:rFonts w:cs="Arial"/>
                <w:szCs w:val="14"/>
              </w:rPr>
              <w:t xml:space="preserve"> to Minneapolis lab</w:t>
            </w:r>
          </w:p>
          <w:p w14:paraId="57AA87E7" w14:textId="77777777" w:rsidR="00CC5786" w:rsidRPr="00CC5786" w:rsidRDefault="00CC5786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Cs w:val="14"/>
              </w:rPr>
            </w:pPr>
          </w:p>
          <w:p w14:paraId="57AA87E8" w14:textId="77777777" w:rsidR="008C6EDC" w:rsidRDefault="008C6EDC" w:rsidP="00FC6715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Rejection criteria:</w:t>
            </w:r>
            <w:r>
              <w:rPr>
                <w:rFonts w:cs="Arial"/>
              </w:rPr>
              <w:t xml:space="preserve"> </w:t>
            </w:r>
            <w:r w:rsidR="00CF7522">
              <w:rPr>
                <w:rFonts w:cs="Arial"/>
              </w:rPr>
              <w:t>Unlabeled specimens, incorrect sample type</w:t>
            </w:r>
          </w:p>
          <w:p w14:paraId="2E819449" w14:textId="77777777" w:rsidR="00625554" w:rsidRDefault="00625554" w:rsidP="00FC6715">
            <w:pPr>
              <w:rPr>
                <w:rFonts w:cs="Arial"/>
              </w:rPr>
            </w:pPr>
          </w:p>
          <w:p w14:paraId="66A8B6A7" w14:textId="6A7507E1" w:rsidR="00625554" w:rsidRPr="00625554" w:rsidRDefault="00625554" w:rsidP="00625554">
            <w:pPr>
              <w:rPr>
                <w:rFonts w:cs="Arial"/>
              </w:rPr>
            </w:pPr>
            <w:r w:rsidRPr="00625554">
              <w:rPr>
                <w:rFonts w:cs="Arial"/>
              </w:rPr>
              <w:t>• Maximum number of replicat</w:t>
            </w:r>
            <w:r>
              <w:rPr>
                <w:rFonts w:cs="Arial"/>
              </w:rPr>
              <w:t xml:space="preserve">es sampled from the same sample </w:t>
            </w:r>
            <w:r w:rsidRPr="00625554">
              <w:rPr>
                <w:rFonts w:cs="Arial"/>
              </w:rPr>
              <w:t>cup: 10</w:t>
            </w:r>
          </w:p>
          <w:p w14:paraId="7174046C" w14:textId="1F276BD0" w:rsidR="00625554" w:rsidRPr="00625554" w:rsidRDefault="00625554" w:rsidP="00625554">
            <w:pPr>
              <w:rPr>
                <w:rFonts w:cs="Arial"/>
              </w:rPr>
            </w:pPr>
            <w:r>
              <w:rPr>
                <w:rFonts w:cs="Arial"/>
              </w:rPr>
              <w:t>Priority Loaded:</w:t>
            </w:r>
          </w:p>
          <w:p w14:paraId="0ADAA8AF" w14:textId="465FC348" w:rsidR="00625554" w:rsidRPr="00625554" w:rsidRDefault="00625554" w:rsidP="00625554">
            <w:pPr>
              <w:rPr>
                <w:rFonts w:cs="Arial"/>
              </w:rPr>
            </w:pPr>
            <w:r w:rsidRPr="00625554">
              <w:rPr>
                <w:rFonts w:cs="Arial"/>
              </w:rPr>
              <w:t>Sample volume for first test: 125 μL</w:t>
            </w:r>
          </w:p>
          <w:p w14:paraId="0DFC6408" w14:textId="202F5EB2" w:rsidR="00625554" w:rsidRDefault="00625554" w:rsidP="00625554">
            <w:pPr>
              <w:rPr>
                <w:rFonts w:cs="Arial"/>
              </w:rPr>
            </w:pPr>
            <w:r w:rsidRPr="00625554">
              <w:rPr>
                <w:rFonts w:cs="Arial"/>
              </w:rPr>
              <w:t>Sample volume for each a</w:t>
            </w:r>
            <w:r>
              <w:rPr>
                <w:rFonts w:cs="Arial"/>
              </w:rPr>
              <w:t xml:space="preserve">dditional test from same sample </w:t>
            </w:r>
            <w:r w:rsidRPr="00625554">
              <w:rPr>
                <w:rFonts w:cs="Arial"/>
              </w:rPr>
              <w:t>cup: 75 μL</w:t>
            </w:r>
          </w:p>
          <w:p w14:paraId="545087B6" w14:textId="77777777" w:rsidR="00625554" w:rsidRPr="00625554" w:rsidRDefault="00625554" w:rsidP="00625554">
            <w:pPr>
              <w:rPr>
                <w:rFonts w:cs="Arial"/>
              </w:rPr>
            </w:pPr>
          </w:p>
          <w:p w14:paraId="269644E0" w14:textId="697A8E8F" w:rsidR="00625554" w:rsidRPr="00625554" w:rsidRDefault="00625554" w:rsidP="00625554">
            <w:pPr>
              <w:rPr>
                <w:rFonts w:cs="Arial"/>
              </w:rPr>
            </w:pPr>
            <w:r>
              <w:rPr>
                <w:rFonts w:cs="Arial"/>
              </w:rPr>
              <w:t>Loaded Routinely:</w:t>
            </w:r>
          </w:p>
          <w:p w14:paraId="6DDD0CAB" w14:textId="1DBBF8D7" w:rsidR="00625554" w:rsidRPr="00625554" w:rsidRDefault="00625554" w:rsidP="00625554">
            <w:pPr>
              <w:rPr>
                <w:rFonts w:cs="Arial"/>
              </w:rPr>
            </w:pPr>
            <w:r w:rsidRPr="00625554">
              <w:rPr>
                <w:rFonts w:cs="Arial"/>
              </w:rPr>
              <w:t>Sample volume for first test: 150 μL</w:t>
            </w:r>
          </w:p>
          <w:p w14:paraId="3C228B70" w14:textId="64005AD1" w:rsidR="00625554" w:rsidRDefault="00625554" w:rsidP="00625554">
            <w:pPr>
              <w:rPr>
                <w:rFonts w:cs="Arial"/>
              </w:rPr>
            </w:pPr>
            <w:r w:rsidRPr="00625554">
              <w:rPr>
                <w:rFonts w:cs="Arial"/>
              </w:rPr>
              <w:t>Sample volume for each a</w:t>
            </w:r>
            <w:r>
              <w:rPr>
                <w:rFonts w:cs="Arial"/>
              </w:rPr>
              <w:t xml:space="preserve">dditional test from same sample </w:t>
            </w:r>
            <w:r w:rsidRPr="00625554">
              <w:rPr>
                <w:rFonts w:cs="Arial"/>
              </w:rPr>
              <w:t>cup: 75 μL</w:t>
            </w:r>
          </w:p>
          <w:p w14:paraId="57AA87E9" w14:textId="77777777" w:rsidR="008C6EDC" w:rsidRDefault="008C6EDC" w:rsidP="00FC6715">
            <w:pPr>
              <w:rPr>
                <w:rFonts w:cs="Arial"/>
                <w:b/>
                <w:bCs/>
                <w:szCs w:val="20"/>
              </w:rPr>
            </w:pPr>
          </w:p>
          <w:p w14:paraId="57AA87EA" w14:textId="77777777" w:rsidR="008C6EDC" w:rsidRPr="009F5F31" w:rsidRDefault="008C6EDC" w:rsidP="00FC6715">
            <w:pPr>
              <w:rPr>
                <w:rFonts w:cs="Arial"/>
                <w:szCs w:val="20"/>
              </w:rPr>
            </w:pPr>
            <w:r w:rsidRPr="009F5F31">
              <w:rPr>
                <w:rFonts w:cs="Arial"/>
                <w:b/>
                <w:bCs/>
                <w:szCs w:val="20"/>
              </w:rPr>
              <w:t>Preparation:</w:t>
            </w:r>
            <w:r w:rsidRPr="009F5F31">
              <w:rPr>
                <w:rFonts w:cs="Arial"/>
                <w:szCs w:val="20"/>
              </w:rPr>
              <w:t xml:space="preserve"> </w:t>
            </w:r>
          </w:p>
          <w:p w14:paraId="35354C6A" w14:textId="77777777" w:rsidR="00625554" w:rsidRPr="00625554" w:rsidRDefault="00625554" w:rsidP="0062555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25554">
              <w:rPr>
                <w:rFonts w:cs="Arial"/>
                <w:szCs w:val="20"/>
              </w:rPr>
              <w:t>Whole blood specimens should be centrifuged following complete clot formation, according to Specimen Processing procedures prior to analysis.</w:t>
            </w:r>
          </w:p>
          <w:p w14:paraId="58C15845" w14:textId="77777777" w:rsidR="00625554" w:rsidRPr="00625554" w:rsidRDefault="00625554" w:rsidP="0062555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25554">
              <w:rPr>
                <w:rFonts w:cs="Arial"/>
                <w:szCs w:val="20"/>
              </w:rPr>
              <w:t>Serum or plasma should be physically separated from cells as soon as possible with a maximum limit of two hours from the time of collection.</w:t>
            </w:r>
          </w:p>
          <w:p w14:paraId="0C644023" w14:textId="77777777" w:rsidR="00625554" w:rsidRPr="00625554" w:rsidRDefault="00625554" w:rsidP="0062555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25554">
              <w:rPr>
                <w:rFonts w:cs="Arial"/>
                <w:szCs w:val="20"/>
              </w:rPr>
              <w:t xml:space="preserve">Specimens should be free of particulate matter. </w:t>
            </w:r>
          </w:p>
          <w:p w14:paraId="7CFD35DC" w14:textId="77777777" w:rsidR="00625554" w:rsidRPr="00625554" w:rsidRDefault="00625554" w:rsidP="0062555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25554">
              <w:rPr>
                <w:rFonts w:cs="Arial"/>
                <w:szCs w:val="20"/>
              </w:rPr>
              <w:t xml:space="preserve">Transfer serum or plasma directly to a properly labeled pilot tube.  </w:t>
            </w:r>
          </w:p>
          <w:p w14:paraId="19082D23" w14:textId="77777777" w:rsidR="00625554" w:rsidRPr="00625554" w:rsidRDefault="00625554" w:rsidP="0062555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25554">
              <w:rPr>
                <w:rFonts w:cs="Arial"/>
                <w:szCs w:val="20"/>
              </w:rPr>
              <w:t xml:space="preserve">Architect and Alinity systems utilize a specimen level detect mechanism, so special racks specific to tube-type are not required.  </w:t>
            </w:r>
          </w:p>
          <w:p w14:paraId="69B86710" w14:textId="77777777" w:rsidR="00625554" w:rsidRPr="00625554" w:rsidRDefault="00625554" w:rsidP="0062555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25554">
              <w:rPr>
                <w:rFonts w:cs="Arial"/>
                <w:szCs w:val="20"/>
              </w:rPr>
              <w:t>Minimum labeling includes sample accession ID, and/ or patient name, medical record number, collection date and time.</w:t>
            </w:r>
          </w:p>
          <w:p w14:paraId="57AA87F0" w14:textId="77777777" w:rsidR="008C6EDC" w:rsidRDefault="008C6EDC" w:rsidP="00FC671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816B4" w14:paraId="57AA8818" w14:textId="77777777" w:rsidTr="00D120DB">
        <w:trPr>
          <w:trHeight w:val="5417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7F2" w14:textId="77777777" w:rsidR="00B816B4" w:rsidRDefault="00B816B4">
            <w:pPr>
              <w:rPr>
                <w:rFonts w:cs="Arial"/>
                <w:b/>
                <w:bCs/>
                <w:color w:val="0000FF"/>
              </w:rPr>
            </w:pPr>
          </w:p>
          <w:p w14:paraId="57AA87F3" w14:textId="77777777" w:rsidR="00B816B4" w:rsidRDefault="00B816B4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Reagents</w:t>
            </w:r>
          </w:p>
          <w:p w14:paraId="57AA87F4" w14:textId="77777777" w:rsidR="00B816B4" w:rsidRDefault="00B816B4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19AEF007" w14:textId="662B6AF1" w:rsidR="00BA55D8" w:rsidRPr="00BA55D8" w:rsidRDefault="00BA55D8" w:rsidP="00BA55D8">
            <w:pPr>
              <w:pStyle w:val="Reagents"/>
              <w:rPr>
                <w:rFonts w:ascii="Arial" w:hAnsi="Arial" w:cs="Arial"/>
                <w:bCs/>
              </w:rPr>
            </w:pPr>
            <w:r w:rsidRPr="00BA55D8">
              <w:rPr>
                <w:rFonts w:ascii="Arial" w:hAnsi="Arial" w:cs="Arial"/>
                <w:bCs/>
              </w:rPr>
              <w:t>Upon receipt, gently invert the u</w:t>
            </w:r>
            <w:r>
              <w:rPr>
                <w:rFonts w:ascii="Arial" w:hAnsi="Arial" w:cs="Arial"/>
                <w:bCs/>
              </w:rPr>
              <w:t xml:space="preserve">nopened reagent kit by rotating </w:t>
            </w:r>
            <w:r w:rsidRPr="00BA55D8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t over and back for a full 180 d</w:t>
            </w:r>
            <w:r w:rsidRPr="00BA55D8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grees, 5 times with green label </w:t>
            </w:r>
            <w:r w:rsidRPr="00BA55D8">
              <w:rPr>
                <w:rFonts w:ascii="Arial" w:hAnsi="Arial" w:cs="Arial"/>
                <w:bCs/>
              </w:rPr>
              <w:t>stripe facing up and then 5 times</w:t>
            </w:r>
            <w:r>
              <w:rPr>
                <w:rFonts w:ascii="Arial" w:hAnsi="Arial" w:cs="Arial"/>
                <w:bCs/>
              </w:rPr>
              <w:t xml:space="preserve"> with green label stripe facing </w:t>
            </w:r>
            <w:r w:rsidRPr="00BA55D8">
              <w:rPr>
                <w:rFonts w:ascii="Arial" w:hAnsi="Arial" w:cs="Arial"/>
                <w:bCs/>
              </w:rPr>
              <w:t>down. This ensures that liquid covers all sides of the</w:t>
            </w:r>
            <w:r>
              <w:rPr>
                <w:rFonts w:ascii="Arial" w:hAnsi="Arial" w:cs="Arial"/>
                <w:bCs/>
              </w:rPr>
              <w:t xml:space="preserve"> bottles </w:t>
            </w:r>
            <w:r w:rsidRPr="00BA55D8">
              <w:rPr>
                <w:rFonts w:ascii="Arial" w:hAnsi="Arial" w:cs="Arial"/>
                <w:bCs/>
              </w:rPr>
              <w:t>within the cartridges. During r</w:t>
            </w:r>
            <w:r>
              <w:rPr>
                <w:rFonts w:ascii="Arial" w:hAnsi="Arial" w:cs="Arial"/>
                <w:bCs/>
              </w:rPr>
              <w:t xml:space="preserve">eagent shipment, microparticles </w:t>
            </w:r>
            <w:r w:rsidRPr="00BA55D8">
              <w:rPr>
                <w:rFonts w:ascii="Arial" w:hAnsi="Arial" w:cs="Arial"/>
                <w:bCs/>
              </w:rPr>
              <w:t>can settle on the reagent septum.</w:t>
            </w:r>
          </w:p>
          <w:p w14:paraId="5A98472D" w14:textId="6B3D3D14" w:rsidR="00BA55D8" w:rsidRPr="00BA55D8" w:rsidRDefault="00BA55D8" w:rsidP="00BA55D8">
            <w:pPr>
              <w:pStyle w:val="Reagents"/>
              <w:rPr>
                <w:rFonts w:ascii="Arial" w:hAnsi="Arial" w:cs="Arial"/>
                <w:bCs/>
              </w:rPr>
            </w:pPr>
            <w:r w:rsidRPr="00BA55D8">
              <w:rPr>
                <w:rFonts w:ascii="Arial" w:hAnsi="Arial" w:cs="Arial"/>
                <w:bCs/>
              </w:rPr>
              <w:t xml:space="preserve">–– </w:t>
            </w:r>
            <w:r w:rsidRPr="00BA55D8">
              <w:rPr>
                <w:rFonts w:ascii="Arial" w:hAnsi="Arial" w:cs="Arial"/>
                <w:b/>
                <w:bCs/>
              </w:rPr>
              <w:t>Place a check in the square on</w:t>
            </w:r>
            <w:r w:rsidRPr="00BA55D8">
              <w:rPr>
                <w:rFonts w:ascii="Arial" w:hAnsi="Arial" w:cs="Arial"/>
                <w:b/>
                <w:bCs/>
              </w:rPr>
              <w:t xml:space="preserve"> the reagent kit to indicate to </w:t>
            </w:r>
            <w:r w:rsidRPr="00BA55D8">
              <w:rPr>
                <w:rFonts w:ascii="Arial" w:hAnsi="Arial" w:cs="Arial"/>
                <w:b/>
                <w:bCs/>
              </w:rPr>
              <w:t>others that the inversions have been completed.</w:t>
            </w:r>
          </w:p>
          <w:p w14:paraId="57AA87F5" w14:textId="62FB8EC6" w:rsidR="00B816B4" w:rsidRDefault="00BA55D8" w:rsidP="00BA55D8">
            <w:pPr>
              <w:pStyle w:val="Reagents"/>
              <w:rPr>
                <w:rFonts w:ascii="Arial" w:hAnsi="Arial" w:cs="Arial"/>
                <w:bCs/>
              </w:rPr>
            </w:pPr>
            <w:r w:rsidRPr="00BA55D8">
              <w:rPr>
                <w:rFonts w:ascii="Arial" w:hAnsi="Arial" w:cs="Arial"/>
                <w:bCs/>
              </w:rPr>
              <w:t>• After mixing, place reagent cartri</w:t>
            </w:r>
            <w:r>
              <w:rPr>
                <w:rFonts w:ascii="Arial" w:hAnsi="Arial" w:cs="Arial"/>
                <w:bCs/>
              </w:rPr>
              <w:t xml:space="preserve">dges in an upright position for 2 hours before use to allow bubbles that may have formed to </w:t>
            </w:r>
            <w:r w:rsidRPr="00BA55D8">
              <w:rPr>
                <w:rFonts w:ascii="Arial" w:hAnsi="Arial" w:cs="Arial"/>
                <w:bCs/>
              </w:rPr>
              <w:t>dissipate.</w:t>
            </w:r>
          </w:p>
          <w:p w14:paraId="0E3105D7" w14:textId="3B68D650" w:rsidR="00BA55D8" w:rsidRPr="00BA55D8" w:rsidRDefault="00BA55D8" w:rsidP="00BA55D8">
            <w:pPr>
              <w:pStyle w:val="Reagents"/>
              <w:rPr>
                <w:rFonts w:ascii="Arial" w:hAnsi="Arial" w:cs="Arial"/>
                <w:bCs/>
              </w:rPr>
            </w:pPr>
            <w:r w:rsidRPr="00BA55D8">
              <w:rPr>
                <w:rFonts w:ascii="Arial" w:hAnsi="Arial" w:cs="Arial"/>
                <w:bCs/>
              </w:rPr>
              <w:t>• If a reagent cartridge is droppe</w:t>
            </w:r>
            <w:r>
              <w:rPr>
                <w:rFonts w:ascii="Arial" w:hAnsi="Arial" w:cs="Arial"/>
                <w:bCs/>
              </w:rPr>
              <w:t xml:space="preserve">d, place in an upright position for 1 hour before use to allow bubbles that may have formed to </w:t>
            </w:r>
            <w:r w:rsidRPr="00BA55D8">
              <w:rPr>
                <w:rFonts w:ascii="Arial" w:hAnsi="Arial" w:cs="Arial"/>
                <w:bCs/>
              </w:rPr>
              <w:t>dissipate.</w:t>
            </w:r>
          </w:p>
          <w:p w14:paraId="6B64D43C" w14:textId="49B1AD80" w:rsidR="00BA55D8" w:rsidRPr="00BA55D8" w:rsidRDefault="00BA55D8" w:rsidP="008C6EDC">
            <w:pPr>
              <w:pStyle w:val="Reagents"/>
              <w:rPr>
                <w:rFonts w:ascii="Arial" w:hAnsi="Arial" w:cs="Arial"/>
                <w:bCs/>
              </w:rPr>
            </w:pPr>
            <w:r w:rsidRPr="00BA55D8">
              <w:rPr>
                <w:rFonts w:ascii="Arial" w:hAnsi="Arial" w:cs="Arial"/>
                <w:bCs/>
              </w:rPr>
              <w:t>• Reagents are susceptible to the</w:t>
            </w:r>
            <w:r>
              <w:rPr>
                <w:rFonts w:ascii="Arial" w:hAnsi="Arial" w:cs="Arial"/>
                <w:bCs/>
              </w:rPr>
              <w:t xml:space="preserve"> formation of foam and bubbles. </w:t>
            </w:r>
            <w:r w:rsidRPr="00BA55D8">
              <w:rPr>
                <w:rFonts w:ascii="Arial" w:hAnsi="Arial" w:cs="Arial"/>
                <w:bCs/>
              </w:rPr>
              <w:t>Bubbles may interfere with the de</w:t>
            </w:r>
            <w:r>
              <w:rPr>
                <w:rFonts w:ascii="Arial" w:hAnsi="Arial" w:cs="Arial"/>
                <w:bCs/>
              </w:rPr>
              <w:t xml:space="preserve">tection of the reagent level in </w:t>
            </w:r>
            <w:r w:rsidRPr="00BA55D8">
              <w:rPr>
                <w:rFonts w:ascii="Arial" w:hAnsi="Arial" w:cs="Arial"/>
                <w:bCs/>
              </w:rPr>
              <w:t>the cartridge and cause insuffici</w:t>
            </w:r>
            <w:r>
              <w:rPr>
                <w:rFonts w:ascii="Arial" w:hAnsi="Arial" w:cs="Arial"/>
                <w:bCs/>
              </w:rPr>
              <w:t xml:space="preserve">ent reagent aspiration that may </w:t>
            </w:r>
            <w:r w:rsidRPr="00BA55D8">
              <w:rPr>
                <w:rFonts w:ascii="Arial" w:hAnsi="Arial" w:cs="Arial"/>
                <w:bCs/>
              </w:rPr>
              <w:t>adversely affect results.</w:t>
            </w:r>
          </w:p>
          <w:p w14:paraId="162EFA6F" w14:textId="77777777" w:rsidR="00BA55D8" w:rsidRPr="00EF1741" w:rsidRDefault="00BA55D8" w:rsidP="008C6EDC">
            <w:pPr>
              <w:pStyle w:val="Reagents"/>
              <w:rPr>
                <w:rFonts w:ascii="Arial" w:hAnsi="Arial" w:cs="Arial"/>
                <w:b/>
                <w:bCs/>
                <w:color w:val="365F91"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7"/>
              <w:gridCol w:w="1710"/>
              <w:gridCol w:w="4140"/>
              <w:gridCol w:w="393"/>
            </w:tblGrid>
            <w:tr w:rsidR="00B816B4" w14:paraId="57AA87F9" w14:textId="77777777">
              <w:tc>
                <w:tcPr>
                  <w:tcW w:w="2857" w:type="dxa"/>
                </w:tcPr>
                <w:p w14:paraId="57AA87F6" w14:textId="77777777"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Description</w:t>
                  </w:r>
                </w:p>
              </w:tc>
              <w:tc>
                <w:tcPr>
                  <w:tcW w:w="1710" w:type="dxa"/>
                </w:tcPr>
                <w:p w14:paraId="57AA87F7" w14:textId="77777777"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Product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Code</w:t>
                  </w:r>
                </w:p>
              </w:tc>
              <w:tc>
                <w:tcPr>
                  <w:tcW w:w="4533" w:type="dxa"/>
                  <w:gridSpan w:val="2"/>
                </w:tcPr>
                <w:p w14:paraId="57AA87F8" w14:textId="77777777"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Stability</w:t>
                  </w:r>
                </w:p>
              </w:tc>
            </w:tr>
            <w:tr w:rsidR="00B816B4" w:rsidRPr="00C709DD" w14:paraId="57AA8800" w14:textId="77777777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14:paraId="57AA87FA" w14:textId="2B1D2E9D" w:rsidR="00B816B4" w:rsidRPr="006A36C8" w:rsidRDefault="00625554" w:rsidP="008C6ED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Abbott Alinity i Anti-HBs Reagent</w:t>
                  </w:r>
                </w:p>
                <w:p w14:paraId="57AA87FB" w14:textId="77777777" w:rsidR="00B816B4" w:rsidRPr="006A36C8" w:rsidRDefault="00B816B4" w:rsidP="008C6ED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57AA87FC" w14:textId="13636CFE" w:rsidR="00B816B4" w:rsidRPr="006A36C8" w:rsidRDefault="00BA5AA9" w:rsidP="008C6EDC">
                  <w:pPr>
                    <w:pStyle w:val="BodyText"/>
                    <w:tabs>
                      <w:tab w:val="left" w:pos="3240"/>
                    </w:tabs>
                    <w:rPr>
                      <w:rFonts w:cs="Arial"/>
                      <w:szCs w:val="20"/>
                    </w:rPr>
                  </w:pPr>
                  <w:r w:rsidRPr="00BA5AA9">
                    <w:rPr>
                      <w:rFonts w:cs="Arial"/>
                      <w:szCs w:val="20"/>
                    </w:rPr>
                    <w:t>07P8851</w:t>
                  </w:r>
                </w:p>
              </w:tc>
              <w:tc>
                <w:tcPr>
                  <w:tcW w:w="4140" w:type="dxa"/>
                  <w:vAlign w:val="center"/>
                </w:tcPr>
                <w:p w14:paraId="57AA87FD" w14:textId="77777777" w:rsidR="00B816B4" w:rsidRPr="00214007" w:rsidRDefault="00B816B4" w:rsidP="002265E2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214007">
                    <w:rPr>
                      <w:rFonts w:ascii="Arial" w:hAnsi="Arial" w:cs="Arial"/>
                      <w:bCs/>
                    </w:rPr>
                    <w:t xml:space="preserve"> 2 – 8 °C</w:t>
                  </w:r>
                </w:p>
                <w:p w14:paraId="57AA87FE" w14:textId="626D4DE5" w:rsidR="00B816B4" w:rsidRPr="00214007" w:rsidRDefault="00B816B4" w:rsidP="00BA55D8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Unopened</w:t>
                  </w:r>
                  <w:r w:rsidR="002265E2">
                    <w:rPr>
                      <w:rFonts w:ascii="Arial" w:hAnsi="Arial" w:cs="Arial"/>
                      <w:b/>
                      <w:bCs/>
                    </w:rPr>
                    <w:t>/Opened</w:t>
                  </w:r>
                  <w:r w:rsidRPr="00214007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2265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265E2">
                    <w:rPr>
                      <w:rFonts w:ascii="Arial" w:hAnsi="Arial" w:cs="Arial"/>
                      <w:bCs/>
                    </w:rPr>
                    <w:t>Manufacture</w:t>
                  </w:r>
                  <w:r w:rsidR="00CC5786">
                    <w:rPr>
                      <w:rFonts w:ascii="Arial" w:hAnsi="Arial" w:cs="Arial"/>
                      <w:bCs/>
                    </w:rPr>
                    <w:t>r</w:t>
                  </w:r>
                  <w:r w:rsidR="002265E2">
                    <w:rPr>
                      <w:rFonts w:ascii="Arial" w:hAnsi="Arial" w:cs="Arial"/>
                      <w:bCs/>
                    </w:rPr>
                    <w:t xml:space="preserve"> expiration date</w:t>
                  </w:r>
                  <w:r w:rsidRPr="00214007">
                    <w:rPr>
                      <w:rFonts w:ascii="Arial" w:hAnsi="Arial" w:cs="Arial"/>
                      <w:bCs/>
                    </w:rPr>
                    <w:t>.</w:t>
                  </w:r>
                  <w:r w:rsidR="00BA55D8">
                    <w:t xml:space="preserve"> </w:t>
                  </w:r>
                  <w:r w:rsidR="00BA55D8">
                    <w:rPr>
                      <w:rFonts w:ascii="Arial" w:hAnsi="Arial" w:cs="Arial"/>
                      <w:bCs/>
                    </w:rPr>
                    <w:t xml:space="preserve">Store in upright position. If cartridge does not remain upright, gently invert the cartridge 10 times and place in an upright position for 2 hours before use. May be used immediately after removal from 2-8°C </w:t>
                  </w:r>
                  <w:r w:rsidR="00BA55D8" w:rsidRPr="00BA55D8">
                    <w:rPr>
                      <w:rFonts w:ascii="Arial" w:hAnsi="Arial" w:cs="Arial"/>
                      <w:bCs/>
                    </w:rPr>
                    <w:t>storage.</w:t>
                  </w:r>
                </w:p>
                <w:p w14:paraId="57AA87FF" w14:textId="77777777" w:rsidR="00B816B4" w:rsidRPr="00214007" w:rsidRDefault="00B816B4" w:rsidP="002265E2">
                  <w:pPr>
                    <w:autoSpaceDE w:val="0"/>
                    <w:autoSpaceDN w:val="0"/>
                    <w:adjustRightInd w:val="0"/>
                    <w:spacing w:after="80"/>
                    <w:rPr>
                      <w:rFonts w:cs="Arial"/>
                      <w:szCs w:val="20"/>
                    </w:rPr>
                  </w:pPr>
                  <w:r w:rsidRPr="00214007">
                    <w:rPr>
                      <w:rFonts w:cs="Arial"/>
                      <w:b/>
                      <w:bCs/>
                      <w:szCs w:val="20"/>
                    </w:rPr>
                    <w:t xml:space="preserve">On-board: </w:t>
                  </w:r>
                  <w:r w:rsidR="002265E2">
                    <w:rPr>
                      <w:rFonts w:cs="Arial"/>
                      <w:szCs w:val="20"/>
                    </w:rPr>
                    <w:t>30 Days</w:t>
                  </w:r>
                </w:p>
              </w:tc>
            </w:tr>
            <w:tr w:rsidR="00B816B4" w:rsidRPr="007B2A3E" w14:paraId="57AA8806" w14:textId="77777777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14:paraId="57AA8801" w14:textId="320D1024" w:rsidR="00B816B4" w:rsidRPr="006A36C8" w:rsidRDefault="00625554" w:rsidP="00B0339F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625554">
                    <w:rPr>
                      <w:rFonts w:cs="Arial"/>
                      <w:szCs w:val="20"/>
                    </w:rPr>
                    <w:t>A</w:t>
                  </w:r>
                  <w:r w:rsidR="00BA5AA9">
                    <w:rPr>
                      <w:rFonts w:cs="Arial"/>
                      <w:szCs w:val="20"/>
                    </w:rPr>
                    <w:t>bbott Alinity i Anti-HBs Calibrator</w:t>
                  </w:r>
                </w:p>
              </w:tc>
              <w:tc>
                <w:tcPr>
                  <w:tcW w:w="1710" w:type="dxa"/>
                </w:tcPr>
                <w:p w14:paraId="57AA8802" w14:textId="2B4E86C2" w:rsidR="00B816B4" w:rsidRPr="006A36C8" w:rsidRDefault="00BA5AA9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BA5AA9">
                    <w:rPr>
                      <w:rFonts w:cs="Arial"/>
                      <w:szCs w:val="20"/>
                    </w:rPr>
                    <w:t>07P8801</w:t>
                  </w:r>
                </w:p>
              </w:tc>
              <w:tc>
                <w:tcPr>
                  <w:tcW w:w="4140" w:type="dxa"/>
                  <w:vAlign w:val="center"/>
                </w:tcPr>
                <w:p w14:paraId="57AA8803" w14:textId="77777777" w:rsidR="00B816B4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Store at: </w:t>
                  </w:r>
                  <w:r w:rsidR="00CF7522">
                    <w:rPr>
                      <w:rFonts w:cs="Arial"/>
                      <w:szCs w:val="20"/>
                    </w:rPr>
                    <w:t xml:space="preserve"> 2-8</w:t>
                  </w:r>
                  <w:r w:rsidRPr="00214007">
                    <w:rPr>
                      <w:rFonts w:cs="Arial"/>
                      <w:bCs/>
                    </w:rPr>
                    <w:t>°C</w:t>
                  </w:r>
                </w:p>
                <w:p w14:paraId="57AA8804" w14:textId="77777777" w:rsidR="00260A50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Unopened</w:t>
                  </w:r>
                  <w:r w:rsidR="00CF7522">
                    <w:rPr>
                      <w:rFonts w:cs="Arial"/>
                      <w:bCs/>
                    </w:rPr>
                    <w:t>: Manufacture</w:t>
                  </w:r>
                  <w:r w:rsidR="00CC5786">
                    <w:rPr>
                      <w:rFonts w:cs="Arial"/>
                      <w:bCs/>
                    </w:rPr>
                    <w:t>r</w:t>
                  </w:r>
                  <w:r w:rsidR="00CF7522">
                    <w:rPr>
                      <w:rFonts w:cs="Arial"/>
                      <w:bCs/>
                    </w:rPr>
                    <w:t xml:space="preserve"> ex</w:t>
                  </w:r>
                  <w:r>
                    <w:rPr>
                      <w:rFonts w:cs="Arial"/>
                      <w:bCs/>
                    </w:rPr>
                    <w:t>piration date.</w:t>
                  </w:r>
                </w:p>
                <w:p w14:paraId="57AA8805" w14:textId="4416CD5B" w:rsidR="00260A50" w:rsidRPr="00260A50" w:rsidRDefault="00260A50" w:rsidP="00BA55D8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Opened</w:t>
                  </w:r>
                  <w:r>
                    <w:rPr>
                      <w:rFonts w:cs="Arial"/>
                      <w:bCs/>
                    </w:rPr>
                    <w:t xml:space="preserve">: Store at </w:t>
                  </w:r>
                  <w:r w:rsidRPr="00214007">
                    <w:rPr>
                      <w:rFonts w:cs="Arial"/>
                      <w:bCs/>
                    </w:rPr>
                    <w:t>2 – 8 °C</w:t>
                  </w:r>
                  <w:r w:rsidR="00CF7522">
                    <w:rPr>
                      <w:rFonts w:cs="Arial"/>
                      <w:bCs/>
                    </w:rPr>
                    <w:t xml:space="preserve">, </w:t>
                  </w:r>
                  <w:r w:rsidR="00BA55D8">
                    <w:rPr>
                      <w:rFonts w:cs="Arial"/>
                      <w:bCs/>
                    </w:rPr>
                    <w:t xml:space="preserve">Store in upright position. If cartridge does not remain upright during </w:t>
                  </w:r>
                  <w:r w:rsidR="00BA55D8" w:rsidRPr="00BA55D8">
                    <w:rPr>
                      <w:rFonts w:cs="Arial"/>
                      <w:bCs/>
                    </w:rPr>
                    <w:t>sto</w:t>
                  </w:r>
                  <w:r w:rsidR="00BA55D8">
                    <w:rPr>
                      <w:rFonts w:cs="Arial"/>
                      <w:bCs/>
                    </w:rPr>
                    <w:t xml:space="preserve">rage, discard the cartridge. Do not reuse original reagent caps or replacement caps due to the risk of contamination and the potential to compromise reagent performance. </w:t>
                  </w:r>
                </w:p>
              </w:tc>
            </w:tr>
            <w:tr w:rsidR="002265E2" w:rsidRPr="007B2A3E" w14:paraId="57AA880A" w14:textId="77777777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14:paraId="57AA8807" w14:textId="21229E74" w:rsidR="002265E2" w:rsidRDefault="00BA5AA9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Anti-HBs Specimen Diluent</w:t>
                  </w:r>
                </w:p>
              </w:tc>
              <w:tc>
                <w:tcPr>
                  <w:tcW w:w="1710" w:type="dxa"/>
                </w:tcPr>
                <w:p w14:paraId="57AA8808" w14:textId="3BF80D8D" w:rsidR="002265E2" w:rsidRPr="00DE32D9" w:rsidRDefault="00BA5AA9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BA5AA9">
                    <w:rPr>
                      <w:rFonts w:eastAsia="HelenPro-Regular" w:cs="Arial"/>
                      <w:szCs w:val="20"/>
                    </w:rPr>
                    <w:t>07P8841</w:t>
                  </w:r>
                </w:p>
              </w:tc>
              <w:tc>
                <w:tcPr>
                  <w:tcW w:w="4140" w:type="dxa"/>
                  <w:vAlign w:val="center"/>
                </w:tcPr>
                <w:p w14:paraId="7BDCC6D0" w14:textId="77777777" w:rsidR="00BA5AA9" w:rsidRPr="00BA5AA9" w:rsidRDefault="00BA5AA9" w:rsidP="00BA5AA9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BA5AA9">
                    <w:rPr>
                      <w:rFonts w:cs="Arial"/>
                      <w:b/>
                      <w:szCs w:val="20"/>
                    </w:rPr>
                    <w:t>Store at</w:t>
                  </w:r>
                  <w:r w:rsidRPr="00BA5AA9">
                    <w:rPr>
                      <w:rFonts w:cs="Arial"/>
                      <w:szCs w:val="20"/>
                    </w:rPr>
                    <w:t>:  2-8°C</w:t>
                  </w:r>
                </w:p>
                <w:p w14:paraId="5FC41E55" w14:textId="77777777" w:rsidR="00BA5AA9" w:rsidRPr="00BA5AA9" w:rsidRDefault="00BA5AA9" w:rsidP="00BA5AA9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BA5AA9">
                    <w:rPr>
                      <w:rFonts w:cs="Arial"/>
                      <w:b/>
                      <w:szCs w:val="20"/>
                    </w:rPr>
                    <w:t>Unopened</w:t>
                  </w:r>
                  <w:r w:rsidRPr="00BA5AA9">
                    <w:rPr>
                      <w:rFonts w:cs="Arial"/>
                      <w:szCs w:val="20"/>
                    </w:rPr>
                    <w:t>: Manufacturer expiration date.</w:t>
                  </w:r>
                </w:p>
                <w:p w14:paraId="57AA8809" w14:textId="6B038A0B" w:rsidR="002265E2" w:rsidRPr="007B2A3E" w:rsidRDefault="00BA5AA9" w:rsidP="00BA5AA9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BA5AA9">
                    <w:rPr>
                      <w:rFonts w:cs="Arial"/>
                      <w:b/>
                      <w:szCs w:val="20"/>
                    </w:rPr>
                    <w:t>Opened</w:t>
                  </w:r>
                  <w:r w:rsidRPr="00BA5AA9">
                    <w:rPr>
                      <w:rFonts w:cs="Arial"/>
                      <w:szCs w:val="20"/>
                    </w:rPr>
                    <w:t>: Store at 2 – 8 °C, Store tight</w:t>
                  </w:r>
                  <w:r>
                    <w:rPr>
                      <w:rFonts w:cs="Arial"/>
                      <w:szCs w:val="20"/>
                    </w:rPr>
                    <w:t xml:space="preserve">ly capped. Return to refrigerated </w:t>
                  </w:r>
                  <w:r w:rsidRPr="00BA5AA9">
                    <w:rPr>
                      <w:rFonts w:cs="Arial"/>
                      <w:szCs w:val="20"/>
                    </w:rPr>
                    <w:t>storage after use.</w:t>
                  </w:r>
                </w:p>
              </w:tc>
            </w:tr>
          </w:tbl>
          <w:p w14:paraId="57AA8817" w14:textId="77777777" w:rsidR="00B816B4" w:rsidRDefault="00B816B4" w:rsidP="008C6ED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8C6EDC" w14:paraId="57AA881E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19" w14:textId="77777777" w:rsidR="008C6EDC" w:rsidRPr="000201ED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57AA881A" w14:textId="77777777" w:rsidR="008C6EDC" w:rsidRPr="000201ED" w:rsidRDefault="008C6EDC">
            <w:pPr>
              <w:rPr>
                <w:rFonts w:cs="Arial"/>
                <w:b/>
                <w:bCs/>
                <w:color w:val="0000FF"/>
              </w:rPr>
            </w:pPr>
            <w:r w:rsidRPr="000201ED">
              <w:rPr>
                <w:rFonts w:cs="Arial"/>
                <w:b/>
                <w:bCs/>
                <w:color w:val="0000FF"/>
              </w:rPr>
              <w:t>Risk and Safety: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1B" w14:textId="77777777" w:rsidR="008C6EDC" w:rsidRPr="000201ED" w:rsidRDefault="008C6EDC">
            <w:pPr>
              <w:pStyle w:val="Pa13"/>
              <w:rPr>
                <w:rFonts w:ascii="Arial" w:hAnsi="Arial" w:cs="Arial"/>
                <w:color w:val="000000"/>
                <w:sz w:val="20"/>
                <w:szCs w:val="15"/>
              </w:rPr>
            </w:pPr>
          </w:p>
          <w:p w14:paraId="57AA881C" w14:textId="77777777" w:rsidR="008C6EDC" w:rsidRPr="000201ED" w:rsidRDefault="00A072CE" w:rsidP="00CF752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0201ED">
              <w:rPr>
                <w:rFonts w:eastAsia="HelenPro-Regular" w:cs="Arial"/>
                <w:szCs w:val="20"/>
              </w:rPr>
              <w:t xml:space="preserve">Contains sodium </w:t>
            </w:r>
            <w:r w:rsidR="0049199E" w:rsidRPr="000201ED">
              <w:rPr>
                <w:rFonts w:eastAsia="HelenPro-Regular" w:cs="Arial"/>
                <w:szCs w:val="20"/>
              </w:rPr>
              <w:t>azide</w:t>
            </w:r>
            <w:r w:rsidR="0049199E" w:rsidRPr="000201ED">
              <w:rPr>
                <w:rFonts w:ascii="HelenPro-Regular" w:eastAsia="HelenPro-Regular" w:hAnsi="Times New Roman" w:cs="HelenPro-Regular"/>
                <w:sz w:val="17"/>
                <w:szCs w:val="17"/>
              </w:rPr>
              <w:t>.</w:t>
            </w:r>
            <w:r w:rsidR="0049199E" w:rsidRPr="000201ED">
              <w:rPr>
                <w:rFonts w:cs="Arial"/>
                <w:szCs w:val="20"/>
              </w:rPr>
              <w:t xml:space="preserve">  Avoid</w:t>
            </w:r>
            <w:r w:rsidR="008C6EDC" w:rsidRPr="000201ED">
              <w:rPr>
                <w:rFonts w:cs="Arial"/>
                <w:szCs w:val="20"/>
              </w:rPr>
              <w:t xml:space="preserve"> contact with skin</w:t>
            </w:r>
            <w:r w:rsidRPr="000201ED">
              <w:rPr>
                <w:rFonts w:cs="Arial"/>
                <w:szCs w:val="20"/>
              </w:rPr>
              <w:t xml:space="preserve"> and eye.  Causes serious eye irritation. </w:t>
            </w:r>
            <w:r w:rsidR="008C6EDC" w:rsidRPr="000201ED">
              <w:rPr>
                <w:rFonts w:cs="Arial"/>
                <w:szCs w:val="20"/>
              </w:rPr>
              <w:t>Wear gloves.</w:t>
            </w:r>
            <w:r w:rsidRPr="000201ED">
              <w:rPr>
                <w:rFonts w:cs="Arial"/>
                <w:szCs w:val="20"/>
              </w:rPr>
              <w:t xml:space="preserve"> </w:t>
            </w:r>
            <w:r w:rsidRPr="000201ED">
              <w:rPr>
                <w:rFonts w:eastAsia="HelenPro-Regular" w:cs="Arial"/>
                <w:szCs w:val="20"/>
              </w:rPr>
              <w:t>Contact with acids liberates very toxic gas.</w:t>
            </w:r>
            <w:r w:rsidR="00CF7522" w:rsidRPr="000201ED">
              <w:rPr>
                <w:rFonts w:eastAsia="HelenPro-Regular" w:cs="Arial"/>
                <w:szCs w:val="20"/>
              </w:rPr>
              <w:t xml:space="preserve">  Recap and d</w:t>
            </w:r>
            <w:r w:rsidRPr="000201ED">
              <w:rPr>
                <w:rFonts w:eastAsia="HelenPro-Regular" w:cs="Arial"/>
                <w:szCs w:val="20"/>
              </w:rPr>
              <w:t>ispose of in approp</w:t>
            </w:r>
            <w:r w:rsidR="00CC5786">
              <w:rPr>
                <w:rFonts w:eastAsia="HelenPro-Regular" w:cs="Arial"/>
                <w:szCs w:val="20"/>
              </w:rPr>
              <w:t>riate Hazardous Waste Container unless empty, in which case reagent bottles can be disposed of in regular trash.</w:t>
            </w:r>
          </w:p>
          <w:p w14:paraId="57AA881D" w14:textId="77777777" w:rsidR="00CF7522" w:rsidRPr="000201ED" w:rsidRDefault="00CF7522" w:rsidP="00CF752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B816B4" w14:paraId="57AA8840" w14:textId="77777777" w:rsidTr="00D77746">
        <w:trPr>
          <w:trHeight w:val="554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1F" w14:textId="77777777" w:rsidR="00B816B4" w:rsidRDefault="00B816B4" w:rsidP="008C6EDC">
            <w:pPr>
              <w:pStyle w:val="BodyTextIndent"/>
            </w:pPr>
          </w:p>
          <w:p w14:paraId="57AA8820" w14:textId="77777777" w:rsidR="00B816B4" w:rsidRDefault="00B816B4" w:rsidP="008C6EDC">
            <w:pPr>
              <w:pStyle w:val="BodyTextIndent"/>
            </w:pPr>
            <w:r>
              <w:t>Calibration/ Verification/AMR</w:t>
            </w:r>
          </w:p>
          <w:p w14:paraId="57AA8821" w14:textId="77777777" w:rsidR="00B816B4" w:rsidRDefault="00B816B4" w:rsidP="008C6EDC">
            <w:pPr>
              <w:pStyle w:val="BodyTextIndent"/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22" w14:textId="77777777" w:rsidR="00B816B4" w:rsidRPr="00B13C1A" w:rsidRDefault="00B816B4" w:rsidP="008C6EDC">
            <w:pPr>
              <w:rPr>
                <w:rFonts w:cs="Arial"/>
                <w:szCs w:val="20"/>
              </w:rPr>
            </w:pP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7"/>
              <w:gridCol w:w="5760"/>
              <w:gridCol w:w="509"/>
            </w:tblGrid>
            <w:tr w:rsidR="00B816B4" w14:paraId="57AA8825" w14:textId="77777777" w:rsidTr="00814EAD">
              <w:trPr>
                <w:gridAfter w:val="1"/>
                <w:wAfter w:w="509" w:type="dxa"/>
                <w:trHeight w:val="377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A8823" w14:textId="77777777"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Analytical Measuring Range: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A8824" w14:textId="289A150A" w:rsidR="00B816B4" w:rsidRPr="00FC6715" w:rsidRDefault="0075796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3.31</w:t>
                  </w:r>
                  <w:r w:rsidR="00F62661" w:rsidRPr="00F6266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–</w:t>
                  </w:r>
                  <w:r w:rsidR="00F62661" w:rsidRPr="00F62661">
                    <w:rPr>
                      <w:rFonts w:ascii="Arial" w:hAnsi="Arial" w:cs="Arial"/>
                    </w:rPr>
                    <w:t xml:space="preserve"> 1000</w:t>
                  </w:r>
                  <w:r>
                    <w:rPr>
                      <w:rFonts w:ascii="Arial" w:hAnsi="Arial" w:cs="Arial"/>
                    </w:rPr>
                    <w:t>.0</w:t>
                  </w:r>
                  <w:r w:rsidR="00F62661" w:rsidRPr="00F62661">
                    <w:rPr>
                      <w:rFonts w:ascii="Arial" w:hAnsi="Arial" w:cs="Arial"/>
                    </w:rPr>
                    <w:t xml:space="preserve"> mIU/mL</w:t>
                  </w:r>
                </w:p>
              </w:tc>
            </w:tr>
            <w:tr w:rsidR="00B816B4" w14:paraId="57AA8828" w14:textId="77777777" w:rsidTr="00814EAD">
              <w:trPr>
                <w:gridAfter w:val="1"/>
                <w:wAfter w:w="509" w:type="dxa"/>
                <w:trHeight w:val="494"/>
              </w:trPr>
              <w:tc>
                <w:tcPr>
                  <w:tcW w:w="2947" w:type="dxa"/>
                  <w:tcBorders>
                    <w:top w:val="single" w:sz="4" w:space="0" w:color="auto"/>
                  </w:tcBorders>
                </w:tcPr>
                <w:p w14:paraId="57AA8826" w14:textId="77777777"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Reference Material: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</w:tcBorders>
                  <w:vAlign w:val="center"/>
                </w:tcPr>
                <w:p w14:paraId="57AA8827" w14:textId="7789DE66" w:rsidR="00B816B4" w:rsidRPr="00E14C48" w:rsidRDefault="00BA5AA9" w:rsidP="00F62661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Anti-HBs Calibrators</w:t>
                  </w:r>
                </w:p>
              </w:tc>
            </w:tr>
            <w:tr w:rsidR="00B816B4" w14:paraId="57AA8830" w14:textId="77777777" w:rsidTr="00814EAD">
              <w:trPr>
                <w:gridAfter w:val="1"/>
                <w:wAfter w:w="509" w:type="dxa"/>
                <w:trHeight w:val="521"/>
              </w:trPr>
              <w:tc>
                <w:tcPr>
                  <w:tcW w:w="2947" w:type="dxa"/>
                </w:tcPr>
                <w:p w14:paraId="57AA8829" w14:textId="77777777" w:rsidR="00B816B4" w:rsidRPr="00E14C48" w:rsidRDefault="00B816B4" w:rsidP="00814EAD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Suggested Calibration Levels</w:t>
                  </w:r>
                </w:p>
              </w:tc>
              <w:tc>
                <w:tcPr>
                  <w:tcW w:w="5760" w:type="dxa"/>
                  <w:vAlign w:val="center"/>
                </w:tcPr>
                <w:p w14:paraId="57AA882A" w14:textId="77777777" w:rsidR="00B816B4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="00260A50">
                    <w:rPr>
                      <w:rFonts w:ascii="Arial" w:hAnsi="Arial" w:cs="Arial"/>
                    </w:rPr>
                    <w:t xml:space="preserve"> – 0.0 </w:t>
                  </w:r>
                  <w:r w:rsidR="00F62661" w:rsidRPr="00F62661">
                    <w:rPr>
                      <w:rFonts w:ascii="Arial" w:hAnsi="Arial" w:cs="Arial"/>
                    </w:rPr>
                    <w:t>mIU/mL</w:t>
                  </w:r>
                </w:p>
                <w:p w14:paraId="57AA882B" w14:textId="3A25E74A" w:rsidR="00260A50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="00F62661">
                    <w:rPr>
                      <w:rFonts w:ascii="Arial" w:hAnsi="Arial" w:cs="Arial"/>
                    </w:rPr>
                    <w:t xml:space="preserve"> – 10</w:t>
                  </w:r>
                  <w:r w:rsidR="00757965">
                    <w:rPr>
                      <w:rFonts w:ascii="Arial" w:hAnsi="Arial" w:cs="Arial"/>
                    </w:rPr>
                    <w:t>.0</w:t>
                  </w:r>
                  <w:r w:rsidR="00F62661">
                    <w:rPr>
                      <w:rFonts w:ascii="Arial" w:hAnsi="Arial" w:cs="Arial"/>
                    </w:rPr>
                    <w:t xml:space="preserve"> </w:t>
                  </w:r>
                  <w:r w:rsidR="00F62661" w:rsidRPr="00F62661">
                    <w:rPr>
                      <w:rFonts w:ascii="Arial" w:hAnsi="Arial" w:cs="Arial"/>
                    </w:rPr>
                    <w:t>mIU/mL</w:t>
                  </w:r>
                </w:p>
                <w:p w14:paraId="57AA882C" w14:textId="318C62B1"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="00BA5AA9">
                    <w:rPr>
                      <w:rFonts w:ascii="Arial" w:hAnsi="Arial" w:cs="Arial"/>
                    </w:rPr>
                    <w:t xml:space="preserve"> – 5</w:t>
                  </w:r>
                  <w:r w:rsidR="00F62661">
                    <w:rPr>
                      <w:rFonts w:ascii="Arial" w:hAnsi="Arial" w:cs="Arial"/>
                    </w:rPr>
                    <w:t xml:space="preserve">0.0 </w:t>
                  </w:r>
                  <w:r w:rsidR="00F62661" w:rsidRPr="00F62661">
                    <w:rPr>
                      <w:rFonts w:ascii="Arial" w:hAnsi="Arial" w:cs="Arial"/>
                    </w:rPr>
                    <w:t>mIU/mL</w:t>
                  </w:r>
                </w:p>
                <w:p w14:paraId="57AA882D" w14:textId="77777777"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="00F62661">
                    <w:rPr>
                      <w:rFonts w:ascii="Arial" w:hAnsi="Arial" w:cs="Arial"/>
                    </w:rPr>
                    <w:t xml:space="preserve"> – 100.0 </w:t>
                  </w:r>
                  <w:r w:rsidR="00F62661" w:rsidRPr="00F62661">
                    <w:rPr>
                      <w:rFonts w:ascii="Arial" w:hAnsi="Arial" w:cs="Arial"/>
                    </w:rPr>
                    <w:t>mIU/mL</w:t>
                  </w:r>
                </w:p>
                <w:p w14:paraId="57AA882E" w14:textId="77777777"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="00F62661">
                    <w:rPr>
                      <w:rFonts w:ascii="Arial" w:hAnsi="Arial" w:cs="Arial"/>
                    </w:rPr>
                    <w:t xml:space="preserve"> – 500.0 </w:t>
                  </w:r>
                  <w:r w:rsidR="00F62661" w:rsidRPr="00F62661">
                    <w:rPr>
                      <w:rFonts w:ascii="Arial" w:hAnsi="Arial" w:cs="Arial"/>
                    </w:rPr>
                    <w:t>mIU/mL</w:t>
                  </w:r>
                </w:p>
                <w:p w14:paraId="57AA882F" w14:textId="77777777" w:rsidR="00260A50" w:rsidRPr="00E14C48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  <w:r w:rsidR="00F62661">
                    <w:rPr>
                      <w:rFonts w:ascii="Arial" w:hAnsi="Arial" w:cs="Arial"/>
                    </w:rPr>
                    <w:t xml:space="preserve"> – 1</w:t>
                  </w:r>
                  <w:r w:rsidR="00260A50">
                    <w:rPr>
                      <w:rFonts w:ascii="Arial" w:hAnsi="Arial" w:cs="Arial"/>
                    </w:rPr>
                    <w:t>00</w:t>
                  </w:r>
                  <w:r w:rsidR="00F62661">
                    <w:rPr>
                      <w:rFonts w:ascii="Arial" w:hAnsi="Arial" w:cs="Arial"/>
                    </w:rPr>
                    <w:t xml:space="preserve">0.0 </w:t>
                  </w:r>
                  <w:r w:rsidR="00F62661" w:rsidRPr="00F62661">
                    <w:rPr>
                      <w:rFonts w:ascii="Arial" w:hAnsi="Arial" w:cs="Arial"/>
                    </w:rPr>
                    <w:t>mIU/mL</w:t>
                  </w:r>
                </w:p>
              </w:tc>
            </w:tr>
            <w:tr w:rsidR="00B816B4" w14:paraId="57AA8833" w14:textId="77777777" w:rsidTr="00814EAD">
              <w:trPr>
                <w:gridAfter w:val="1"/>
                <w:wAfter w:w="509" w:type="dxa"/>
                <w:trHeight w:val="440"/>
              </w:trPr>
              <w:tc>
                <w:tcPr>
                  <w:tcW w:w="2947" w:type="dxa"/>
                </w:tcPr>
                <w:p w14:paraId="57AA8831" w14:textId="77777777"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Scheme:</w:t>
                  </w:r>
                </w:p>
              </w:tc>
              <w:tc>
                <w:tcPr>
                  <w:tcW w:w="5760" w:type="dxa"/>
                  <w:vAlign w:val="center"/>
                </w:tcPr>
                <w:p w14:paraId="57AA8832" w14:textId="77777777" w:rsidR="00B816B4" w:rsidRPr="00E14C48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n=6</w:t>
                  </w:r>
                </w:p>
              </w:tc>
            </w:tr>
            <w:tr w:rsidR="00B816B4" w14:paraId="57AA8838" w14:textId="77777777" w:rsidTr="003571BD">
              <w:trPr>
                <w:gridAfter w:val="1"/>
                <w:wAfter w:w="509" w:type="dxa"/>
                <w:trHeight w:val="1169"/>
              </w:trPr>
              <w:tc>
                <w:tcPr>
                  <w:tcW w:w="2947" w:type="dxa"/>
                </w:tcPr>
                <w:p w14:paraId="57AA8834" w14:textId="77777777"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Frequency:</w:t>
                  </w:r>
                </w:p>
              </w:tc>
              <w:tc>
                <w:tcPr>
                  <w:tcW w:w="5760" w:type="dxa"/>
                  <w:vAlign w:val="center"/>
                </w:tcPr>
                <w:p w14:paraId="57AA8835" w14:textId="77777777"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For each new lot of reagent </w:t>
                  </w:r>
                </w:p>
                <w:p w14:paraId="57AA8836" w14:textId="77777777"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After major maintenance or service, if indicated by quality control results</w:t>
                  </w:r>
                </w:p>
                <w:p w14:paraId="57AA8837" w14:textId="77777777"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 indicated in laboratory quality control procedures</w:t>
                  </w:r>
                </w:p>
              </w:tc>
            </w:tr>
            <w:tr w:rsidR="00B816B4" w14:paraId="57AA883C" w14:textId="77777777" w:rsidTr="003571BD">
              <w:trPr>
                <w:gridAfter w:val="1"/>
                <w:wAfter w:w="509" w:type="dxa"/>
                <w:trHeight w:val="989"/>
              </w:trPr>
              <w:tc>
                <w:tcPr>
                  <w:tcW w:w="2947" w:type="dxa"/>
                  <w:tcBorders>
                    <w:bottom w:val="single" w:sz="4" w:space="0" w:color="auto"/>
                  </w:tcBorders>
                </w:tcPr>
                <w:p w14:paraId="57AA8839" w14:textId="77777777"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AMR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vAlign w:val="center"/>
                </w:tcPr>
                <w:p w14:paraId="57AA883A" w14:textId="77777777"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of AMR is accomplished with each calibration.</w:t>
                  </w:r>
                </w:p>
                <w:p w14:paraId="57AA883B" w14:textId="77777777" w:rsidR="00B816B4" w:rsidRPr="003571BD" w:rsidRDefault="00B816B4" w:rsidP="003571BD">
                  <w:pPr>
                    <w:numPr>
                      <w:ilvl w:val="0"/>
                      <w:numId w:val="15"/>
                    </w:num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Cal Verification and AMR verification are performed at least once every six (6) months.</w:t>
                  </w:r>
                </w:p>
              </w:tc>
            </w:tr>
            <w:tr w:rsidR="00B816B4" w14:paraId="57AA883E" w14:textId="77777777" w:rsidTr="00B816B4">
              <w:tc>
                <w:tcPr>
                  <w:tcW w:w="921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57AA883D" w14:textId="77777777" w:rsidR="00B816B4" w:rsidRPr="00B13C1A" w:rsidRDefault="00B816B4" w:rsidP="008C6EDC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7AA883F" w14:textId="77777777" w:rsidR="00B816B4" w:rsidRPr="00FB1EFD" w:rsidRDefault="00B816B4" w:rsidP="008C6EDC">
            <w:pPr>
              <w:pStyle w:val="Default"/>
            </w:pPr>
          </w:p>
        </w:tc>
      </w:tr>
      <w:tr w:rsidR="00B816B4" w14:paraId="57AA8852" w14:textId="77777777" w:rsidTr="00D77746">
        <w:trPr>
          <w:cantSplit/>
          <w:trHeight w:val="5112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41" w14:textId="77777777" w:rsidR="00B816B4" w:rsidRDefault="00B816B4" w:rsidP="008C6EDC">
            <w:pPr>
              <w:ind w:right="-108"/>
              <w:rPr>
                <w:rFonts w:cs="Arial"/>
                <w:b/>
                <w:bCs/>
                <w:color w:val="0000FF"/>
              </w:rPr>
            </w:pPr>
          </w:p>
          <w:p w14:paraId="57AA8842" w14:textId="77777777" w:rsidR="00B816B4" w:rsidRDefault="00B816B4" w:rsidP="008C6EDC">
            <w:pPr>
              <w:ind w:right="-108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Quality Control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843" w14:textId="77777777" w:rsidR="001B0FCF" w:rsidRDefault="0049199E" w:rsidP="001B0F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Bio-Rad</w:t>
            </w:r>
            <w:r w:rsidR="001B0FCF">
              <w:rPr>
                <w:rFonts w:cs="Arial"/>
                <w:bCs/>
                <w:szCs w:val="20"/>
              </w:rPr>
              <w:t xml:space="preserve"> Viroclear </w:t>
            </w:r>
            <w:r w:rsidR="00CC5786">
              <w:rPr>
                <w:rFonts w:cs="Arial"/>
                <w:bCs/>
                <w:szCs w:val="20"/>
              </w:rPr>
              <w:t xml:space="preserve">Control, and </w:t>
            </w:r>
            <w:r>
              <w:rPr>
                <w:rFonts w:cs="Arial"/>
                <w:bCs/>
                <w:szCs w:val="20"/>
              </w:rPr>
              <w:t>Bio-Rad</w:t>
            </w:r>
            <w:r w:rsidR="00CC5786">
              <w:rPr>
                <w:rFonts w:cs="Arial"/>
                <w:bCs/>
                <w:szCs w:val="20"/>
              </w:rPr>
              <w:t xml:space="preserve"> Virotrol II (2)</w:t>
            </w:r>
          </w:p>
          <w:p w14:paraId="57AA8844" w14:textId="77777777" w:rsidR="001B0FCF" w:rsidRPr="001B0FCF" w:rsidRDefault="001B0FCF" w:rsidP="001B0F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</w:p>
          <w:p w14:paraId="57AA8845" w14:textId="77777777" w:rsidR="00B816B4" w:rsidRDefault="00B816B4" w:rsidP="001B0F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B0FCF">
              <w:rPr>
                <w:rFonts w:cs="Arial"/>
                <w:b/>
                <w:bCs/>
                <w:szCs w:val="20"/>
              </w:rPr>
              <w:t xml:space="preserve">Frequency: </w:t>
            </w:r>
            <w:r w:rsidR="001B0FCF" w:rsidRPr="001B0FCF">
              <w:rPr>
                <w:rFonts w:cs="Arial"/>
                <w:szCs w:val="20"/>
              </w:rPr>
              <w:t>Run</w:t>
            </w:r>
            <w:r w:rsidR="003571BD" w:rsidRPr="001B0FCF">
              <w:rPr>
                <w:rFonts w:cs="Arial"/>
                <w:szCs w:val="20"/>
              </w:rPr>
              <w:t xml:space="preserve"> </w:t>
            </w:r>
            <w:r w:rsidR="001B0FCF">
              <w:rPr>
                <w:rFonts w:cs="Arial"/>
                <w:szCs w:val="20"/>
              </w:rPr>
              <w:t xml:space="preserve">both controls </w:t>
            </w:r>
            <w:r w:rsidR="003571BD" w:rsidRPr="001B0FCF">
              <w:rPr>
                <w:rFonts w:cs="Arial"/>
                <w:szCs w:val="20"/>
              </w:rPr>
              <w:t>each day of use.</w:t>
            </w:r>
          </w:p>
          <w:p w14:paraId="57AA8846" w14:textId="77777777" w:rsidR="001B0FCF" w:rsidRPr="001B0FCF" w:rsidRDefault="001B0FCF" w:rsidP="001B0F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</w:p>
          <w:p w14:paraId="57AA8847" w14:textId="77777777"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Style w:val="tgc"/>
                <w:rFonts w:cs="Arial"/>
                <w:color w:val="22222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Stability</w:t>
            </w:r>
            <w:r w:rsidR="00A82A92">
              <w:rPr>
                <w:rFonts w:cs="Arial"/>
                <w:b/>
                <w:bCs/>
                <w:szCs w:val="20"/>
              </w:rPr>
              <w:t xml:space="preserve">: </w:t>
            </w:r>
            <w:r w:rsidR="001B0FCF">
              <w:rPr>
                <w:rFonts w:cs="Arial"/>
                <w:bCs/>
                <w:szCs w:val="20"/>
              </w:rPr>
              <w:t>6</w:t>
            </w:r>
            <w:r w:rsidR="00A82A92">
              <w:rPr>
                <w:rFonts w:cs="Arial"/>
                <w:bCs/>
                <w:szCs w:val="20"/>
              </w:rPr>
              <w:t>0 Day</w:t>
            </w:r>
            <w:r w:rsidR="001B0FCF">
              <w:rPr>
                <w:rFonts w:cs="Arial"/>
                <w:bCs/>
                <w:szCs w:val="20"/>
              </w:rPr>
              <w:t>s</w:t>
            </w:r>
            <w:r w:rsidR="00A82A92">
              <w:rPr>
                <w:rFonts w:cs="Arial"/>
                <w:bCs/>
                <w:szCs w:val="20"/>
              </w:rPr>
              <w:t xml:space="preserve"> at</w:t>
            </w:r>
            <w:r w:rsidR="001B0FCF">
              <w:rPr>
                <w:rFonts w:cs="Arial"/>
                <w:bCs/>
                <w:szCs w:val="20"/>
              </w:rPr>
              <w:t xml:space="preserve"> 2-8</w:t>
            </w:r>
            <w:r w:rsidR="00A82A92" w:rsidRPr="00A11958">
              <w:rPr>
                <w:rStyle w:val="tgc"/>
                <w:rFonts w:cs="Arial"/>
                <w:color w:val="222222"/>
                <w:szCs w:val="20"/>
              </w:rPr>
              <w:t>°C</w:t>
            </w:r>
            <w:r w:rsidR="00A82A92">
              <w:rPr>
                <w:rStyle w:val="tgc"/>
                <w:rFonts w:cs="Arial"/>
                <w:color w:val="222222"/>
                <w:szCs w:val="20"/>
              </w:rPr>
              <w:t>.</w:t>
            </w:r>
            <w:r w:rsidR="00CC5786">
              <w:rPr>
                <w:rStyle w:val="tgc"/>
                <w:rFonts w:cs="Arial"/>
                <w:color w:val="222222"/>
                <w:szCs w:val="20"/>
              </w:rPr>
              <w:t xml:space="preserve">  Store Upright.</w:t>
            </w:r>
          </w:p>
          <w:p w14:paraId="57AA884A" w14:textId="77777777" w:rsidR="00B816B4" w:rsidRDefault="00B816B4" w:rsidP="008C6EDC">
            <w:pPr>
              <w:jc w:val="both"/>
              <w:rPr>
                <w:rFonts w:cs="Arial"/>
                <w:b/>
                <w:bCs/>
              </w:rPr>
            </w:pPr>
          </w:p>
          <w:p w14:paraId="57AA884B" w14:textId="77777777" w:rsidR="00B816B4" w:rsidRDefault="00B816B4" w:rsidP="008C6ED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Acceptable ranges:</w:t>
            </w:r>
            <w:r>
              <w:rPr>
                <w:rFonts w:cs="Arial"/>
              </w:rPr>
              <w:t xml:space="preserve"> </w:t>
            </w:r>
          </w:p>
          <w:p w14:paraId="7E721BDC" w14:textId="77777777" w:rsidR="00032ED4" w:rsidRDefault="00032ED4" w:rsidP="00032ED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Non-Bio-Rad controls will utilize manufacturer ranges and 2 SD Westgard rules.  </w:t>
            </w:r>
          </w:p>
          <w:p w14:paraId="7AA3CCE4" w14:textId="77777777" w:rsidR="00032ED4" w:rsidRDefault="00032ED4" w:rsidP="00032ED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New lots of Bio-Rad controls should be run for 20 days in parallel with the current lot whenever possible prior to switching to the new lot.  </w:t>
            </w:r>
          </w:p>
          <w:p w14:paraId="78F83E56" w14:textId="77777777" w:rsidR="00032ED4" w:rsidRDefault="00032ED4" w:rsidP="00032ED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Refer to the Westgard Rules in Chemistry procedure for current Westgard rules in place for each analyte.  </w:t>
            </w:r>
          </w:p>
          <w:p w14:paraId="667C5EA7" w14:textId="77777777" w:rsidR="00032ED4" w:rsidRDefault="00032ED4" w:rsidP="00032E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Acceptable ranges are current in Unity Real Time only.</w:t>
            </w:r>
            <w:r>
              <w:rPr>
                <w:rFonts w:cs="Arial"/>
                <w:szCs w:val="20"/>
              </w:rPr>
              <w:t xml:space="preserve">  Quality Control results must be rejected in Sunquest when the results cross the interface.  </w:t>
            </w:r>
          </w:p>
          <w:p w14:paraId="4C481EC9" w14:textId="77777777" w:rsidR="00032ED4" w:rsidRDefault="00032ED4" w:rsidP="00032E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In the event of a QC failure, refer to the </w:t>
            </w:r>
            <w:hyperlink r:id="rId12" w:history="1">
              <w:r>
                <w:rPr>
                  <w:rStyle w:val="Hyperlink"/>
                  <w:rFonts w:cs="Arial"/>
                  <w:szCs w:val="20"/>
                </w:rPr>
                <w:t>Unity Real Time QC Review, General User</w:t>
              </w:r>
            </w:hyperlink>
            <w:r>
              <w:rPr>
                <w:rFonts w:cs="Arial"/>
                <w:szCs w:val="20"/>
              </w:rPr>
              <w:t xml:space="preserve"> and navigate to the QC Troubleshooting section.</w:t>
            </w:r>
          </w:p>
          <w:p w14:paraId="57AA8851" w14:textId="68B1AF3A" w:rsidR="00733DA6" w:rsidRPr="00032ED4" w:rsidRDefault="00032ED4" w:rsidP="00032E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Do not load or release patients until QC is acceptable in Unity Real Time.  </w:t>
            </w:r>
          </w:p>
        </w:tc>
      </w:tr>
      <w:tr w:rsidR="008C6EDC" w14:paraId="57AA8860" w14:textId="77777777" w:rsidTr="00D120DB">
        <w:trPr>
          <w:cantSplit/>
          <w:trHeight w:val="194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53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57AA8854" w14:textId="77777777" w:rsidR="008C6EDC" w:rsidRDefault="00D77746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Li</w:t>
            </w:r>
            <w:r w:rsidR="00CC5786">
              <w:rPr>
                <w:rFonts w:cs="Arial"/>
                <w:b/>
                <w:bCs/>
                <w:color w:val="0000FF"/>
              </w:rPr>
              <w:t>mitations of the Procedure</w:t>
            </w:r>
          </w:p>
          <w:p w14:paraId="57AA8855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856" w14:textId="77777777" w:rsidR="003B5727" w:rsidRDefault="003B5727" w:rsidP="003258F1">
            <w:pPr>
              <w:autoSpaceDE w:val="0"/>
              <w:autoSpaceDN w:val="0"/>
              <w:adjustRightInd w:val="0"/>
              <w:rPr>
                <w:rFonts w:eastAsia="HelenPro-Bold" w:cs="Arial"/>
                <w:b/>
                <w:bCs/>
                <w:szCs w:val="20"/>
              </w:rPr>
            </w:pPr>
          </w:p>
          <w:p w14:paraId="57AA8857" w14:textId="77777777" w:rsidR="00D77746" w:rsidRPr="00D77746" w:rsidRDefault="00D77746" w:rsidP="003258F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77746">
              <w:rPr>
                <w:rFonts w:eastAsia="HelenPro-Regular" w:cs="Arial"/>
                <w:szCs w:val="20"/>
              </w:rPr>
              <w:t>For diagnostic purposes, results should be used in conjunction with patient history and other hepatitis markers for diagnosis of acute and chronic infection.</w:t>
            </w:r>
          </w:p>
          <w:p w14:paraId="57AA8858" w14:textId="77777777" w:rsidR="00D77746" w:rsidRPr="00D77746" w:rsidRDefault="00D77746" w:rsidP="003258F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77746">
              <w:rPr>
                <w:rFonts w:eastAsia="HelenPro-Regular" w:cs="Arial"/>
                <w:szCs w:val="20"/>
              </w:rPr>
              <w:t>A non-reactive test result does not exclude the possibility of exposure to hepatitis B virus.</w:t>
            </w:r>
          </w:p>
          <w:p w14:paraId="57AA8859" w14:textId="7CB7281E" w:rsidR="00D77746" w:rsidRPr="00D77746" w:rsidRDefault="00D77746" w:rsidP="003258F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77746">
              <w:rPr>
                <w:rFonts w:eastAsia="HelenPro-Regular" w:cs="Arial"/>
                <w:szCs w:val="20"/>
              </w:rPr>
              <w:t>Resul</w:t>
            </w:r>
            <w:r w:rsidR="00032ED4">
              <w:rPr>
                <w:rFonts w:eastAsia="HelenPro-Regular" w:cs="Arial"/>
                <w:szCs w:val="20"/>
              </w:rPr>
              <w:t>ts obtained with the Alinity i Anti-HBs</w:t>
            </w:r>
            <w:r w:rsidRPr="00D77746">
              <w:rPr>
                <w:rFonts w:eastAsia="HelenPro-Regular" w:cs="Arial"/>
                <w:szCs w:val="20"/>
              </w:rPr>
              <w:t xml:space="preserve"> assay may not be used interchangeably with values obtained with different manufacturers’ assay methods.</w:t>
            </w:r>
          </w:p>
          <w:p w14:paraId="57AA885A" w14:textId="77777777" w:rsidR="00D77746" w:rsidRPr="00D77746" w:rsidRDefault="00D77746" w:rsidP="003258F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77746">
              <w:rPr>
                <w:rFonts w:eastAsia="HelenPro-Regular" w:cs="Arial"/>
                <w:szCs w:val="20"/>
              </w:rPr>
              <w:t>Results from immunosuppressed patients should be interpreted with caution.</w:t>
            </w:r>
          </w:p>
          <w:p w14:paraId="57AA885B" w14:textId="77777777" w:rsidR="00D77746" w:rsidRPr="00D77746" w:rsidRDefault="00D77746" w:rsidP="003258F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77746">
              <w:rPr>
                <w:rFonts w:eastAsia="HelenPro-Regular" w:cs="Arial"/>
                <w:szCs w:val="20"/>
              </w:rPr>
              <w:t>Assay does not differentiate between vaccines and natural infections.</w:t>
            </w:r>
          </w:p>
          <w:p w14:paraId="57AA885C" w14:textId="77777777" w:rsidR="00D77746" w:rsidRPr="00D77746" w:rsidRDefault="00D77746" w:rsidP="003258F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77746">
              <w:rPr>
                <w:rFonts w:eastAsia="HelenPro-Regular" w:cs="Arial"/>
                <w:szCs w:val="20"/>
              </w:rPr>
              <w:t>Performance characteristics have not been established for therapeutic monitoring.</w:t>
            </w:r>
          </w:p>
          <w:p w14:paraId="57AA885D" w14:textId="77777777" w:rsidR="00A82A92" w:rsidRDefault="00D77746" w:rsidP="003258F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D77746">
              <w:rPr>
                <w:rFonts w:eastAsia="HelenPro-Regular" w:cs="Arial"/>
                <w:szCs w:val="20"/>
              </w:rPr>
              <w:t>A reactive anti-HBs result does not exclude co-infection by another hepatitis virus.</w:t>
            </w:r>
          </w:p>
          <w:p w14:paraId="57AA885E" w14:textId="77777777" w:rsidR="00CC5786" w:rsidRDefault="00CC5786" w:rsidP="003258F1">
            <w:pPr>
              <w:numPr>
                <w:ilvl w:val="1"/>
                <w:numId w:val="16"/>
              </w:numPr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The instrument reporting system contains error messages to warn the operator of specific malfunctions. Refer to Operator’s Manual for troubleshooting specific error messages.</w:t>
            </w:r>
          </w:p>
          <w:p w14:paraId="57AA885F" w14:textId="77777777" w:rsidR="00D77746" w:rsidRPr="00D77746" w:rsidRDefault="00D77746" w:rsidP="00D77746">
            <w:pPr>
              <w:autoSpaceDE w:val="0"/>
              <w:autoSpaceDN w:val="0"/>
              <w:adjustRightInd w:val="0"/>
              <w:rPr>
                <w:rFonts w:ascii="HelenPro-Regular" w:eastAsia="HelenPro-Regular" w:hAnsi="Times New Roman" w:cs="HelenPro-Regular"/>
                <w:sz w:val="16"/>
                <w:szCs w:val="16"/>
              </w:rPr>
            </w:pPr>
          </w:p>
        </w:tc>
      </w:tr>
      <w:tr w:rsidR="008C6EDC" w14:paraId="57AA886F" w14:textId="77777777" w:rsidTr="005A51FB">
        <w:trPr>
          <w:trHeight w:val="176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861" w14:textId="77777777" w:rsidR="008C6EDC" w:rsidRPr="004D6965" w:rsidRDefault="008C6EDC" w:rsidP="008C6EDC">
            <w:pPr>
              <w:jc w:val="both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Reference Range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666"/>
            </w:tblGrid>
            <w:tr w:rsidR="009A3F1E" w14:paraId="57AA8864" w14:textId="77777777" w:rsidTr="005A51FB">
              <w:trPr>
                <w:trHeight w:val="262"/>
              </w:trPr>
              <w:tc>
                <w:tcPr>
                  <w:tcW w:w="2665" w:type="dxa"/>
                </w:tcPr>
                <w:p w14:paraId="57AA8862" w14:textId="77777777" w:rsidR="009A3F1E" w:rsidRPr="009A3F1E" w:rsidRDefault="009A3F1E" w:rsidP="00D77746">
                  <w:pPr>
                    <w:jc w:val="both"/>
                    <w:rPr>
                      <w:rFonts w:cs="Arial"/>
                      <w:b/>
                    </w:rPr>
                  </w:pPr>
                  <w:r w:rsidRPr="009A3F1E">
                    <w:rPr>
                      <w:rFonts w:cs="Arial"/>
                      <w:b/>
                    </w:rPr>
                    <w:t>Numerical Value</w:t>
                  </w:r>
                </w:p>
              </w:tc>
              <w:tc>
                <w:tcPr>
                  <w:tcW w:w="2666" w:type="dxa"/>
                </w:tcPr>
                <w:p w14:paraId="57AA8863" w14:textId="77777777" w:rsidR="009A3F1E" w:rsidRPr="009A3F1E" w:rsidRDefault="0049199E" w:rsidP="00D77746">
                  <w:pPr>
                    <w:jc w:val="both"/>
                    <w:rPr>
                      <w:rFonts w:cs="Arial"/>
                      <w:b/>
                    </w:rPr>
                  </w:pPr>
                  <w:r w:rsidRPr="009A3F1E">
                    <w:rPr>
                      <w:rFonts w:cs="Arial"/>
                      <w:b/>
                    </w:rPr>
                    <w:t>Interpretation</w:t>
                  </w:r>
                </w:p>
              </w:tc>
            </w:tr>
            <w:tr w:rsidR="009A3F1E" w14:paraId="57AA8867" w14:textId="77777777" w:rsidTr="00A459CC">
              <w:trPr>
                <w:trHeight w:val="215"/>
              </w:trPr>
              <w:tc>
                <w:tcPr>
                  <w:tcW w:w="2665" w:type="dxa"/>
                </w:tcPr>
                <w:p w14:paraId="57AA8865" w14:textId="77777777" w:rsidR="009A3F1E" w:rsidRDefault="009A3F1E" w:rsidP="00D77746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&lt;8.0 </w:t>
                  </w:r>
                  <w:r w:rsidRPr="009A3F1E">
                    <w:rPr>
                      <w:rFonts w:cs="Arial"/>
                    </w:rPr>
                    <w:t>mIU/mL</w:t>
                  </w:r>
                </w:p>
              </w:tc>
              <w:tc>
                <w:tcPr>
                  <w:tcW w:w="2666" w:type="dxa"/>
                </w:tcPr>
                <w:p w14:paraId="57AA8866" w14:textId="77777777" w:rsidR="009A3F1E" w:rsidRDefault="00733DA6" w:rsidP="00D77746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Non-</w:t>
                  </w:r>
                  <w:r w:rsidR="009A3F1E">
                    <w:rPr>
                      <w:rFonts w:cs="Arial"/>
                    </w:rPr>
                    <w:t>Reactive</w:t>
                  </w:r>
                </w:p>
              </w:tc>
            </w:tr>
            <w:tr w:rsidR="009A3F1E" w14:paraId="57AA886A" w14:textId="77777777" w:rsidTr="005A51FB">
              <w:trPr>
                <w:trHeight w:val="262"/>
              </w:trPr>
              <w:tc>
                <w:tcPr>
                  <w:tcW w:w="2665" w:type="dxa"/>
                </w:tcPr>
                <w:p w14:paraId="57AA8868" w14:textId="77777777" w:rsidR="009A3F1E" w:rsidRDefault="009A3F1E" w:rsidP="00D77746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8.0 – 12.0 </w:t>
                  </w:r>
                  <w:r w:rsidRPr="009A3F1E">
                    <w:rPr>
                      <w:rFonts w:cs="Arial"/>
                    </w:rPr>
                    <w:t>mIU/mL</w:t>
                  </w:r>
                </w:p>
              </w:tc>
              <w:tc>
                <w:tcPr>
                  <w:tcW w:w="2666" w:type="dxa"/>
                </w:tcPr>
                <w:p w14:paraId="57AA8869" w14:textId="77777777" w:rsidR="009A3F1E" w:rsidRDefault="00A459CC" w:rsidP="00D77746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Equivocal</w:t>
                  </w:r>
                </w:p>
              </w:tc>
            </w:tr>
            <w:tr w:rsidR="009A3F1E" w14:paraId="57AA886D" w14:textId="77777777" w:rsidTr="005A51FB">
              <w:trPr>
                <w:trHeight w:val="274"/>
              </w:trPr>
              <w:tc>
                <w:tcPr>
                  <w:tcW w:w="2665" w:type="dxa"/>
                </w:tcPr>
                <w:p w14:paraId="57AA886B" w14:textId="77777777" w:rsidR="009A3F1E" w:rsidRDefault="009A3F1E" w:rsidP="00D77746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&gt;12.01 </w:t>
                  </w:r>
                  <w:r w:rsidRPr="009A3F1E">
                    <w:rPr>
                      <w:rFonts w:cs="Arial"/>
                    </w:rPr>
                    <w:t>mIU/</w:t>
                  </w:r>
                  <w:r w:rsidR="006058D6">
                    <w:rPr>
                      <w:rFonts w:cs="Arial"/>
                    </w:rPr>
                    <w:t>mL</w:t>
                  </w:r>
                </w:p>
              </w:tc>
              <w:tc>
                <w:tcPr>
                  <w:tcW w:w="2666" w:type="dxa"/>
                </w:tcPr>
                <w:p w14:paraId="57AA886C" w14:textId="77777777" w:rsidR="009A3F1E" w:rsidRDefault="009A3F1E" w:rsidP="00D77746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Reactive</w:t>
                  </w:r>
                </w:p>
              </w:tc>
            </w:tr>
          </w:tbl>
          <w:p w14:paraId="57AA886E" w14:textId="77777777" w:rsidR="001F2FF6" w:rsidRDefault="001F2FF6" w:rsidP="00D77746">
            <w:pPr>
              <w:jc w:val="both"/>
              <w:rPr>
                <w:rFonts w:cs="Arial"/>
              </w:rPr>
            </w:pPr>
          </w:p>
        </w:tc>
      </w:tr>
      <w:tr w:rsidR="008C6EDC" w14:paraId="57AA8872" w14:textId="77777777" w:rsidTr="00D120DB">
        <w:trPr>
          <w:trHeight w:val="701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870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Critical Values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871" w14:textId="77777777" w:rsidR="008C6EDC" w:rsidRDefault="008C6EDC" w:rsidP="008C6EDC">
            <w:pPr>
              <w:rPr>
                <w:rFonts w:cs="Arial"/>
              </w:rPr>
            </w:pPr>
            <w:r>
              <w:rPr>
                <w:rFonts w:cs="Arial"/>
              </w:rPr>
              <w:t>None specified</w:t>
            </w:r>
          </w:p>
        </w:tc>
      </w:tr>
      <w:tr w:rsidR="00B816B4" w14:paraId="57AA8877" w14:textId="77777777" w:rsidTr="00663133">
        <w:trPr>
          <w:trHeight w:val="414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73" w14:textId="77777777"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</w:p>
          <w:p w14:paraId="57AA8874" w14:textId="77777777"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Dilutions</w:t>
            </w:r>
          </w:p>
          <w:p w14:paraId="57AA8875" w14:textId="77777777"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7200"/>
            </w:tblGrid>
            <w:tr w:rsidR="0090000F" w:rsidRPr="00EC40A2" w14:paraId="362141D2" w14:textId="77777777" w:rsidTr="004F2BB4">
              <w:tc>
                <w:tcPr>
                  <w:tcW w:w="1867" w:type="dxa"/>
                </w:tcPr>
                <w:p w14:paraId="08DD8376" w14:textId="77777777" w:rsidR="0090000F" w:rsidRPr="00EC40A2" w:rsidRDefault="0090000F" w:rsidP="0090000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Max </w:t>
                  </w:r>
                  <w:r w:rsidRPr="00EC40A2">
                    <w:rPr>
                      <w:rFonts w:cs="Arial"/>
                      <w:szCs w:val="20"/>
                    </w:rPr>
                    <w:t>Auto Dilution:</w:t>
                  </w:r>
                </w:p>
              </w:tc>
              <w:tc>
                <w:tcPr>
                  <w:tcW w:w="7200" w:type="dxa"/>
                </w:tcPr>
                <w:p w14:paraId="35090568" w14:textId="5DEA5D56" w:rsidR="0090000F" w:rsidRPr="002B3C85" w:rsidRDefault="0090000F" w:rsidP="0090000F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1:25</w:t>
                  </w:r>
                </w:p>
              </w:tc>
            </w:tr>
            <w:tr w:rsidR="0090000F" w:rsidRPr="00EC40A2" w14:paraId="4B21B9F3" w14:textId="77777777" w:rsidTr="004F2BB4">
              <w:trPr>
                <w:trHeight w:val="485"/>
              </w:trPr>
              <w:tc>
                <w:tcPr>
                  <w:tcW w:w="1867" w:type="dxa"/>
                </w:tcPr>
                <w:p w14:paraId="34E6E35E" w14:textId="77777777" w:rsidR="0090000F" w:rsidRPr="00EC40A2" w:rsidRDefault="0090000F" w:rsidP="0090000F">
                  <w:pPr>
                    <w:rPr>
                      <w:rFonts w:cs="Arial"/>
                      <w:szCs w:val="20"/>
                    </w:rPr>
                  </w:pPr>
                  <w:r w:rsidRPr="00EC40A2">
                    <w:rPr>
                      <w:rFonts w:cs="Arial"/>
                      <w:szCs w:val="20"/>
                    </w:rPr>
                    <w:t>Maximum Manual Dilution:</w:t>
                  </w:r>
                </w:p>
              </w:tc>
              <w:tc>
                <w:tcPr>
                  <w:tcW w:w="7200" w:type="dxa"/>
                </w:tcPr>
                <w:p w14:paraId="23F11850" w14:textId="77777777" w:rsidR="0090000F" w:rsidRDefault="0090000F" w:rsidP="0090000F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1:100 with Anti-HBs Specimen Diluent</w:t>
                  </w:r>
                  <w:r w:rsidR="006020CC">
                    <w:rPr>
                      <w:rFonts w:cs="Arial"/>
                      <w:szCs w:val="20"/>
                    </w:rPr>
                    <w:t>.</w:t>
                  </w:r>
                </w:p>
                <w:p w14:paraId="5A237475" w14:textId="77777777" w:rsidR="006020CC" w:rsidRPr="006020CC" w:rsidRDefault="006020CC" w:rsidP="006020C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 w:rsidRPr="006020CC">
                    <w:rPr>
                      <w:rFonts w:cs="Arial"/>
                      <w:szCs w:val="20"/>
                    </w:rPr>
                    <w:t>It is recommended that dilutions not exceed 1:100.</w:t>
                  </w:r>
                </w:p>
                <w:p w14:paraId="1D378F90" w14:textId="77777777" w:rsidR="006020CC" w:rsidRPr="006020CC" w:rsidRDefault="006020CC" w:rsidP="006020C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 w:rsidRPr="006020CC">
                    <w:rPr>
                      <w:rFonts w:cs="Arial"/>
                      <w:szCs w:val="20"/>
                    </w:rPr>
                    <w:t>Add 10 μL of the sample to 990 μL of Alinity i Anti-HBs Specimen</w:t>
                  </w:r>
                </w:p>
                <w:p w14:paraId="18AD4AF8" w14:textId="778B3FBB" w:rsidR="006020CC" w:rsidRPr="002B3C85" w:rsidRDefault="006020CC" w:rsidP="006020C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 w:rsidRPr="006020CC">
                    <w:rPr>
                      <w:rFonts w:cs="Arial"/>
                      <w:szCs w:val="20"/>
                    </w:rPr>
                    <w:t>Diluent (07P8841).</w:t>
                  </w:r>
                </w:p>
              </w:tc>
            </w:tr>
            <w:tr w:rsidR="0090000F" w:rsidRPr="00EC40A2" w14:paraId="717A8A3E" w14:textId="77777777" w:rsidTr="004F2BB4">
              <w:tc>
                <w:tcPr>
                  <w:tcW w:w="1867" w:type="dxa"/>
                </w:tcPr>
                <w:p w14:paraId="67E77F69" w14:textId="77777777" w:rsidR="0090000F" w:rsidRPr="00EC40A2" w:rsidRDefault="0090000F" w:rsidP="0090000F">
                  <w:pPr>
                    <w:rPr>
                      <w:rFonts w:cs="Arial"/>
                      <w:szCs w:val="20"/>
                    </w:rPr>
                  </w:pPr>
                  <w:r w:rsidRPr="00EC40A2">
                    <w:rPr>
                      <w:rFonts w:cs="Arial"/>
                      <w:szCs w:val="20"/>
                    </w:rPr>
                    <w:t>Diluent:</w:t>
                  </w:r>
                </w:p>
              </w:tc>
              <w:tc>
                <w:tcPr>
                  <w:tcW w:w="7200" w:type="dxa"/>
                </w:tcPr>
                <w:p w14:paraId="370FBAB5" w14:textId="77777777" w:rsidR="0090000F" w:rsidRPr="00EC40A2" w:rsidRDefault="0090000F" w:rsidP="0090000F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Onboard Diluent</w:t>
                  </w:r>
                </w:p>
              </w:tc>
            </w:tr>
            <w:tr w:rsidR="0090000F" w:rsidRPr="00EC40A2" w14:paraId="4C721C68" w14:textId="77777777" w:rsidTr="004F2BB4">
              <w:tc>
                <w:tcPr>
                  <w:tcW w:w="1867" w:type="dxa"/>
                </w:tcPr>
                <w:p w14:paraId="05165A39" w14:textId="77777777" w:rsidR="0090000F" w:rsidRPr="00EC40A2" w:rsidRDefault="0090000F" w:rsidP="0090000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Instrument</w:t>
                  </w:r>
                  <w:r w:rsidRPr="00EC40A2">
                    <w:rPr>
                      <w:rFonts w:cs="Arial"/>
                      <w:szCs w:val="20"/>
                    </w:rPr>
                    <w:t xml:space="preserve"> Dilution:</w:t>
                  </w:r>
                </w:p>
              </w:tc>
              <w:tc>
                <w:tcPr>
                  <w:tcW w:w="7200" w:type="dxa"/>
                </w:tcPr>
                <w:p w14:paraId="458FED30" w14:textId="77777777" w:rsidR="0090000F" w:rsidRPr="00EC40A2" w:rsidRDefault="0090000F" w:rsidP="0090000F">
                  <w:pPr>
                    <w:autoSpaceDE w:val="0"/>
                    <w:autoSpaceDN w:val="0"/>
                    <w:adjustRightInd w:val="0"/>
                    <w:rPr>
                      <w:rFonts w:eastAsia="HelenPro-Regular"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Follow Abbott</w:t>
                  </w:r>
                  <w:r w:rsidRPr="00EC40A2">
                    <w:rPr>
                      <w:rFonts w:cs="Arial"/>
                      <w:szCs w:val="20"/>
                    </w:rPr>
                    <w:t xml:space="preserve"> </w:t>
                  </w:r>
                  <w:hyperlink r:id="rId13" w:history="1">
                    <w:r w:rsidRPr="00EC40A2">
                      <w:rPr>
                        <w:rStyle w:val="Hyperlink"/>
                        <w:rFonts w:cs="Arial"/>
                        <w:szCs w:val="20"/>
                      </w:rPr>
                      <w:t>Alinity Operator’s Manual</w:t>
                    </w:r>
                  </w:hyperlink>
                  <w:r w:rsidRPr="00EC40A2">
                    <w:rPr>
                      <w:rFonts w:cs="Arial"/>
                      <w:szCs w:val="20"/>
                    </w:rPr>
                    <w:t xml:space="preserve"> inst</w:t>
                  </w:r>
                  <w:r>
                    <w:rPr>
                      <w:rFonts w:cs="Arial"/>
                      <w:szCs w:val="20"/>
                    </w:rPr>
                    <w:t xml:space="preserve">ructions for programming automated dilutions.  </w:t>
                  </w:r>
                  <w:r w:rsidRPr="00EC40A2">
                    <w:rPr>
                      <w:rFonts w:eastAsia="HelenPro-Regular" w:cs="Arial"/>
                      <w:szCs w:val="20"/>
                    </w:rPr>
                    <w:t xml:space="preserve">The system </w:t>
                  </w:r>
                  <w:r>
                    <w:rPr>
                      <w:rFonts w:eastAsia="HelenPro-Regular" w:cs="Arial"/>
                      <w:szCs w:val="20"/>
                    </w:rPr>
                    <w:t>will</w:t>
                  </w:r>
                  <w:r w:rsidRPr="00EC40A2">
                    <w:rPr>
                      <w:rFonts w:eastAsia="HelenPro-Regular" w:cs="Arial"/>
                      <w:szCs w:val="20"/>
                    </w:rPr>
                    <w:t xml:space="preserve"> automatically calculate the concentration of the sample and report the result.  </w:t>
                  </w:r>
                </w:p>
                <w:p w14:paraId="3D8B11EB" w14:textId="77777777" w:rsidR="0090000F" w:rsidRPr="00EC40A2" w:rsidRDefault="0090000F" w:rsidP="0090000F">
                  <w:pPr>
                    <w:autoSpaceDE w:val="0"/>
                    <w:autoSpaceDN w:val="0"/>
                    <w:adjustRightInd w:val="0"/>
                    <w:rPr>
                      <w:rFonts w:eastAsia="HelenPro-Regular" w:cs="Arial"/>
                      <w:szCs w:val="20"/>
                    </w:rPr>
                  </w:pPr>
                </w:p>
                <w:p w14:paraId="1B3B4927" w14:textId="396A2443" w:rsidR="0090000F" w:rsidRPr="00EC40A2" w:rsidRDefault="0090000F" w:rsidP="0090000F">
                  <w:pPr>
                    <w:autoSpaceDE w:val="0"/>
                    <w:autoSpaceDN w:val="0"/>
                    <w:adjustRightInd w:val="0"/>
                    <w:rPr>
                      <w:rFonts w:eastAsia="HelenPro-Regular" w:cs="Arial"/>
                      <w:szCs w:val="20"/>
                    </w:rPr>
                  </w:pPr>
                  <w:r w:rsidRPr="00EC40A2">
                    <w:rPr>
                      <w:rFonts w:eastAsia="HelenPro-Regular" w:cs="Arial"/>
                      <w:szCs w:val="20"/>
                    </w:rPr>
                    <w:t>If a diluted sample result is less than the lower valu</w:t>
                  </w:r>
                  <w:r>
                    <w:rPr>
                      <w:rFonts w:eastAsia="HelenPro-Regular" w:cs="Arial"/>
                      <w:szCs w:val="20"/>
                    </w:rPr>
                    <w:t xml:space="preserve">e of the measuring interval of </w:t>
                  </w:r>
                  <w:r w:rsidR="006020CC">
                    <w:rPr>
                      <w:rFonts w:eastAsia="HelenPro-Regular" w:cs="Arial"/>
                      <w:szCs w:val="20"/>
                    </w:rPr>
                    <w:t>3.31</w:t>
                  </w:r>
                  <w:r w:rsidRPr="00EC40A2">
                    <w:rPr>
                      <w:rFonts w:eastAsia="HelenPro-Regular" w:cs="Arial"/>
                      <w:szCs w:val="20"/>
                    </w:rPr>
                    <w:t>, do no</w:t>
                  </w:r>
                  <w:r>
                    <w:rPr>
                      <w:rFonts w:eastAsia="HelenPro-Regular" w:cs="Arial"/>
                      <w:szCs w:val="20"/>
                    </w:rPr>
                    <w:t>t report the result. Rerun and/or</w:t>
                  </w:r>
                  <w:r w:rsidRPr="00EC40A2">
                    <w:rPr>
                      <w:rFonts w:eastAsia="HelenPro-Regular" w:cs="Arial"/>
                      <w:szCs w:val="20"/>
                    </w:rPr>
                    <w:t xml:space="preserve"> invest</w:t>
                  </w:r>
                  <w:r>
                    <w:rPr>
                      <w:rFonts w:eastAsia="HelenPro-Regular" w:cs="Arial"/>
                      <w:szCs w:val="20"/>
                    </w:rPr>
                    <w:t>igate for other possible causes of error.</w:t>
                  </w:r>
                </w:p>
              </w:tc>
            </w:tr>
          </w:tbl>
          <w:p w14:paraId="57AA8876" w14:textId="18205723" w:rsidR="00B816B4" w:rsidRPr="00C77940" w:rsidRDefault="00B816B4" w:rsidP="003571BD">
            <w:pPr>
              <w:pStyle w:val="CalVerTable"/>
              <w:ind w:left="0" w:firstLine="0"/>
              <w:rPr>
                <w:rFonts w:ascii="Arial" w:hAnsi="Arial" w:cs="Arial"/>
              </w:rPr>
            </w:pPr>
          </w:p>
        </w:tc>
      </w:tr>
      <w:tr w:rsidR="00F92CDB" w14:paraId="57AA8887" w14:textId="77777777" w:rsidTr="00F92CDB">
        <w:trPr>
          <w:trHeight w:val="2286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78" w14:textId="77777777" w:rsidR="003B5727" w:rsidRDefault="003B5727" w:rsidP="008C6EDC">
            <w:pPr>
              <w:rPr>
                <w:rFonts w:cs="Arial"/>
                <w:b/>
                <w:bCs/>
                <w:color w:val="0000FF"/>
              </w:rPr>
            </w:pPr>
          </w:p>
          <w:p w14:paraId="57AA8879" w14:textId="77777777" w:rsidR="00F92CDB" w:rsidRDefault="00733DA6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 xml:space="preserve">Interpretation and </w:t>
            </w:r>
            <w:r w:rsidR="00F92CDB">
              <w:rPr>
                <w:rFonts w:cs="Arial"/>
                <w:b/>
                <w:bCs/>
                <w:color w:val="0000FF"/>
              </w:rPr>
              <w:t>Result Reporting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87A" w14:textId="77777777" w:rsidR="003B5727" w:rsidRDefault="003B5727" w:rsidP="00F92C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AA887B" w14:textId="0D2525B4" w:rsidR="00F92CDB" w:rsidRPr="00A459CC" w:rsidRDefault="00F92CDB" w:rsidP="00F92C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59CC">
              <w:rPr>
                <w:rFonts w:ascii="Arial" w:hAnsi="Arial" w:cs="Arial"/>
                <w:sz w:val="20"/>
                <w:szCs w:val="20"/>
              </w:rPr>
              <w:t>Each result will cross the interface as the first test result.  The results that will cross over in OEM will be Reactive, Nonreactive or Equivocal</w:t>
            </w:r>
            <w:r w:rsidR="00890FFE">
              <w:rPr>
                <w:rFonts w:ascii="Arial" w:hAnsi="Arial" w:cs="Arial"/>
                <w:sz w:val="20"/>
                <w:szCs w:val="20"/>
              </w:rPr>
              <w:t xml:space="preserve"> and the numerical value</w:t>
            </w:r>
            <w:r w:rsidRPr="00A459CC">
              <w:rPr>
                <w:rFonts w:ascii="Arial" w:hAnsi="Arial" w:cs="Arial"/>
                <w:sz w:val="20"/>
                <w:szCs w:val="20"/>
              </w:rPr>
              <w:t>.  Each result will have the comment “Check procedure for repeat and interpretation pro</w:t>
            </w:r>
            <w:r w:rsidR="0090000F">
              <w:rPr>
                <w:rFonts w:ascii="Arial" w:hAnsi="Arial" w:cs="Arial"/>
                <w:sz w:val="20"/>
                <w:szCs w:val="20"/>
              </w:rPr>
              <w:t>tocol.”  Use the Alinity i Anti-HBs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99E" w:rsidRPr="00A459CC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chart (pictured below</w:t>
            </w:r>
            <w:r w:rsidR="00BA55D8">
              <w:rPr>
                <w:rFonts w:ascii="Arial" w:hAnsi="Arial" w:cs="Arial"/>
                <w:sz w:val="20"/>
                <w:szCs w:val="20"/>
              </w:rPr>
              <w:t xml:space="preserve"> on page 7</w:t>
            </w:r>
            <w:bookmarkStart w:id="0" w:name="_GoBack"/>
            <w:bookmarkEnd w:id="0"/>
            <w:r w:rsidR="003258F1">
              <w:rPr>
                <w:rFonts w:ascii="Arial" w:hAnsi="Arial" w:cs="Arial"/>
                <w:sz w:val="20"/>
                <w:szCs w:val="20"/>
              </w:rPr>
              <w:t>) to determine if a retest is required.  If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repeat test</w:t>
            </w:r>
            <w:r w:rsidR="003258F1">
              <w:rPr>
                <w:rFonts w:ascii="Arial" w:hAnsi="Arial" w:cs="Arial"/>
                <w:sz w:val="20"/>
                <w:szCs w:val="20"/>
              </w:rPr>
              <w:t>ing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is not needed</w:t>
            </w:r>
            <w:r w:rsidR="003258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9199E">
              <w:rPr>
                <w:rFonts w:ascii="Arial" w:hAnsi="Arial" w:cs="Arial"/>
                <w:sz w:val="20"/>
                <w:szCs w:val="20"/>
              </w:rPr>
              <w:t>i.e.</w:t>
            </w:r>
            <w:r w:rsidR="003258F1">
              <w:rPr>
                <w:rFonts w:ascii="Arial" w:hAnsi="Arial" w:cs="Arial"/>
                <w:sz w:val="20"/>
                <w:szCs w:val="20"/>
              </w:rPr>
              <w:t xml:space="preserve"> result is nonreactive)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, manually accept the Sunquest result. </w:t>
            </w:r>
            <w:r w:rsidR="00BA4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A887C" w14:textId="77777777" w:rsidR="00F92CDB" w:rsidRPr="00A459CC" w:rsidRDefault="00F92CDB" w:rsidP="00F92C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AA887D" w14:textId="77777777" w:rsidR="00F92CDB" w:rsidRPr="00A459CC" w:rsidRDefault="00F92CDB" w:rsidP="00F92C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59CC">
              <w:rPr>
                <w:rFonts w:ascii="Arial" w:hAnsi="Arial" w:cs="Arial"/>
                <w:b/>
                <w:sz w:val="20"/>
                <w:szCs w:val="20"/>
              </w:rPr>
              <w:t>If retesting is required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AA887E" w14:textId="77777777" w:rsidR="00F92CDB" w:rsidRPr="00A459CC" w:rsidRDefault="00F92CDB" w:rsidP="00F92CD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A459CC">
              <w:rPr>
                <w:rFonts w:ascii="Arial" w:hAnsi="Arial" w:cs="Arial"/>
                <w:sz w:val="20"/>
                <w:szCs w:val="20"/>
              </w:rPr>
              <w:t>Take specimen off the analyzer and check for clots, red cells, or other particulate ma</w:t>
            </w:r>
            <w:r>
              <w:rPr>
                <w:rFonts w:ascii="Arial" w:hAnsi="Arial" w:cs="Arial"/>
                <w:sz w:val="20"/>
                <w:szCs w:val="20"/>
              </w:rPr>
              <w:t xml:space="preserve">tter. </w:t>
            </w:r>
            <w:r w:rsidR="00CC5786">
              <w:rPr>
                <w:rFonts w:ascii="Arial" w:hAnsi="Arial" w:cs="Arial"/>
                <w:b/>
                <w:sz w:val="20"/>
                <w:szCs w:val="20"/>
              </w:rPr>
              <w:t>Recentri</w:t>
            </w:r>
            <w:r w:rsidR="003258F1">
              <w:rPr>
                <w:rFonts w:ascii="Arial" w:hAnsi="Arial" w:cs="Arial"/>
                <w:b/>
                <w:sz w:val="20"/>
                <w:szCs w:val="20"/>
              </w:rPr>
              <w:t>fuge if any are seen or suspected</w:t>
            </w:r>
            <w:r w:rsidRPr="00D169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7AA887F" w14:textId="5B07EB3A" w:rsidR="00F92CDB" w:rsidRPr="00A459CC" w:rsidRDefault="00F92CDB" w:rsidP="00F92CD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A459CC">
              <w:rPr>
                <w:rFonts w:ascii="Arial" w:hAnsi="Arial" w:cs="Arial"/>
                <w:sz w:val="20"/>
                <w:szCs w:val="20"/>
              </w:rPr>
              <w:t xml:space="preserve">Manually order the specimen </w:t>
            </w:r>
            <w:r w:rsidRPr="00D169AE">
              <w:rPr>
                <w:rFonts w:ascii="Arial" w:hAnsi="Arial" w:cs="Arial"/>
                <w:b/>
                <w:sz w:val="20"/>
                <w:szCs w:val="20"/>
              </w:rPr>
              <w:t>in duplicate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with an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A459C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in front of the accession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to signify the accession number that crosses OEM is a retest.</w:t>
            </w:r>
            <w:r w:rsidR="00CC5786">
              <w:rPr>
                <w:rFonts w:ascii="Arial" w:hAnsi="Arial" w:cs="Arial"/>
                <w:sz w:val="20"/>
                <w:szCs w:val="20"/>
              </w:rPr>
              <w:t xml:space="preserve">  For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example</w:t>
            </w:r>
            <w:r w:rsidR="00CC5786">
              <w:rPr>
                <w:rFonts w:ascii="Arial" w:hAnsi="Arial" w:cs="Arial"/>
                <w:sz w:val="20"/>
                <w:szCs w:val="20"/>
              </w:rPr>
              <w:t>, accession number “H111”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would be</w:t>
            </w:r>
            <w:r w:rsidR="00CC5786">
              <w:rPr>
                <w:rFonts w:ascii="Arial" w:hAnsi="Arial" w:cs="Arial"/>
                <w:sz w:val="20"/>
                <w:szCs w:val="20"/>
              </w:rPr>
              <w:t xml:space="preserve"> ma</w:t>
            </w:r>
            <w:r w:rsidR="00BA43C3">
              <w:rPr>
                <w:rFonts w:ascii="Arial" w:hAnsi="Arial" w:cs="Arial"/>
                <w:sz w:val="20"/>
                <w:szCs w:val="20"/>
              </w:rPr>
              <w:t xml:space="preserve">nually ordered on the Alinity </w:t>
            </w:r>
            <w:r w:rsidR="00CC5786">
              <w:rPr>
                <w:rFonts w:ascii="Arial" w:hAnsi="Arial" w:cs="Arial"/>
                <w:sz w:val="20"/>
                <w:szCs w:val="20"/>
              </w:rPr>
              <w:t>as “</w:t>
            </w:r>
            <w:r w:rsidRPr="00A459CC">
              <w:rPr>
                <w:rFonts w:ascii="Arial" w:hAnsi="Arial" w:cs="Arial"/>
                <w:sz w:val="20"/>
                <w:szCs w:val="20"/>
              </w:rPr>
              <w:t>RH111</w:t>
            </w:r>
            <w:r w:rsidR="00CC5786">
              <w:rPr>
                <w:rFonts w:ascii="Arial" w:hAnsi="Arial" w:cs="Arial"/>
                <w:sz w:val="20"/>
                <w:szCs w:val="20"/>
              </w:rPr>
              <w:t>”</w:t>
            </w:r>
            <w:r w:rsidR="00BA43C3">
              <w:rPr>
                <w:rFonts w:ascii="Arial" w:hAnsi="Arial" w:cs="Arial"/>
                <w:sz w:val="20"/>
                <w:szCs w:val="20"/>
              </w:rPr>
              <w:t xml:space="preserve">.  Dilute samples 1:25 using automated dilution and 1:100 manual dilution as necessary.  </w:t>
            </w:r>
          </w:p>
          <w:p w14:paraId="57AA8880" w14:textId="77777777" w:rsidR="003258F1" w:rsidRPr="00733DA6" w:rsidRDefault="00F92CDB" w:rsidP="003258F1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733DA6">
              <w:rPr>
                <w:rFonts w:ascii="Arial" w:hAnsi="Arial" w:cs="Arial"/>
                <w:sz w:val="20"/>
                <w:szCs w:val="20"/>
              </w:rPr>
              <w:t>When testing is complete, both results will cross into Sunquest in two different cups.</w:t>
            </w:r>
            <w:r w:rsidR="00733DA6" w:rsidRPr="00733D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3DA6">
              <w:rPr>
                <w:rFonts w:ascii="Arial" w:hAnsi="Arial" w:cs="Arial"/>
                <w:sz w:val="20"/>
                <w:szCs w:val="20"/>
              </w:rPr>
              <w:t xml:space="preserve">To accept results in Sunquest, you will have to manually </w:t>
            </w:r>
            <w:r w:rsidR="00CC5786" w:rsidRPr="00733DA6">
              <w:rPr>
                <w:rFonts w:ascii="Arial" w:hAnsi="Arial" w:cs="Arial"/>
                <w:sz w:val="20"/>
                <w:szCs w:val="20"/>
              </w:rPr>
              <w:t>modify</w:t>
            </w:r>
            <w:r w:rsidRPr="00733DA6">
              <w:rPr>
                <w:rFonts w:ascii="Arial" w:hAnsi="Arial" w:cs="Arial"/>
                <w:sz w:val="20"/>
                <w:szCs w:val="20"/>
              </w:rPr>
              <w:t xml:space="preserve"> the correct accession number without the (R)</w:t>
            </w:r>
            <w:r w:rsidR="00733DA6" w:rsidRPr="00733DA6">
              <w:rPr>
                <w:rFonts w:ascii="Arial" w:hAnsi="Arial" w:cs="Arial"/>
                <w:sz w:val="20"/>
                <w:szCs w:val="20"/>
              </w:rPr>
              <w:t xml:space="preserve"> in OEM.  Sunquest will ask CHANGE EXISTING ACCESSION NUMBER (Y/&lt;N&gt;).   Type</w:t>
            </w:r>
            <w:r w:rsidR="00733DA6">
              <w:rPr>
                <w:rFonts w:ascii="Arial" w:hAnsi="Arial" w:cs="Arial"/>
                <w:sz w:val="20"/>
                <w:szCs w:val="20"/>
              </w:rPr>
              <w:t xml:space="preserve"> Y then press ENTER and</w:t>
            </w:r>
            <w:r w:rsidR="00733DA6" w:rsidRPr="00733DA6">
              <w:rPr>
                <w:rFonts w:ascii="Arial" w:hAnsi="Arial" w:cs="Arial"/>
                <w:sz w:val="20"/>
                <w:szCs w:val="20"/>
              </w:rPr>
              <w:t xml:space="preserve"> enter the acce</w:t>
            </w:r>
            <w:r w:rsidR="00733DA6">
              <w:rPr>
                <w:rFonts w:ascii="Arial" w:hAnsi="Arial" w:cs="Arial"/>
                <w:sz w:val="20"/>
                <w:szCs w:val="20"/>
              </w:rPr>
              <w:t>ssion number you wish</w:t>
            </w:r>
            <w:r w:rsidR="00733DA6" w:rsidRPr="00733DA6">
              <w:rPr>
                <w:rFonts w:ascii="Arial" w:hAnsi="Arial" w:cs="Arial"/>
                <w:sz w:val="20"/>
                <w:szCs w:val="20"/>
              </w:rPr>
              <w:t xml:space="preserve"> to report.</w:t>
            </w:r>
          </w:p>
          <w:p w14:paraId="57AA8881" w14:textId="6755F695" w:rsidR="00F92CDB" w:rsidRPr="003258F1" w:rsidRDefault="00F92CDB" w:rsidP="00F92CD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258F1">
              <w:rPr>
                <w:rFonts w:ascii="Arial" w:hAnsi="Arial" w:cs="Arial"/>
                <w:b/>
                <w:sz w:val="20"/>
                <w:szCs w:val="20"/>
              </w:rPr>
              <w:lastRenderedPageBreak/>
              <w:t>Go to</w:t>
            </w:r>
            <w:r w:rsidR="0090000F">
              <w:rPr>
                <w:rFonts w:ascii="Arial" w:hAnsi="Arial" w:cs="Arial"/>
                <w:b/>
                <w:sz w:val="20"/>
                <w:szCs w:val="20"/>
              </w:rPr>
              <w:t xml:space="preserve"> the analyzer and check results</w:t>
            </w:r>
          </w:p>
          <w:p w14:paraId="57AA8882" w14:textId="77777777" w:rsidR="00F92CDB" w:rsidRDefault="00F92CDB" w:rsidP="00F92CD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A459CC">
              <w:rPr>
                <w:rFonts w:ascii="Arial" w:hAnsi="Arial" w:cs="Arial"/>
                <w:sz w:val="20"/>
                <w:szCs w:val="20"/>
              </w:rPr>
              <w:t xml:space="preserve">If both repeat tests are &lt;8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59CC">
              <w:rPr>
                <w:rFonts w:ascii="Arial" w:hAnsi="Arial" w:cs="Arial"/>
                <w:sz w:val="20"/>
                <w:szCs w:val="20"/>
              </w:rPr>
              <w:t>non reactive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then manually accept the Sunquest result of nonreactive.</w:t>
            </w:r>
          </w:p>
          <w:p w14:paraId="57AA8883" w14:textId="77777777" w:rsidR="00F92CDB" w:rsidRPr="00A459CC" w:rsidRDefault="00F92CDB" w:rsidP="00F92CD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A459CC">
              <w:rPr>
                <w:rFonts w:ascii="Arial" w:hAnsi="Arial" w:cs="Arial"/>
                <w:sz w:val="20"/>
                <w:szCs w:val="20"/>
              </w:rPr>
              <w:t>If b</w:t>
            </w:r>
            <w:r>
              <w:rPr>
                <w:rFonts w:ascii="Arial" w:hAnsi="Arial" w:cs="Arial"/>
                <w:sz w:val="20"/>
                <w:szCs w:val="20"/>
              </w:rPr>
              <w:t xml:space="preserve">oth of the repeat tests are ≥8  to 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&lt;12 </w:t>
            </w:r>
            <w:r>
              <w:rPr>
                <w:rFonts w:ascii="Arial" w:hAnsi="Arial" w:cs="Arial"/>
                <w:sz w:val="20"/>
                <w:szCs w:val="20"/>
              </w:rPr>
              <w:t>(equivocal), t</w:t>
            </w:r>
            <w:r w:rsidRPr="00A459CC">
              <w:rPr>
                <w:rFonts w:ascii="Arial" w:hAnsi="Arial" w:cs="Arial"/>
                <w:sz w:val="20"/>
                <w:szCs w:val="20"/>
              </w:rPr>
              <w:t>hen manually accept the Sunquest result of equivocal.</w:t>
            </w:r>
          </w:p>
          <w:p w14:paraId="57AA8884" w14:textId="77777777" w:rsidR="00F92CDB" w:rsidRPr="00A459CC" w:rsidRDefault="00F92CDB" w:rsidP="00F92CD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A459CC">
              <w:rPr>
                <w:rFonts w:ascii="Arial" w:hAnsi="Arial" w:cs="Arial"/>
                <w:sz w:val="20"/>
                <w:szCs w:val="20"/>
              </w:rPr>
              <w:t>If one of the repeat tests 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&lt;8 </w:t>
            </w:r>
            <w:r w:rsidRPr="00A459C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&gt;12 and the other test is ≥8  or &lt; </w:t>
            </w:r>
            <w:r w:rsidRPr="00A459CC">
              <w:rPr>
                <w:rFonts w:ascii="Arial" w:hAnsi="Arial" w:cs="Arial"/>
                <w:sz w:val="20"/>
                <w:szCs w:val="20"/>
              </w:rPr>
              <w:t>12 equivocal</w:t>
            </w:r>
            <w:r>
              <w:rPr>
                <w:rFonts w:ascii="Arial" w:hAnsi="Arial" w:cs="Arial"/>
                <w:sz w:val="20"/>
                <w:szCs w:val="20"/>
              </w:rPr>
              <w:t>, then you must (M) modify the result in S</w:t>
            </w:r>
            <w:r w:rsidRPr="00A459CC">
              <w:rPr>
                <w:rFonts w:ascii="Arial" w:hAnsi="Arial" w:cs="Arial"/>
                <w:sz w:val="20"/>
                <w:szCs w:val="20"/>
              </w:rPr>
              <w:t>unquest. When modifying results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you must enter the equivocal </w:t>
            </w:r>
            <w:r w:rsidRPr="00D169AE">
              <w:rPr>
                <w:rFonts w:ascii="Arial" w:hAnsi="Arial" w:cs="Arial"/>
                <w:b/>
                <w:sz w:val="20"/>
                <w:szCs w:val="20"/>
              </w:rPr>
              <w:t>numeric result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from the analyzer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25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9CC">
              <w:rPr>
                <w:rFonts w:ascii="Arial" w:hAnsi="Arial" w:cs="Arial"/>
                <w:sz w:val="20"/>
                <w:szCs w:val="20"/>
              </w:rPr>
              <w:t>Sunquest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append an equivocal comment.  </w:t>
            </w:r>
            <w:r w:rsidR="00733DA6">
              <w:rPr>
                <w:rFonts w:ascii="Arial" w:hAnsi="Arial" w:cs="Arial"/>
                <w:b/>
                <w:sz w:val="20"/>
                <w:szCs w:val="20"/>
              </w:rPr>
              <w:t>Do not free-</w:t>
            </w:r>
            <w:r w:rsidR="003258F1">
              <w:rPr>
                <w:rFonts w:ascii="Arial" w:hAnsi="Arial" w:cs="Arial"/>
                <w:b/>
                <w:sz w:val="20"/>
                <w:szCs w:val="20"/>
              </w:rPr>
              <w:t>text results</w:t>
            </w:r>
            <w:r w:rsidR="00733DA6">
              <w:rPr>
                <w:rFonts w:ascii="Arial" w:hAnsi="Arial" w:cs="Arial"/>
                <w:b/>
                <w:sz w:val="20"/>
                <w:szCs w:val="20"/>
              </w:rPr>
              <w:t xml:space="preserve"> or the correct interpretation will not append</w:t>
            </w:r>
            <w:r w:rsidR="00733DA6">
              <w:rPr>
                <w:rFonts w:ascii="Arial" w:hAnsi="Arial" w:cs="Arial"/>
                <w:sz w:val="20"/>
                <w:szCs w:val="20"/>
              </w:rPr>
              <w:t>.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A8885" w14:textId="54EAE399" w:rsidR="00F92CDB" w:rsidRDefault="00F92CDB" w:rsidP="00F92CD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A459CC">
              <w:rPr>
                <w:rFonts w:ascii="Arial" w:hAnsi="Arial" w:cs="Arial"/>
                <w:sz w:val="20"/>
                <w:szCs w:val="20"/>
              </w:rPr>
              <w:t xml:space="preserve">If both repeat tests are &gt;12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59C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459CC">
              <w:rPr>
                <w:rFonts w:ascii="Arial" w:hAnsi="Arial" w:cs="Arial"/>
                <w:sz w:val="20"/>
                <w:szCs w:val="20"/>
              </w:rPr>
              <w:t>active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, then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459CC">
              <w:rPr>
                <w:rFonts w:ascii="Arial" w:hAnsi="Arial" w:cs="Arial"/>
                <w:sz w:val="20"/>
                <w:szCs w:val="20"/>
              </w:rPr>
              <w:t>ccept the Sunquest result of reactive</w:t>
            </w:r>
            <w:r w:rsidR="00BC0F08">
              <w:rPr>
                <w:rFonts w:ascii="Arial" w:hAnsi="Arial" w:cs="Arial"/>
                <w:sz w:val="20"/>
                <w:szCs w:val="20"/>
              </w:rPr>
              <w:t xml:space="preserve"> once dilutions are complete</w:t>
            </w:r>
            <w:r w:rsidRPr="00A459C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7FDDEEE" w14:textId="215E19F8" w:rsidR="006020CC" w:rsidRPr="00A459CC" w:rsidRDefault="006020CC" w:rsidP="00F92CD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Results will automatically dilute by instrument 1:25 dilution.  Samples &gt;25,000 should be diluted 1:100 using Anti-HBs Specimen Diluent as listed in the Dilutions section of this document.  </w:t>
            </w:r>
          </w:p>
          <w:p w14:paraId="57AA8886" w14:textId="77777777" w:rsidR="00F92CDB" w:rsidRDefault="00F92CDB" w:rsidP="003571BD">
            <w:pPr>
              <w:pStyle w:val="CalVerTable"/>
              <w:ind w:left="0" w:firstLine="0"/>
              <w:rPr>
                <w:rFonts w:ascii="Arial" w:hAnsi="Arial" w:cs="Arial"/>
              </w:rPr>
            </w:pPr>
          </w:p>
        </w:tc>
      </w:tr>
      <w:tr w:rsidR="00AC78DD" w14:paraId="57AA88B3" w14:textId="77777777" w:rsidTr="00F92CDB">
        <w:trPr>
          <w:trHeight w:val="6444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88" w14:textId="77777777" w:rsidR="00AC78DD" w:rsidRDefault="00AC78DD">
            <w:pPr>
              <w:rPr>
                <w:rFonts w:cs="Arial"/>
                <w:b/>
                <w:bCs/>
                <w:color w:val="0000FF"/>
              </w:rPr>
            </w:pPr>
          </w:p>
          <w:p w14:paraId="57AA8889" w14:textId="77777777" w:rsidR="00AC78DD" w:rsidRDefault="00AC78DD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Result Reporting</w:t>
            </w:r>
            <w:r w:rsidR="00F92CDB">
              <w:rPr>
                <w:rFonts w:cs="Arial"/>
                <w:b/>
                <w:bCs/>
                <w:color w:val="0000FF"/>
              </w:rPr>
              <w:t xml:space="preserve"> (Continued)</w:t>
            </w:r>
          </w:p>
          <w:p w14:paraId="57AA888A" w14:textId="77777777" w:rsidR="00AC78DD" w:rsidRDefault="00AC78DD" w:rsidP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FAB0040" w14:textId="77777777" w:rsidR="00747CE7" w:rsidRDefault="00747CE7" w:rsidP="00AC78DD">
            <w:pPr>
              <w:jc w:val="center"/>
              <w:rPr>
                <w:rFonts w:cs="Arial"/>
                <w:b/>
              </w:rPr>
            </w:pPr>
          </w:p>
          <w:p w14:paraId="57AA888C" w14:textId="257C1457" w:rsidR="00AC78DD" w:rsidRPr="00E47962" w:rsidRDefault="0090000F" w:rsidP="00AC78D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Alinity i Anti-HBs</w:t>
            </w:r>
            <w:r w:rsidR="00AC78DD" w:rsidRPr="00E47962">
              <w:rPr>
                <w:rFonts w:cs="Arial"/>
                <w:b/>
              </w:rPr>
              <w:t xml:space="preserve"> </w:t>
            </w:r>
            <w:r w:rsidR="0049199E" w:rsidRPr="00E47962">
              <w:rPr>
                <w:rFonts w:cs="Arial"/>
                <w:b/>
              </w:rPr>
              <w:t>Interpretation</w:t>
            </w:r>
          </w:p>
          <w:p w14:paraId="57AA888D" w14:textId="77777777" w:rsidR="00AC78DD" w:rsidRDefault="00AC78DD" w:rsidP="00AC78DD">
            <w:pPr>
              <w:jc w:val="center"/>
              <w:rPr>
                <w:rFonts w:cs="Arial"/>
              </w:rPr>
            </w:pPr>
          </w:p>
          <w:tbl>
            <w:tblPr>
              <w:tblStyle w:val="TableGrid"/>
              <w:tblW w:w="862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1788"/>
              <w:gridCol w:w="1297"/>
              <w:gridCol w:w="2538"/>
              <w:gridCol w:w="1725"/>
            </w:tblGrid>
            <w:tr w:rsidR="00AC78DD" w14:paraId="57AA8893" w14:textId="77777777" w:rsidTr="005A51FB">
              <w:trPr>
                <w:trHeight w:val="467"/>
                <w:jc w:val="center"/>
              </w:trPr>
              <w:tc>
                <w:tcPr>
                  <w:tcW w:w="1278" w:type="dxa"/>
                </w:tcPr>
                <w:p w14:paraId="57AA888E" w14:textId="77777777" w:rsidR="00AC78DD" w:rsidRPr="00AC78DD" w:rsidRDefault="00AC78DD" w:rsidP="00AC78DD">
                  <w:pPr>
                    <w:jc w:val="center"/>
                    <w:rPr>
                      <w:rFonts w:cs="Arial"/>
                      <w:b/>
                    </w:rPr>
                  </w:pPr>
                  <w:r w:rsidRPr="00AC78DD">
                    <w:rPr>
                      <w:rFonts w:cs="Arial"/>
                      <w:b/>
                    </w:rPr>
                    <w:t>Initial Result</w:t>
                  </w:r>
                </w:p>
              </w:tc>
              <w:tc>
                <w:tcPr>
                  <w:tcW w:w="1788" w:type="dxa"/>
                </w:tcPr>
                <w:p w14:paraId="57AA888F" w14:textId="77777777" w:rsidR="00AC78DD" w:rsidRPr="00AC78DD" w:rsidRDefault="00AC78DD" w:rsidP="00AC78DD">
                  <w:pPr>
                    <w:jc w:val="center"/>
                    <w:rPr>
                      <w:rFonts w:cs="Arial"/>
                      <w:b/>
                    </w:rPr>
                  </w:pPr>
                  <w:r w:rsidRPr="00AC78DD">
                    <w:rPr>
                      <w:rFonts w:cs="Arial"/>
                      <w:b/>
                    </w:rPr>
                    <w:t>Retest Result</w:t>
                  </w:r>
                </w:p>
              </w:tc>
              <w:tc>
                <w:tcPr>
                  <w:tcW w:w="1297" w:type="dxa"/>
                </w:tcPr>
                <w:p w14:paraId="57AA8890" w14:textId="77777777" w:rsidR="00AC78DD" w:rsidRPr="00AC78DD" w:rsidRDefault="00AC78DD" w:rsidP="00AC78DD">
                  <w:pPr>
                    <w:jc w:val="center"/>
                    <w:rPr>
                      <w:rFonts w:cs="Arial"/>
                      <w:b/>
                    </w:rPr>
                  </w:pPr>
                  <w:r w:rsidRPr="00AC78DD">
                    <w:rPr>
                      <w:rFonts w:cs="Arial"/>
                      <w:b/>
                    </w:rPr>
                    <w:t>Result</w:t>
                  </w:r>
                </w:p>
              </w:tc>
              <w:tc>
                <w:tcPr>
                  <w:tcW w:w="2538" w:type="dxa"/>
                </w:tcPr>
                <w:p w14:paraId="57AA8891" w14:textId="77777777" w:rsidR="00AC78DD" w:rsidRPr="00AC78DD" w:rsidRDefault="0049199E" w:rsidP="00AC78DD">
                  <w:pPr>
                    <w:jc w:val="center"/>
                    <w:rPr>
                      <w:rFonts w:cs="Arial"/>
                      <w:b/>
                    </w:rPr>
                  </w:pPr>
                  <w:r w:rsidRPr="00AC78DD">
                    <w:rPr>
                      <w:rFonts w:cs="Arial"/>
                      <w:b/>
                    </w:rPr>
                    <w:t>Interpretation</w:t>
                  </w:r>
                </w:p>
              </w:tc>
              <w:tc>
                <w:tcPr>
                  <w:tcW w:w="1725" w:type="dxa"/>
                </w:tcPr>
                <w:p w14:paraId="57AA8892" w14:textId="77777777" w:rsidR="00AC78DD" w:rsidRPr="00AC78DD" w:rsidRDefault="00CB5856" w:rsidP="00AC78DD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What to enter into Sunquest</w:t>
                  </w:r>
                </w:p>
              </w:tc>
            </w:tr>
            <w:tr w:rsidR="00AC78DD" w14:paraId="57AA8899" w14:textId="77777777" w:rsidTr="00081E34">
              <w:trPr>
                <w:trHeight w:val="467"/>
                <w:jc w:val="center"/>
              </w:trPr>
              <w:tc>
                <w:tcPr>
                  <w:tcW w:w="1278" w:type="dxa"/>
                </w:tcPr>
                <w:p w14:paraId="57AA8894" w14:textId="77777777" w:rsidR="00AC78DD" w:rsidRDefault="00AC78DD" w:rsidP="00AC78DD">
                  <w:pPr>
                    <w:rPr>
                      <w:rFonts w:cs="Arial"/>
                    </w:rPr>
                  </w:pPr>
                  <w:r w:rsidRPr="00AC78DD">
                    <w:rPr>
                      <w:rFonts w:cs="Arial"/>
                    </w:rPr>
                    <w:t>&lt;8.0 mIU/mL</w:t>
                  </w:r>
                  <w:r w:rsidR="003258F1">
                    <w:rPr>
                      <w:rFonts w:cs="Arial"/>
                    </w:rPr>
                    <w:t xml:space="preserve"> </w:t>
                  </w:r>
                  <w:r w:rsidR="003258F1" w:rsidRPr="003258F1">
                    <w:rPr>
                      <w:rFonts w:cs="Arial"/>
                      <w:sz w:val="16"/>
                      <w:szCs w:val="16"/>
                    </w:rPr>
                    <w:t>(Nonreactive)</w:t>
                  </w:r>
                </w:p>
              </w:tc>
              <w:tc>
                <w:tcPr>
                  <w:tcW w:w="1788" w:type="dxa"/>
                </w:tcPr>
                <w:p w14:paraId="57AA8895" w14:textId="77777777" w:rsidR="00AC78DD" w:rsidRDefault="00AC78DD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 Retest Required</w:t>
                  </w:r>
                </w:p>
              </w:tc>
              <w:tc>
                <w:tcPr>
                  <w:tcW w:w="1297" w:type="dxa"/>
                </w:tcPr>
                <w:p w14:paraId="57AA8896" w14:textId="77777777" w:rsidR="00AC78DD" w:rsidRDefault="00AC78DD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Nonreactive</w:t>
                  </w:r>
                </w:p>
              </w:tc>
              <w:tc>
                <w:tcPr>
                  <w:tcW w:w="2538" w:type="dxa"/>
                </w:tcPr>
                <w:p w14:paraId="57AA8897" w14:textId="77777777" w:rsidR="00AC78DD" w:rsidRDefault="003258F1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“</w:t>
                  </w:r>
                  <w:r w:rsidR="00AC78DD">
                    <w:rPr>
                      <w:rFonts w:cs="Arial"/>
                    </w:rPr>
                    <w:t>Individual is considered not immune to HBV infection.</w:t>
                  </w:r>
                  <w:r>
                    <w:rPr>
                      <w:rFonts w:cs="Arial"/>
                    </w:rPr>
                    <w:t>”</w:t>
                  </w:r>
                </w:p>
              </w:tc>
              <w:tc>
                <w:tcPr>
                  <w:tcW w:w="1725" w:type="dxa"/>
                  <w:vAlign w:val="center"/>
                </w:tcPr>
                <w:p w14:paraId="57AA8898" w14:textId="77777777" w:rsidR="00AC78DD" w:rsidRDefault="00A459CC" w:rsidP="00B7559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Accept</w:t>
                  </w:r>
                  <w:r w:rsidR="00890FFE">
                    <w:rPr>
                      <w:rFonts w:cs="Arial"/>
                    </w:rPr>
                    <w:t xml:space="preserve"> Numerical</w:t>
                  </w:r>
                  <w:r>
                    <w:rPr>
                      <w:rFonts w:cs="Arial"/>
                    </w:rPr>
                    <w:t xml:space="preserve"> Result</w:t>
                  </w:r>
                  <w:r w:rsidR="00890FFE">
                    <w:rPr>
                      <w:rFonts w:cs="Arial"/>
                    </w:rPr>
                    <w:t xml:space="preserve"> and</w:t>
                  </w:r>
                  <w:r w:rsidR="003258F1">
                    <w:rPr>
                      <w:rFonts w:cs="Arial"/>
                    </w:rPr>
                    <w:t xml:space="preserve"> Nonreactive</w:t>
                  </w:r>
                </w:p>
              </w:tc>
            </w:tr>
            <w:tr w:rsidR="00AC78DD" w14:paraId="57AA889F" w14:textId="77777777" w:rsidTr="00081E34">
              <w:trPr>
                <w:trHeight w:val="701"/>
                <w:jc w:val="center"/>
              </w:trPr>
              <w:tc>
                <w:tcPr>
                  <w:tcW w:w="1278" w:type="dxa"/>
                  <w:vMerge w:val="restart"/>
                </w:tcPr>
                <w:p w14:paraId="57AA889A" w14:textId="77777777" w:rsidR="00AC78DD" w:rsidRDefault="00AC78DD" w:rsidP="00AC78DD">
                  <w:pPr>
                    <w:rPr>
                      <w:rFonts w:cs="Arial"/>
                    </w:rPr>
                  </w:pPr>
                  <w:r w:rsidRPr="00AC78DD">
                    <w:rPr>
                      <w:rFonts w:cs="Arial"/>
                    </w:rPr>
                    <w:t>≥8.0 mIU/mL to &lt; 12.0 mIU/mL</w:t>
                  </w:r>
                  <w:r w:rsidR="003258F1">
                    <w:rPr>
                      <w:rFonts w:cs="Arial"/>
                    </w:rPr>
                    <w:t xml:space="preserve"> (Equivocal)</w:t>
                  </w:r>
                </w:p>
              </w:tc>
              <w:tc>
                <w:tcPr>
                  <w:tcW w:w="1788" w:type="dxa"/>
                </w:tcPr>
                <w:p w14:paraId="57AA889B" w14:textId="77777777" w:rsidR="00AC78DD" w:rsidRDefault="00AC78DD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Both of the duplicate retests are &lt;8.0 mIU/mL</w:t>
                  </w:r>
                </w:p>
              </w:tc>
              <w:tc>
                <w:tcPr>
                  <w:tcW w:w="1297" w:type="dxa"/>
                </w:tcPr>
                <w:p w14:paraId="57AA889C" w14:textId="77777777" w:rsidR="00AC78DD" w:rsidRDefault="00AC78DD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Nonreactive</w:t>
                  </w:r>
                </w:p>
              </w:tc>
              <w:tc>
                <w:tcPr>
                  <w:tcW w:w="2538" w:type="dxa"/>
                </w:tcPr>
                <w:p w14:paraId="57AA889D" w14:textId="77777777" w:rsidR="00AC78DD" w:rsidRDefault="003258F1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“</w:t>
                  </w:r>
                  <w:r w:rsidR="00AC78DD">
                    <w:rPr>
                      <w:rFonts w:cs="Arial"/>
                    </w:rPr>
                    <w:t>Individual is considered not immune to HBV infection.</w:t>
                  </w:r>
                  <w:r>
                    <w:rPr>
                      <w:rFonts w:cs="Arial"/>
                    </w:rPr>
                    <w:t>”</w:t>
                  </w:r>
                </w:p>
              </w:tc>
              <w:tc>
                <w:tcPr>
                  <w:tcW w:w="1725" w:type="dxa"/>
                  <w:vAlign w:val="center"/>
                </w:tcPr>
                <w:p w14:paraId="57AA889E" w14:textId="77777777" w:rsidR="00AC78DD" w:rsidRDefault="00B75594" w:rsidP="00081E3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Accept </w:t>
                  </w:r>
                  <w:r w:rsidR="00890FFE">
                    <w:rPr>
                      <w:rFonts w:cs="Arial"/>
                    </w:rPr>
                    <w:t>Numerical Result and</w:t>
                  </w:r>
                  <w:r>
                    <w:rPr>
                      <w:rFonts w:cs="Arial"/>
                    </w:rPr>
                    <w:t xml:space="preserve"> Nonreactive</w:t>
                  </w:r>
                </w:p>
              </w:tc>
            </w:tr>
            <w:tr w:rsidR="00AC78DD" w14:paraId="57AA88A5" w14:textId="77777777" w:rsidTr="00081E34">
              <w:trPr>
                <w:trHeight w:val="234"/>
                <w:jc w:val="center"/>
              </w:trPr>
              <w:tc>
                <w:tcPr>
                  <w:tcW w:w="1278" w:type="dxa"/>
                  <w:vMerge/>
                </w:tcPr>
                <w:p w14:paraId="57AA88A0" w14:textId="77777777" w:rsidR="00AC78DD" w:rsidRDefault="00AC78DD" w:rsidP="00AC78D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788" w:type="dxa"/>
                </w:tcPr>
                <w:p w14:paraId="57AA88A1" w14:textId="77777777" w:rsidR="00AC78DD" w:rsidRDefault="00AC78DD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One or both of the duplicate retest results are </w:t>
                  </w:r>
                  <w:r w:rsidRPr="00AC78DD">
                    <w:rPr>
                      <w:rFonts w:cs="Arial"/>
                    </w:rPr>
                    <w:t>≥8.0 mIU/mL to &lt; 12.0 mIU/mL</w:t>
                  </w:r>
                </w:p>
              </w:tc>
              <w:tc>
                <w:tcPr>
                  <w:tcW w:w="1297" w:type="dxa"/>
                </w:tcPr>
                <w:p w14:paraId="57AA88A2" w14:textId="77777777" w:rsidR="00AC78DD" w:rsidRDefault="00AC78DD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Equivocal</w:t>
                  </w:r>
                </w:p>
              </w:tc>
              <w:tc>
                <w:tcPr>
                  <w:tcW w:w="2538" w:type="dxa"/>
                </w:tcPr>
                <w:p w14:paraId="57AA88A3" w14:textId="77777777" w:rsidR="00AC78DD" w:rsidRDefault="003258F1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“</w:t>
                  </w:r>
                  <w:r w:rsidR="00AC78DD">
                    <w:rPr>
                      <w:rFonts w:cs="Arial"/>
                    </w:rPr>
                    <w:t xml:space="preserve">The immune status of the </w:t>
                  </w:r>
                  <w:r w:rsidR="0049199E">
                    <w:rPr>
                      <w:rFonts w:cs="Arial"/>
                    </w:rPr>
                    <w:t>individual</w:t>
                  </w:r>
                  <w:r w:rsidR="00AC78DD">
                    <w:rPr>
                      <w:rFonts w:cs="Arial"/>
                    </w:rPr>
                    <w:t xml:space="preserve"> should be further assessed by considering other factors</w:t>
                  </w:r>
                  <w:r w:rsidR="005A51FB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</w:rPr>
                    <w:t>such as clinical status, follow-</w:t>
                  </w:r>
                  <w:r w:rsidR="005A51FB">
                    <w:rPr>
                      <w:rFonts w:cs="Arial"/>
                    </w:rPr>
                    <w:t xml:space="preserve">up testing, associated risk </w:t>
                  </w:r>
                  <w:r w:rsidR="0049199E">
                    <w:rPr>
                      <w:rFonts w:cs="Arial"/>
                    </w:rPr>
                    <w:t>factors, and</w:t>
                  </w:r>
                  <w:r w:rsidR="005A51FB">
                    <w:rPr>
                      <w:rFonts w:cs="Arial"/>
                    </w:rPr>
                    <w:t xml:space="preserve"> the use of additional diagnostic information.</w:t>
                  </w:r>
                  <w:r>
                    <w:rPr>
                      <w:rFonts w:cs="Arial"/>
                    </w:rPr>
                    <w:t>”</w:t>
                  </w:r>
                </w:p>
              </w:tc>
              <w:tc>
                <w:tcPr>
                  <w:tcW w:w="1725" w:type="dxa"/>
                  <w:vAlign w:val="center"/>
                </w:tcPr>
                <w:p w14:paraId="57AA88A4" w14:textId="77777777" w:rsidR="00AC78DD" w:rsidRPr="00081E34" w:rsidRDefault="00B75594" w:rsidP="00081E34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Modify the Result and </w:t>
                  </w:r>
                  <w:r w:rsidR="00733DA6">
                    <w:rPr>
                      <w:rFonts w:cs="Arial"/>
                      <w:b/>
                    </w:rPr>
                    <w:t>enter the</w:t>
                  </w:r>
                  <w:r w:rsidRPr="00D169AE">
                    <w:rPr>
                      <w:rFonts w:cs="Arial"/>
                      <w:b/>
                    </w:rPr>
                    <w:t xml:space="preserve"> </w:t>
                  </w:r>
                  <w:r w:rsidR="00081E34" w:rsidRPr="00D169AE">
                    <w:rPr>
                      <w:rFonts w:cs="Arial"/>
                      <w:b/>
                    </w:rPr>
                    <w:t>Numerical Value</w:t>
                  </w:r>
                  <w:r w:rsidR="00733DA6">
                    <w:rPr>
                      <w:rFonts w:cs="Arial"/>
                      <w:b/>
                    </w:rPr>
                    <w:t xml:space="preserve"> for the Equivocal result</w:t>
                  </w:r>
                  <w:r w:rsidR="00081E34" w:rsidRPr="00D169AE">
                    <w:rPr>
                      <w:rFonts w:cs="Arial"/>
                      <w:b/>
                    </w:rPr>
                    <w:t xml:space="preserve"> </w:t>
                  </w:r>
                  <w:r w:rsidR="00733DA6">
                    <w:rPr>
                      <w:rFonts w:cs="Arial"/>
                    </w:rPr>
                    <w:t>from the</w:t>
                  </w:r>
                  <w:r w:rsidR="00081E34">
                    <w:rPr>
                      <w:rFonts w:cs="Arial"/>
                    </w:rPr>
                    <w:t xml:space="preserve"> Architect </w:t>
                  </w:r>
                  <w:r w:rsidR="00081E34" w:rsidRPr="00D169AE">
                    <w:rPr>
                      <w:rFonts w:cs="Arial"/>
                      <w:b/>
                    </w:rPr>
                    <w:t>(Should be ≥8.0-&lt;12</w:t>
                  </w:r>
                  <w:r w:rsidRPr="00D169AE">
                    <w:rPr>
                      <w:rFonts w:cs="Arial"/>
                      <w:b/>
                    </w:rPr>
                    <w:t>)</w:t>
                  </w:r>
                </w:p>
              </w:tc>
            </w:tr>
            <w:tr w:rsidR="00AC78DD" w14:paraId="57AA88AB" w14:textId="77777777" w:rsidTr="00081E34">
              <w:trPr>
                <w:trHeight w:val="245"/>
                <w:jc w:val="center"/>
              </w:trPr>
              <w:tc>
                <w:tcPr>
                  <w:tcW w:w="1278" w:type="dxa"/>
                  <w:vMerge/>
                </w:tcPr>
                <w:p w14:paraId="57AA88A6" w14:textId="77777777" w:rsidR="00AC78DD" w:rsidRDefault="00AC78DD" w:rsidP="00AC78D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788" w:type="dxa"/>
                </w:tcPr>
                <w:p w14:paraId="57AA88A7" w14:textId="77777777" w:rsidR="00AC78DD" w:rsidRDefault="005A51FB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Both of the duplicate retests are &gt;12.0 mIU/mL</w:t>
                  </w:r>
                </w:p>
              </w:tc>
              <w:tc>
                <w:tcPr>
                  <w:tcW w:w="1297" w:type="dxa"/>
                </w:tcPr>
                <w:p w14:paraId="57AA88A8" w14:textId="77777777" w:rsidR="00AC78DD" w:rsidRDefault="005A51FB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Reactive</w:t>
                  </w:r>
                </w:p>
              </w:tc>
              <w:tc>
                <w:tcPr>
                  <w:tcW w:w="2538" w:type="dxa"/>
                </w:tcPr>
                <w:p w14:paraId="57AA88A9" w14:textId="77777777" w:rsidR="00AC78DD" w:rsidRDefault="003258F1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“</w:t>
                  </w:r>
                  <w:r w:rsidR="005A51FB">
                    <w:rPr>
                      <w:rFonts w:cs="Arial"/>
                    </w:rPr>
                    <w:t>Individual is considered immune to HBV infection.</w:t>
                  </w:r>
                  <w:r>
                    <w:rPr>
                      <w:rFonts w:cs="Arial"/>
                    </w:rPr>
                    <w:t>”</w:t>
                  </w:r>
                </w:p>
              </w:tc>
              <w:tc>
                <w:tcPr>
                  <w:tcW w:w="1725" w:type="dxa"/>
                  <w:vAlign w:val="center"/>
                </w:tcPr>
                <w:p w14:paraId="57AA88AA" w14:textId="77777777" w:rsidR="00AC78DD" w:rsidRDefault="00B75594" w:rsidP="00081E3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Accept </w:t>
                  </w:r>
                  <w:r w:rsidR="00890FFE">
                    <w:rPr>
                      <w:rFonts w:cs="Arial"/>
                    </w:rPr>
                    <w:t>Numerical Result and</w:t>
                  </w:r>
                  <w:r>
                    <w:rPr>
                      <w:rFonts w:cs="Arial"/>
                    </w:rPr>
                    <w:t xml:space="preserve"> Reactive</w:t>
                  </w:r>
                </w:p>
              </w:tc>
            </w:tr>
            <w:tr w:rsidR="00AC78DD" w14:paraId="57AA88B1" w14:textId="77777777" w:rsidTr="00081E34">
              <w:trPr>
                <w:trHeight w:val="245"/>
                <w:jc w:val="center"/>
              </w:trPr>
              <w:tc>
                <w:tcPr>
                  <w:tcW w:w="1278" w:type="dxa"/>
                </w:tcPr>
                <w:p w14:paraId="57AA88AC" w14:textId="77777777" w:rsidR="00AC78DD" w:rsidRDefault="005A51FB" w:rsidP="00AC78DD">
                  <w:pPr>
                    <w:rPr>
                      <w:rFonts w:cs="Arial"/>
                    </w:rPr>
                  </w:pPr>
                  <w:r w:rsidRPr="005A51FB">
                    <w:rPr>
                      <w:rFonts w:cs="Arial"/>
                    </w:rPr>
                    <w:t>≥12.0 mIU/mL</w:t>
                  </w:r>
                  <w:r w:rsidR="003258F1">
                    <w:rPr>
                      <w:rFonts w:cs="Arial"/>
                    </w:rPr>
                    <w:t xml:space="preserve"> (Reactive)</w:t>
                  </w:r>
                </w:p>
              </w:tc>
              <w:tc>
                <w:tcPr>
                  <w:tcW w:w="1788" w:type="dxa"/>
                </w:tcPr>
                <w:p w14:paraId="57AA88AD" w14:textId="7D8BEB29" w:rsidR="00AC78DD" w:rsidRDefault="005A51FB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 Retest Required</w:t>
                  </w:r>
                  <w:r w:rsidR="00AF41DE">
                    <w:rPr>
                      <w:rFonts w:cs="Arial"/>
                    </w:rPr>
                    <w:t xml:space="preserve"> if below 1000.0.  Results &gt;1000.0 should be diluted with the 1:25 automated instrument dilution</w:t>
                  </w:r>
                  <w:r w:rsidR="00747CE7">
                    <w:rPr>
                      <w:rFonts w:cs="Arial"/>
                    </w:rPr>
                    <w:t>.  Results &gt;25,000 should be manually</w:t>
                  </w:r>
                  <w:r w:rsidR="00AF41DE">
                    <w:rPr>
                      <w:rFonts w:cs="Arial"/>
                    </w:rPr>
                    <w:t xml:space="preserve"> diluted 1:100 using the Anti-HBs Specimen Diluent</w:t>
                  </w:r>
                  <w:r w:rsidR="00747CE7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297" w:type="dxa"/>
                </w:tcPr>
                <w:p w14:paraId="57AA88AE" w14:textId="77777777" w:rsidR="00AC78DD" w:rsidRDefault="005A51FB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Reactive</w:t>
                  </w:r>
                </w:p>
              </w:tc>
              <w:tc>
                <w:tcPr>
                  <w:tcW w:w="2538" w:type="dxa"/>
                </w:tcPr>
                <w:p w14:paraId="57AA88AF" w14:textId="77777777" w:rsidR="00AC78DD" w:rsidRDefault="003258F1" w:rsidP="00AC78D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“</w:t>
                  </w:r>
                  <w:r w:rsidR="005A51FB">
                    <w:rPr>
                      <w:rFonts w:cs="Arial"/>
                    </w:rPr>
                    <w:t>Individual is considered immune to HBV infection.</w:t>
                  </w:r>
                  <w:r>
                    <w:rPr>
                      <w:rFonts w:cs="Arial"/>
                    </w:rPr>
                    <w:t>”</w:t>
                  </w:r>
                </w:p>
              </w:tc>
              <w:tc>
                <w:tcPr>
                  <w:tcW w:w="1725" w:type="dxa"/>
                  <w:vAlign w:val="center"/>
                </w:tcPr>
                <w:p w14:paraId="57AA88B0" w14:textId="77777777" w:rsidR="00AC78DD" w:rsidRDefault="00B75594" w:rsidP="00081E3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Accept</w:t>
                  </w:r>
                  <w:r w:rsidR="00A459CC">
                    <w:rPr>
                      <w:rFonts w:cs="Arial"/>
                    </w:rPr>
                    <w:t xml:space="preserve"> </w:t>
                  </w:r>
                  <w:r w:rsidR="00890FFE">
                    <w:rPr>
                      <w:rFonts w:cs="Arial"/>
                    </w:rPr>
                    <w:t xml:space="preserve">Numerical </w:t>
                  </w:r>
                  <w:r w:rsidR="00A459CC">
                    <w:rPr>
                      <w:rFonts w:cs="Arial"/>
                    </w:rPr>
                    <w:t>Result</w:t>
                  </w:r>
                  <w:r w:rsidR="00890FFE">
                    <w:rPr>
                      <w:rFonts w:cs="Arial"/>
                    </w:rPr>
                    <w:t xml:space="preserve"> and</w:t>
                  </w:r>
                  <w:r>
                    <w:rPr>
                      <w:rFonts w:cs="Arial"/>
                    </w:rPr>
                    <w:t xml:space="preserve"> Reactive</w:t>
                  </w:r>
                </w:p>
              </w:tc>
            </w:tr>
          </w:tbl>
          <w:p w14:paraId="57AA88B2" w14:textId="77777777" w:rsidR="00AC78DD" w:rsidRPr="00B00AD4" w:rsidRDefault="00AC78DD" w:rsidP="00AC78DD">
            <w:pPr>
              <w:jc w:val="center"/>
              <w:rPr>
                <w:rFonts w:cs="Arial"/>
              </w:rPr>
            </w:pPr>
          </w:p>
        </w:tc>
      </w:tr>
      <w:tr w:rsidR="00AC78DD" w14:paraId="57AA88B8" w14:textId="77777777" w:rsidTr="003258F1">
        <w:trPr>
          <w:trHeight w:val="1125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B4" w14:textId="77777777" w:rsidR="00AC78DD" w:rsidRDefault="00AC78DD" w:rsidP="008C6EDC">
            <w:pPr>
              <w:rPr>
                <w:rFonts w:cs="Arial"/>
                <w:b/>
                <w:bCs/>
                <w:color w:val="0000FF"/>
              </w:rPr>
            </w:pPr>
          </w:p>
          <w:p w14:paraId="57AA88B5" w14:textId="77777777" w:rsidR="00AC78DD" w:rsidRDefault="00AC78DD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Specimen Storage</w:t>
            </w:r>
          </w:p>
          <w:p w14:paraId="57AA88B6" w14:textId="77777777" w:rsidR="00AC78DD" w:rsidRDefault="00AC78DD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8B7" w14:textId="77777777" w:rsidR="00AC78DD" w:rsidRDefault="00AC78DD" w:rsidP="008E43B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Promptly stopper tested specimen and store upright in specimen rack. Every 8 hours remove specimens to refrigerator/freezer</w:t>
            </w:r>
            <w:r w:rsidR="00295B53">
              <w:rPr>
                <w:rFonts w:cs="Arial"/>
              </w:rPr>
              <w:t xml:space="preserve"> storage. Samples are retained 14</w:t>
            </w:r>
            <w:r>
              <w:rPr>
                <w:rFonts w:cs="Arial"/>
              </w:rPr>
              <w:t xml:space="preserve"> days in specimen storage freezer.</w:t>
            </w:r>
          </w:p>
        </w:tc>
      </w:tr>
      <w:tr w:rsidR="00AC78DD" w14:paraId="57AA88C2" w14:textId="77777777" w:rsidTr="00663133">
        <w:trPr>
          <w:trHeight w:val="2898"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57AA88B9" w14:textId="77777777" w:rsidR="00AC78DD" w:rsidRDefault="00AC78DD">
            <w:pPr>
              <w:rPr>
                <w:rFonts w:cs="Arial"/>
                <w:b/>
                <w:bCs/>
                <w:color w:val="0000FF"/>
              </w:rPr>
            </w:pPr>
          </w:p>
          <w:p w14:paraId="57AA88BA" w14:textId="77777777" w:rsidR="00AC78DD" w:rsidRDefault="00AC78DD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References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57AA88BB" w14:textId="00C95629" w:rsidR="00AC78DD" w:rsidRDefault="0090000F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Alinity i Anti-HBs</w:t>
            </w:r>
            <w:r w:rsidR="00AC78DD">
              <w:rPr>
                <w:rFonts w:cs="Arial"/>
              </w:rPr>
              <w:t xml:space="preserve"> reagent cartridge insert sheet Abbott Laboratories, Abbott Park, IL, 60064. Revised Date </w:t>
            </w:r>
            <w:r w:rsidR="00747CE7">
              <w:rPr>
                <w:rFonts w:cs="Arial"/>
              </w:rPr>
              <w:t>June 2019</w:t>
            </w:r>
            <w:r w:rsidR="006648CF">
              <w:rPr>
                <w:rFonts w:cs="Arial"/>
              </w:rPr>
              <w:t>.</w:t>
            </w:r>
          </w:p>
          <w:p w14:paraId="57AA88BC" w14:textId="5DD25C73" w:rsidR="00AC78DD" w:rsidRDefault="00747CE7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Alinity i Anti-HBs</w:t>
            </w:r>
            <w:r w:rsidR="00AC78DD">
              <w:rPr>
                <w:rFonts w:cs="Arial"/>
              </w:rPr>
              <w:t xml:space="preserve"> calibrator insert sheet Abbott </w:t>
            </w:r>
            <w:r w:rsidR="0049199E">
              <w:rPr>
                <w:rFonts w:cs="Arial"/>
              </w:rPr>
              <w:t>Laboratories</w:t>
            </w:r>
            <w:r w:rsidR="00AC78DD">
              <w:rPr>
                <w:rFonts w:cs="Arial"/>
              </w:rPr>
              <w:t xml:space="preserve">, Abbott Park, IL 60064. Revised </w:t>
            </w:r>
            <w:r>
              <w:rPr>
                <w:rFonts w:cs="Arial"/>
              </w:rPr>
              <w:t>March 2019</w:t>
            </w:r>
            <w:r w:rsidR="00AC78DD">
              <w:rPr>
                <w:rFonts w:cs="Arial"/>
              </w:rPr>
              <w:t>.</w:t>
            </w:r>
          </w:p>
          <w:p w14:paraId="57AA88BD" w14:textId="40B8A203" w:rsidR="00552A29" w:rsidRPr="00552A29" w:rsidRDefault="00747CE7" w:rsidP="00552A29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Alinity i Anti-HBs Specimen Diluent</w:t>
            </w:r>
            <w:r w:rsidR="00552A29">
              <w:rPr>
                <w:rFonts w:cs="Arial"/>
              </w:rPr>
              <w:t xml:space="preserve"> insert sheet Abbott </w:t>
            </w:r>
            <w:r w:rsidR="0049199E">
              <w:rPr>
                <w:rFonts w:cs="Arial"/>
              </w:rPr>
              <w:t>Laboratories</w:t>
            </w:r>
            <w:r w:rsidR="00552A29">
              <w:rPr>
                <w:rFonts w:cs="Arial"/>
              </w:rPr>
              <w:t>, Abbott Pa</w:t>
            </w:r>
            <w:r>
              <w:rPr>
                <w:rFonts w:cs="Arial"/>
              </w:rPr>
              <w:t>rk, IL 60064. Revised March 2019</w:t>
            </w:r>
            <w:r w:rsidR="00552A29">
              <w:rPr>
                <w:rFonts w:cs="Arial"/>
              </w:rPr>
              <w:t>.</w:t>
            </w:r>
          </w:p>
          <w:p w14:paraId="57AA88BE" w14:textId="77777777" w:rsidR="00AC78DD" w:rsidRPr="009E6926" w:rsidRDefault="00AC78DD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Abbott Architect Safety Data Sheet, Abbott </w:t>
            </w:r>
            <w:r w:rsidR="0049199E">
              <w:rPr>
                <w:rFonts w:cs="Arial"/>
              </w:rPr>
              <w:t>Diagnostics</w:t>
            </w:r>
            <w:r>
              <w:rPr>
                <w:rFonts w:cs="Arial"/>
              </w:rPr>
              <w:t xml:space="preserve">, Abbott Park, IL 60064. Revised </w:t>
            </w:r>
            <w:r w:rsidR="00E81243">
              <w:rPr>
                <w:rFonts w:cs="Arial"/>
              </w:rPr>
              <w:t>July 30, 2015</w:t>
            </w:r>
            <w:r>
              <w:rPr>
                <w:rFonts w:cs="Arial"/>
              </w:rPr>
              <w:t>.</w:t>
            </w:r>
          </w:p>
          <w:p w14:paraId="57AA88BF" w14:textId="77777777" w:rsidR="005A6341" w:rsidRPr="005A6341" w:rsidRDefault="0049199E" w:rsidP="005A6341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szCs w:val="20"/>
              </w:rPr>
              <w:t>Bio</w:t>
            </w:r>
            <w:r w:rsidRPr="005A6341">
              <w:rPr>
                <w:szCs w:val="20"/>
              </w:rPr>
              <w:t>-Rad</w:t>
            </w:r>
            <w:r w:rsidR="00E81243" w:rsidRPr="005A6341">
              <w:rPr>
                <w:szCs w:val="20"/>
              </w:rPr>
              <w:t xml:space="preserve"> Virocl</w:t>
            </w:r>
            <w:r w:rsidR="005A6341">
              <w:rPr>
                <w:szCs w:val="20"/>
              </w:rPr>
              <w:t xml:space="preserve">ear Control Product Insert, </w:t>
            </w:r>
            <w:r>
              <w:rPr>
                <w:szCs w:val="20"/>
              </w:rPr>
              <w:t>Bio</w:t>
            </w:r>
            <w:r w:rsidRPr="005A6341">
              <w:rPr>
                <w:szCs w:val="20"/>
              </w:rPr>
              <w:t>-Rad</w:t>
            </w:r>
            <w:r w:rsidR="00E81243" w:rsidRPr="005A6341">
              <w:rPr>
                <w:szCs w:val="20"/>
              </w:rPr>
              <w:t xml:space="preserve"> Laboratories, Irvine, CA 92618 July 2017. </w:t>
            </w:r>
          </w:p>
          <w:p w14:paraId="57AA88C0" w14:textId="77777777" w:rsidR="005A6341" w:rsidRPr="005A6341" w:rsidRDefault="0049199E" w:rsidP="005A6341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szCs w:val="20"/>
              </w:rPr>
              <w:t>Bio</w:t>
            </w:r>
            <w:r w:rsidRPr="005A6341">
              <w:rPr>
                <w:szCs w:val="20"/>
              </w:rPr>
              <w:t>-Rad</w:t>
            </w:r>
            <w:r w:rsidR="005A6341" w:rsidRPr="005A6341">
              <w:rPr>
                <w:szCs w:val="20"/>
              </w:rPr>
              <w:t xml:space="preserve"> Virotrol II Control Product Insert, </w:t>
            </w:r>
            <w:r w:rsidRPr="005A6341">
              <w:rPr>
                <w:szCs w:val="20"/>
              </w:rPr>
              <w:t>Bio-Rad</w:t>
            </w:r>
            <w:r w:rsidR="005A6341" w:rsidRPr="005A6341">
              <w:rPr>
                <w:szCs w:val="20"/>
              </w:rPr>
              <w:t xml:space="preserve"> Laboratories, Irvine, CA 92618 October 2017</w:t>
            </w:r>
            <w:r w:rsidR="005A6341" w:rsidRPr="005A634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57AA88C1" w14:textId="77777777" w:rsidR="00AC78DD" w:rsidRPr="00FD158C" w:rsidRDefault="00AC78DD" w:rsidP="00E81243">
            <w:pPr>
              <w:jc w:val="both"/>
              <w:rPr>
                <w:rFonts w:cs="Arial"/>
              </w:rPr>
            </w:pPr>
          </w:p>
        </w:tc>
      </w:tr>
      <w:tr w:rsidR="00AC78DD" w14:paraId="57AA88DA" w14:textId="77777777" w:rsidTr="00663133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14:paraId="57AA88C3" w14:textId="77777777" w:rsidR="00AC78DD" w:rsidRDefault="00AC78DD">
            <w:pPr>
              <w:rPr>
                <w:rFonts w:cs="Arial"/>
                <w:b/>
                <w:bCs/>
                <w:color w:val="3366FF"/>
              </w:rPr>
            </w:pPr>
            <w:r>
              <w:rPr>
                <w:rFonts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14:paraId="57AA88C4" w14:textId="77777777" w:rsidR="00AC78DD" w:rsidRDefault="00AC78DD">
            <w:pPr>
              <w:rPr>
                <w:rFonts w:cs="Arial"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2070"/>
              <w:gridCol w:w="1980"/>
              <w:gridCol w:w="3510"/>
            </w:tblGrid>
            <w:tr w:rsidR="00AC78DD" w14:paraId="57AA88C9" w14:textId="77777777" w:rsidTr="003571BD">
              <w:tc>
                <w:tcPr>
                  <w:tcW w:w="967" w:type="dxa"/>
                </w:tcPr>
                <w:p w14:paraId="57AA88C5" w14:textId="77777777" w:rsidR="00AC78DD" w:rsidRPr="003571BD" w:rsidRDefault="00AC78D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Version</w:t>
                  </w:r>
                </w:p>
              </w:tc>
              <w:tc>
                <w:tcPr>
                  <w:tcW w:w="2070" w:type="dxa"/>
                </w:tcPr>
                <w:p w14:paraId="57AA88C6" w14:textId="77777777" w:rsidR="00AC78DD" w:rsidRPr="003571BD" w:rsidRDefault="00AC78D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Written/Revised By</w:t>
                  </w:r>
                </w:p>
              </w:tc>
              <w:tc>
                <w:tcPr>
                  <w:tcW w:w="1980" w:type="dxa"/>
                </w:tcPr>
                <w:p w14:paraId="57AA88C7" w14:textId="77777777" w:rsidR="00AC78DD" w:rsidRPr="003571BD" w:rsidRDefault="00AC78D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Effective Date</w:t>
                  </w:r>
                </w:p>
              </w:tc>
              <w:tc>
                <w:tcPr>
                  <w:tcW w:w="3510" w:type="dxa"/>
                </w:tcPr>
                <w:p w14:paraId="57AA88C8" w14:textId="77777777" w:rsidR="00AC78DD" w:rsidRPr="003571BD" w:rsidRDefault="00AC78D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 xml:space="preserve">Summary of </w:t>
                  </w:r>
                  <w:r>
                    <w:rPr>
                      <w:rFonts w:cs="Arial"/>
                      <w:b/>
                      <w:iCs/>
                    </w:rPr>
                    <w:t>Revisions</w:t>
                  </w:r>
                </w:p>
              </w:tc>
            </w:tr>
            <w:tr w:rsidR="00AC78DD" w14:paraId="57AA88CE" w14:textId="77777777" w:rsidTr="003571BD">
              <w:tc>
                <w:tcPr>
                  <w:tcW w:w="967" w:type="dxa"/>
                </w:tcPr>
                <w:p w14:paraId="57AA88CA" w14:textId="77777777" w:rsidR="00AC78DD" w:rsidRDefault="00AC78D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57AA88CB" w14:textId="77777777" w:rsidR="00AC78DD" w:rsidRDefault="00AC78D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Kelsi Brown</w:t>
                  </w:r>
                  <w:r w:rsidR="003258F1">
                    <w:rPr>
                      <w:rFonts w:cs="Arial"/>
                      <w:iCs/>
                    </w:rPr>
                    <w:t>/Erin Bartos</w:t>
                  </w:r>
                </w:p>
              </w:tc>
              <w:tc>
                <w:tcPr>
                  <w:tcW w:w="1980" w:type="dxa"/>
                </w:tcPr>
                <w:p w14:paraId="57AA88CC" w14:textId="77777777" w:rsidR="00AC78DD" w:rsidRDefault="003258F1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May 15, 2018</w:t>
                  </w:r>
                </w:p>
              </w:tc>
              <w:tc>
                <w:tcPr>
                  <w:tcW w:w="3510" w:type="dxa"/>
                </w:tcPr>
                <w:p w14:paraId="57AA88CD" w14:textId="77777777" w:rsidR="00AC78DD" w:rsidRDefault="00AC78D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New Procedure</w:t>
                  </w:r>
                </w:p>
              </w:tc>
            </w:tr>
            <w:tr w:rsidR="00AC78DD" w14:paraId="57AA88D3" w14:textId="77777777" w:rsidTr="003571BD">
              <w:tc>
                <w:tcPr>
                  <w:tcW w:w="967" w:type="dxa"/>
                </w:tcPr>
                <w:p w14:paraId="57AA88CF" w14:textId="77777777" w:rsidR="00AC78DD" w:rsidRDefault="00890FFE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14:paraId="57AA88D0" w14:textId="77777777" w:rsidR="00AC78DD" w:rsidRDefault="00890FFE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Erin Bartos</w:t>
                  </w:r>
                </w:p>
              </w:tc>
              <w:tc>
                <w:tcPr>
                  <w:tcW w:w="1980" w:type="dxa"/>
                </w:tcPr>
                <w:p w14:paraId="57AA88D1" w14:textId="77777777" w:rsidR="00AC78DD" w:rsidRDefault="00890FFE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October 28, 2018</w:t>
                  </w:r>
                </w:p>
              </w:tc>
              <w:tc>
                <w:tcPr>
                  <w:tcW w:w="3510" w:type="dxa"/>
                </w:tcPr>
                <w:p w14:paraId="57AA88D2" w14:textId="77777777" w:rsidR="00AC78DD" w:rsidRDefault="00890FFE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Noted quantitative result and interpretation are reported.</w:t>
                  </w:r>
                </w:p>
              </w:tc>
            </w:tr>
            <w:tr w:rsidR="00AC78DD" w14:paraId="57AA88D8" w14:textId="77777777" w:rsidTr="003571BD">
              <w:tc>
                <w:tcPr>
                  <w:tcW w:w="967" w:type="dxa"/>
                </w:tcPr>
                <w:p w14:paraId="57AA88D4" w14:textId="7E2C67BA" w:rsidR="00AC78DD" w:rsidRDefault="002D759F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14:paraId="57AA88D5" w14:textId="08945737" w:rsidR="00AC78DD" w:rsidRDefault="002D759F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Erin Bartos</w:t>
                  </w:r>
                </w:p>
              </w:tc>
              <w:tc>
                <w:tcPr>
                  <w:tcW w:w="1980" w:type="dxa"/>
                </w:tcPr>
                <w:p w14:paraId="57AA88D6" w14:textId="580AD9D9" w:rsidR="00AC78DD" w:rsidRDefault="002D759F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May 1, 2019</w:t>
                  </w:r>
                </w:p>
              </w:tc>
              <w:tc>
                <w:tcPr>
                  <w:tcW w:w="3510" w:type="dxa"/>
                </w:tcPr>
                <w:p w14:paraId="57AA88D7" w14:textId="33543F10" w:rsidR="00AC78DD" w:rsidRDefault="002D759F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Updated QC for URT</w:t>
                  </w:r>
                </w:p>
              </w:tc>
            </w:tr>
            <w:tr w:rsidR="00747CE7" w14:paraId="683FBF0E" w14:textId="77777777" w:rsidTr="003571BD">
              <w:tc>
                <w:tcPr>
                  <w:tcW w:w="967" w:type="dxa"/>
                </w:tcPr>
                <w:p w14:paraId="5A60B7DB" w14:textId="70917564" w:rsidR="00747CE7" w:rsidRDefault="00747CE7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4</w:t>
                  </w:r>
                </w:p>
              </w:tc>
              <w:tc>
                <w:tcPr>
                  <w:tcW w:w="2070" w:type="dxa"/>
                </w:tcPr>
                <w:p w14:paraId="4B7A2D97" w14:textId="17518075" w:rsidR="00747CE7" w:rsidRDefault="00747CE7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Erin Bartos</w:t>
                  </w:r>
                </w:p>
              </w:tc>
              <w:tc>
                <w:tcPr>
                  <w:tcW w:w="1980" w:type="dxa"/>
                </w:tcPr>
                <w:p w14:paraId="2933DC50" w14:textId="2CB9B730" w:rsidR="00747CE7" w:rsidRDefault="00747CE7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October 28, 2020</w:t>
                  </w:r>
                </w:p>
              </w:tc>
              <w:tc>
                <w:tcPr>
                  <w:tcW w:w="3510" w:type="dxa"/>
                </w:tcPr>
                <w:p w14:paraId="4597B677" w14:textId="6BB56621" w:rsidR="00747CE7" w:rsidRDefault="00747CE7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Changed from Architect to Alinity.</w:t>
                  </w:r>
                </w:p>
              </w:tc>
            </w:tr>
          </w:tbl>
          <w:p w14:paraId="57AA88D9" w14:textId="77777777" w:rsidR="00AC78DD" w:rsidRDefault="00AC78DD">
            <w:pPr>
              <w:rPr>
                <w:rFonts w:cs="Arial"/>
                <w:iCs/>
              </w:rPr>
            </w:pPr>
          </w:p>
        </w:tc>
      </w:tr>
    </w:tbl>
    <w:p w14:paraId="57AA88DB" w14:textId="77777777" w:rsidR="008C6EDC" w:rsidRDefault="008C6EDC"/>
    <w:sectPr w:rsidR="008C6EDC" w:rsidSect="00287C41">
      <w:headerReference w:type="default" r:id="rId14"/>
      <w:footerReference w:type="default" r:id="rId15"/>
      <w:pgSz w:w="12240" w:h="15840" w:code="1"/>
      <w:pgMar w:top="720" w:right="1800" w:bottom="72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A88DE" w14:textId="77777777" w:rsidR="004D5237" w:rsidRDefault="004D5237">
      <w:r>
        <w:separator/>
      </w:r>
    </w:p>
  </w:endnote>
  <w:endnote w:type="continuationSeparator" w:id="0">
    <w:p w14:paraId="57AA88DF" w14:textId="77777777" w:rsidR="004D5237" w:rsidRDefault="004D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en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e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A88E4" w14:textId="4E5CCA3E" w:rsidR="004D5237" w:rsidRPr="001A774F" w:rsidRDefault="004D5237" w:rsidP="008C6EDC">
    <w:pPr>
      <w:ind w:left="-1260" w:right="-1260"/>
      <w:rPr>
        <w:rFonts w:cs="Arial"/>
        <w:sz w:val="18"/>
      </w:rPr>
    </w:pPr>
    <w:r>
      <w:rPr>
        <w:rFonts w:cs="Arial"/>
        <w:sz w:val="18"/>
      </w:rPr>
      <w:t>Laboratory, Chil</w:t>
    </w:r>
    <w:r w:rsidR="002D759F">
      <w:rPr>
        <w:rFonts w:cs="Arial"/>
        <w:sz w:val="18"/>
      </w:rPr>
      <w:t xml:space="preserve">dren’s </w:t>
    </w:r>
    <w:r w:rsidR="00D14A32">
      <w:rPr>
        <w:rFonts w:cs="Arial"/>
        <w:sz w:val="18"/>
      </w:rPr>
      <w:t>Minnesota, Minneapolis</w:t>
    </w:r>
    <w:r>
      <w:rPr>
        <w:rFonts w:cs="Arial"/>
        <w:sz w:val="18"/>
      </w:rPr>
      <w:t>, MN</w:t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sz w:val="18"/>
      </w:rPr>
      <w:t xml:space="preserve">Page </w:t>
    </w:r>
    <w:r w:rsidR="00252286">
      <w:rPr>
        <w:sz w:val="18"/>
      </w:rPr>
      <w:fldChar w:fldCharType="begin"/>
    </w:r>
    <w:r>
      <w:rPr>
        <w:sz w:val="18"/>
      </w:rPr>
      <w:instrText xml:space="preserve"> PAGE </w:instrText>
    </w:r>
    <w:r w:rsidR="00252286">
      <w:rPr>
        <w:sz w:val="18"/>
      </w:rPr>
      <w:fldChar w:fldCharType="separate"/>
    </w:r>
    <w:r w:rsidR="00BA55D8">
      <w:rPr>
        <w:noProof/>
        <w:sz w:val="18"/>
      </w:rPr>
      <w:t>9</w:t>
    </w:r>
    <w:r w:rsidR="00252286">
      <w:rPr>
        <w:sz w:val="18"/>
      </w:rPr>
      <w:fldChar w:fldCharType="end"/>
    </w:r>
    <w:r>
      <w:rPr>
        <w:sz w:val="18"/>
      </w:rPr>
      <w:t xml:space="preserve"> of </w:t>
    </w:r>
    <w:r w:rsidR="00252286">
      <w:rPr>
        <w:sz w:val="18"/>
      </w:rPr>
      <w:fldChar w:fldCharType="begin"/>
    </w:r>
    <w:r>
      <w:rPr>
        <w:sz w:val="18"/>
      </w:rPr>
      <w:instrText xml:space="preserve"> NUMPAGES </w:instrText>
    </w:r>
    <w:r w:rsidR="00252286">
      <w:rPr>
        <w:sz w:val="18"/>
      </w:rPr>
      <w:fldChar w:fldCharType="separate"/>
    </w:r>
    <w:r w:rsidR="00BA55D8">
      <w:rPr>
        <w:noProof/>
        <w:sz w:val="18"/>
      </w:rPr>
      <w:t>9</w:t>
    </w:r>
    <w:r w:rsidR="0025228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A88DC" w14:textId="77777777" w:rsidR="004D5237" w:rsidRDefault="004D5237">
      <w:r>
        <w:separator/>
      </w:r>
    </w:p>
  </w:footnote>
  <w:footnote w:type="continuationSeparator" w:id="0">
    <w:p w14:paraId="57AA88DD" w14:textId="77777777" w:rsidR="004D5237" w:rsidRDefault="004D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A88E0" w14:textId="77777777" w:rsidR="004D5237" w:rsidRDefault="00890FFE">
    <w:pPr>
      <w:ind w:left="-1260" w:right="-1260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7AA88E5" wp14:editId="57AA88E6">
          <wp:simplePos x="0" y="0"/>
          <wp:positionH relativeFrom="column">
            <wp:posOffset>4672965</wp:posOffset>
          </wp:positionH>
          <wp:positionV relativeFrom="paragraph">
            <wp:posOffset>-194310</wp:posOffset>
          </wp:positionV>
          <wp:extent cx="1697990" cy="544195"/>
          <wp:effectExtent l="19050" t="0" r="0" b="0"/>
          <wp:wrapTight wrapText="bothSides">
            <wp:wrapPolygon edited="0">
              <wp:start x="-242" y="0"/>
              <wp:lineTo x="-242" y="21172"/>
              <wp:lineTo x="21568" y="21172"/>
              <wp:lineTo x="21568" y="0"/>
              <wp:lineTo x="-242" y="0"/>
            </wp:wrapPolygon>
          </wp:wrapTight>
          <wp:docPr id="3" name="Picture 3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5237">
      <w:rPr>
        <w:rFonts w:cs="Arial"/>
        <w:sz w:val="18"/>
      </w:rPr>
      <w:t>CH 6.42 Hepatitis B Surface Antibody</w:t>
    </w:r>
  </w:p>
  <w:p w14:paraId="57AA88E1" w14:textId="1E230401" w:rsidR="004D5237" w:rsidRDefault="00D14A32">
    <w:pPr>
      <w:ind w:left="-1260" w:right="-1260"/>
      <w:rPr>
        <w:rFonts w:cs="Arial"/>
        <w:sz w:val="18"/>
      </w:rPr>
    </w:pPr>
    <w:r>
      <w:rPr>
        <w:rFonts w:cs="Arial"/>
        <w:sz w:val="18"/>
      </w:rPr>
      <w:t>Version 4</w:t>
    </w:r>
  </w:p>
  <w:p w14:paraId="57AA88E2" w14:textId="58856B7F" w:rsidR="004D5237" w:rsidRDefault="00D14A32">
    <w:pPr>
      <w:ind w:left="-1260" w:right="-1260"/>
      <w:rPr>
        <w:rFonts w:cs="Arial"/>
        <w:sz w:val="18"/>
      </w:rPr>
    </w:pPr>
    <w:r>
      <w:rPr>
        <w:rFonts w:cs="Arial"/>
        <w:sz w:val="18"/>
      </w:rPr>
      <w:t>Effective Date: October 28, 2020</w:t>
    </w:r>
  </w:p>
  <w:p w14:paraId="57AA88E3" w14:textId="77777777" w:rsidR="004D5237" w:rsidRDefault="004D523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BD5"/>
    <w:multiLevelType w:val="hybridMultilevel"/>
    <w:tmpl w:val="163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A90"/>
    <w:multiLevelType w:val="hybridMultilevel"/>
    <w:tmpl w:val="8E64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30804"/>
    <w:multiLevelType w:val="hybridMultilevel"/>
    <w:tmpl w:val="553897C6"/>
    <w:lvl w:ilvl="0" w:tplc="A1ACB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7E759E"/>
    <w:multiLevelType w:val="hybridMultilevel"/>
    <w:tmpl w:val="12EC6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11222"/>
    <w:multiLevelType w:val="hybridMultilevel"/>
    <w:tmpl w:val="A3FC90B2"/>
    <w:lvl w:ilvl="0" w:tplc="32C0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D935F3"/>
    <w:multiLevelType w:val="hybridMultilevel"/>
    <w:tmpl w:val="CCBA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4C53"/>
    <w:multiLevelType w:val="hybridMultilevel"/>
    <w:tmpl w:val="A3F4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6AE7"/>
    <w:multiLevelType w:val="hybridMultilevel"/>
    <w:tmpl w:val="ED72D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E66EDC"/>
    <w:multiLevelType w:val="hybridMultilevel"/>
    <w:tmpl w:val="EE002A8C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11FF2"/>
    <w:multiLevelType w:val="hybridMultilevel"/>
    <w:tmpl w:val="78C24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0C6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75893"/>
    <w:multiLevelType w:val="hybridMultilevel"/>
    <w:tmpl w:val="C768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2220"/>
    <w:multiLevelType w:val="hybridMultilevel"/>
    <w:tmpl w:val="EFBED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116995"/>
    <w:multiLevelType w:val="hybridMultilevel"/>
    <w:tmpl w:val="D938E496"/>
    <w:lvl w:ilvl="0" w:tplc="DD9059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1185F"/>
    <w:multiLevelType w:val="hybridMultilevel"/>
    <w:tmpl w:val="5CF23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63E3B"/>
    <w:multiLevelType w:val="hybridMultilevel"/>
    <w:tmpl w:val="4992B338"/>
    <w:lvl w:ilvl="0" w:tplc="44DAD140">
      <w:start w:val="1"/>
      <w:numFmt w:val="bullet"/>
      <w:lvlText w:val=""/>
      <w:lvlJc w:val="left"/>
      <w:pPr>
        <w:tabs>
          <w:tab w:val="num" w:pos="360"/>
        </w:tabs>
        <w:ind w:left="-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31311"/>
    <w:multiLevelType w:val="hybridMultilevel"/>
    <w:tmpl w:val="71B6B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A3E46F4"/>
    <w:multiLevelType w:val="hybridMultilevel"/>
    <w:tmpl w:val="6B2A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44438"/>
    <w:multiLevelType w:val="hybridMultilevel"/>
    <w:tmpl w:val="C5BA0A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475C2C"/>
    <w:multiLevelType w:val="hybridMultilevel"/>
    <w:tmpl w:val="91C6C1E0"/>
    <w:lvl w:ilvl="0" w:tplc="12A23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70B61"/>
    <w:multiLevelType w:val="hybridMultilevel"/>
    <w:tmpl w:val="F518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90622"/>
    <w:multiLevelType w:val="hybridMultilevel"/>
    <w:tmpl w:val="C68A5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64A46">
      <w:start w:val="2"/>
      <w:numFmt w:val="bullet"/>
      <w:lvlText w:val="•"/>
      <w:lvlJc w:val="left"/>
      <w:pPr>
        <w:ind w:left="1080" w:hanging="360"/>
      </w:pPr>
      <w:rPr>
        <w:rFonts w:ascii="Arial" w:eastAsia="HelenPro-Bold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73679E"/>
    <w:multiLevelType w:val="hybridMultilevel"/>
    <w:tmpl w:val="AAD2C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03B16"/>
    <w:multiLevelType w:val="hybridMultilevel"/>
    <w:tmpl w:val="99E46710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380F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877F2"/>
    <w:multiLevelType w:val="hybridMultilevel"/>
    <w:tmpl w:val="9D6A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16C4F"/>
    <w:multiLevelType w:val="hybridMultilevel"/>
    <w:tmpl w:val="C64E1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0F72CC"/>
    <w:multiLevelType w:val="hybridMultilevel"/>
    <w:tmpl w:val="39E436C2"/>
    <w:lvl w:ilvl="0" w:tplc="D5F0FC4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B5466"/>
    <w:multiLevelType w:val="hybridMultilevel"/>
    <w:tmpl w:val="4C72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2A0C"/>
    <w:multiLevelType w:val="hybridMultilevel"/>
    <w:tmpl w:val="4550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F3800"/>
    <w:multiLevelType w:val="hybridMultilevel"/>
    <w:tmpl w:val="3E886DCC"/>
    <w:lvl w:ilvl="0" w:tplc="3620C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200477"/>
    <w:multiLevelType w:val="hybridMultilevel"/>
    <w:tmpl w:val="FD927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CD2CAF"/>
    <w:multiLevelType w:val="hybridMultilevel"/>
    <w:tmpl w:val="F4726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C124A0"/>
    <w:multiLevelType w:val="hybridMultilevel"/>
    <w:tmpl w:val="9A02D06C"/>
    <w:lvl w:ilvl="0" w:tplc="C6D8DFB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43396"/>
    <w:multiLevelType w:val="hybridMultilevel"/>
    <w:tmpl w:val="9600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B6EC5"/>
    <w:multiLevelType w:val="hybridMultilevel"/>
    <w:tmpl w:val="A86E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DB15F0"/>
    <w:multiLevelType w:val="hybridMultilevel"/>
    <w:tmpl w:val="CEE8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54D05"/>
    <w:multiLevelType w:val="hybridMultilevel"/>
    <w:tmpl w:val="C56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A3B0D"/>
    <w:multiLevelType w:val="hybridMultilevel"/>
    <w:tmpl w:val="30E2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824D2"/>
    <w:multiLevelType w:val="hybridMultilevel"/>
    <w:tmpl w:val="74705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95735"/>
    <w:multiLevelType w:val="hybridMultilevel"/>
    <w:tmpl w:val="A8A8D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31F08"/>
    <w:multiLevelType w:val="hybridMultilevel"/>
    <w:tmpl w:val="6586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14723"/>
    <w:multiLevelType w:val="hybridMultilevel"/>
    <w:tmpl w:val="D4E4BD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8B5382"/>
    <w:multiLevelType w:val="hybridMultilevel"/>
    <w:tmpl w:val="B04E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9"/>
  </w:num>
  <w:num w:numId="5">
    <w:abstractNumId w:val="19"/>
  </w:num>
  <w:num w:numId="6">
    <w:abstractNumId w:val="16"/>
  </w:num>
  <w:num w:numId="7">
    <w:abstractNumId w:val="23"/>
  </w:num>
  <w:num w:numId="8">
    <w:abstractNumId w:val="39"/>
  </w:num>
  <w:num w:numId="9">
    <w:abstractNumId w:val="15"/>
  </w:num>
  <w:num w:numId="10">
    <w:abstractNumId w:val="3"/>
  </w:num>
  <w:num w:numId="11">
    <w:abstractNumId w:val="41"/>
  </w:num>
  <w:num w:numId="12">
    <w:abstractNumId w:val="36"/>
  </w:num>
  <w:num w:numId="13">
    <w:abstractNumId w:val="7"/>
  </w:num>
  <w:num w:numId="14">
    <w:abstractNumId w:val="13"/>
  </w:num>
  <w:num w:numId="15">
    <w:abstractNumId w:val="12"/>
  </w:num>
  <w:num w:numId="16">
    <w:abstractNumId w:val="21"/>
  </w:num>
  <w:num w:numId="17">
    <w:abstractNumId w:val="11"/>
  </w:num>
  <w:num w:numId="18">
    <w:abstractNumId w:val="10"/>
  </w:num>
  <w:num w:numId="19">
    <w:abstractNumId w:val="29"/>
  </w:num>
  <w:num w:numId="20">
    <w:abstractNumId w:val="37"/>
  </w:num>
  <w:num w:numId="21">
    <w:abstractNumId w:val="40"/>
  </w:num>
  <w:num w:numId="22">
    <w:abstractNumId w:val="33"/>
  </w:num>
  <w:num w:numId="23">
    <w:abstractNumId w:val="0"/>
  </w:num>
  <w:num w:numId="24">
    <w:abstractNumId w:val="24"/>
  </w:num>
  <w:num w:numId="25">
    <w:abstractNumId w:val="34"/>
  </w:num>
  <w:num w:numId="26">
    <w:abstractNumId w:val="27"/>
  </w:num>
  <w:num w:numId="27">
    <w:abstractNumId w:val="18"/>
  </w:num>
  <w:num w:numId="28">
    <w:abstractNumId w:val="6"/>
  </w:num>
  <w:num w:numId="29">
    <w:abstractNumId w:val="42"/>
  </w:num>
  <w:num w:numId="30">
    <w:abstractNumId w:val="38"/>
  </w:num>
  <w:num w:numId="31">
    <w:abstractNumId w:val="28"/>
  </w:num>
  <w:num w:numId="32">
    <w:abstractNumId w:val="4"/>
  </w:num>
  <w:num w:numId="33">
    <w:abstractNumId w:val="32"/>
  </w:num>
  <w:num w:numId="34">
    <w:abstractNumId w:val="35"/>
  </w:num>
  <w:num w:numId="35">
    <w:abstractNumId w:val="2"/>
  </w:num>
  <w:num w:numId="36">
    <w:abstractNumId w:val="26"/>
  </w:num>
  <w:num w:numId="37">
    <w:abstractNumId w:val="8"/>
  </w:num>
  <w:num w:numId="38">
    <w:abstractNumId w:val="31"/>
  </w:num>
  <w:num w:numId="39">
    <w:abstractNumId w:val="22"/>
  </w:num>
  <w:num w:numId="40">
    <w:abstractNumId w:val="20"/>
  </w:num>
  <w:num w:numId="41">
    <w:abstractNumId w:val="17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hideSpellingErrors/>
  <w:hideGrammaticalError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47"/>
    <w:rsid w:val="00000536"/>
    <w:rsid w:val="00003218"/>
    <w:rsid w:val="000201ED"/>
    <w:rsid w:val="00032ED4"/>
    <w:rsid w:val="0004669D"/>
    <w:rsid w:val="000625DB"/>
    <w:rsid w:val="00081E34"/>
    <w:rsid w:val="0009335B"/>
    <w:rsid w:val="000A739F"/>
    <w:rsid w:val="000B59B4"/>
    <w:rsid w:val="00143FF4"/>
    <w:rsid w:val="001B0FCF"/>
    <w:rsid w:val="001B1C87"/>
    <w:rsid w:val="001E2DF4"/>
    <w:rsid w:val="001F2FF6"/>
    <w:rsid w:val="002265E2"/>
    <w:rsid w:val="00252286"/>
    <w:rsid w:val="00253C63"/>
    <w:rsid w:val="00260A50"/>
    <w:rsid w:val="00287C41"/>
    <w:rsid w:val="00295B53"/>
    <w:rsid w:val="0029711F"/>
    <w:rsid w:val="002A65EF"/>
    <w:rsid w:val="002D50CB"/>
    <w:rsid w:val="002D759F"/>
    <w:rsid w:val="002F385E"/>
    <w:rsid w:val="003258F1"/>
    <w:rsid w:val="00351168"/>
    <w:rsid w:val="003571BD"/>
    <w:rsid w:val="00376CFC"/>
    <w:rsid w:val="003B5727"/>
    <w:rsid w:val="0044315B"/>
    <w:rsid w:val="004531D2"/>
    <w:rsid w:val="0049199E"/>
    <w:rsid w:val="004D5237"/>
    <w:rsid w:val="00513F9B"/>
    <w:rsid w:val="00537C86"/>
    <w:rsid w:val="00542D1B"/>
    <w:rsid w:val="005512C0"/>
    <w:rsid w:val="005516E7"/>
    <w:rsid w:val="00552A29"/>
    <w:rsid w:val="005A51FB"/>
    <w:rsid w:val="005A610F"/>
    <w:rsid w:val="005A6341"/>
    <w:rsid w:val="005B2BF8"/>
    <w:rsid w:val="006020CC"/>
    <w:rsid w:val="006058D6"/>
    <w:rsid w:val="00625554"/>
    <w:rsid w:val="00663133"/>
    <w:rsid w:val="006648CF"/>
    <w:rsid w:val="00707507"/>
    <w:rsid w:val="00712847"/>
    <w:rsid w:val="00733DA6"/>
    <w:rsid w:val="00747CE7"/>
    <w:rsid w:val="00757965"/>
    <w:rsid w:val="00813276"/>
    <w:rsid w:val="00814EAD"/>
    <w:rsid w:val="008168BB"/>
    <w:rsid w:val="0083747A"/>
    <w:rsid w:val="00890FFE"/>
    <w:rsid w:val="008C6EDC"/>
    <w:rsid w:val="008E43B5"/>
    <w:rsid w:val="0090000F"/>
    <w:rsid w:val="00907F04"/>
    <w:rsid w:val="009601E0"/>
    <w:rsid w:val="009772CB"/>
    <w:rsid w:val="009923ED"/>
    <w:rsid w:val="009945A2"/>
    <w:rsid w:val="009A3F1E"/>
    <w:rsid w:val="009F5B34"/>
    <w:rsid w:val="00A072CE"/>
    <w:rsid w:val="00A403A4"/>
    <w:rsid w:val="00A459CC"/>
    <w:rsid w:val="00A52AF8"/>
    <w:rsid w:val="00A82A92"/>
    <w:rsid w:val="00AC78DD"/>
    <w:rsid w:val="00AF3DB0"/>
    <w:rsid w:val="00AF41DE"/>
    <w:rsid w:val="00B00AD4"/>
    <w:rsid w:val="00B0339F"/>
    <w:rsid w:val="00B4289D"/>
    <w:rsid w:val="00B6311A"/>
    <w:rsid w:val="00B75594"/>
    <w:rsid w:val="00B816B4"/>
    <w:rsid w:val="00BA43C3"/>
    <w:rsid w:val="00BA55D8"/>
    <w:rsid w:val="00BA5AA9"/>
    <w:rsid w:val="00BC0F08"/>
    <w:rsid w:val="00BE48B9"/>
    <w:rsid w:val="00C0536C"/>
    <w:rsid w:val="00C53AB3"/>
    <w:rsid w:val="00C8107B"/>
    <w:rsid w:val="00CB1877"/>
    <w:rsid w:val="00CB5856"/>
    <w:rsid w:val="00CC5786"/>
    <w:rsid w:val="00CF7522"/>
    <w:rsid w:val="00D0201D"/>
    <w:rsid w:val="00D120DB"/>
    <w:rsid w:val="00D14A32"/>
    <w:rsid w:val="00D169AE"/>
    <w:rsid w:val="00D6200B"/>
    <w:rsid w:val="00D77746"/>
    <w:rsid w:val="00DA7E2D"/>
    <w:rsid w:val="00DB2F85"/>
    <w:rsid w:val="00DE32D9"/>
    <w:rsid w:val="00DF4638"/>
    <w:rsid w:val="00E2166F"/>
    <w:rsid w:val="00E47962"/>
    <w:rsid w:val="00E63CB7"/>
    <w:rsid w:val="00E81243"/>
    <w:rsid w:val="00F62661"/>
    <w:rsid w:val="00F814F1"/>
    <w:rsid w:val="00F92CDB"/>
    <w:rsid w:val="00FC6715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AA87B3"/>
  <w15:docId w15:val="{B4401D62-DAD1-4F89-B0B0-CF57FF8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4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7C41"/>
    <w:pPr>
      <w:keepNext/>
      <w:numPr>
        <w:numId w:val="10"/>
      </w:numPr>
      <w:jc w:val="both"/>
      <w:outlineLvl w:val="0"/>
    </w:pPr>
    <w:rPr>
      <w:rFonts w:ascii="Times New Roman" w:hAnsi="Times New Roman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87C41"/>
    <w:pPr>
      <w:keepNext/>
      <w:numPr>
        <w:ilvl w:val="1"/>
        <w:numId w:val="10"/>
      </w:numPr>
      <w:jc w:val="both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87C41"/>
    <w:pPr>
      <w:keepNext/>
      <w:numPr>
        <w:ilvl w:val="2"/>
        <w:numId w:val="10"/>
      </w:numPr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aliases w:val="Map Title"/>
    <w:basedOn w:val="Normal"/>
    <w:next w:val="Normal"/>
    <w:qFormat/>
    <w:rsid w:val="00287C41"/>
    <w:pPr>
      <w:keepNext/>
      <w:numPr>
        <w:ilvl w:val="3"/>
        <w:numId w:val="10"/>
      </w:numPr>
      <w:jc w:val="both"/>
      <w:outlineLvl w:val="3"/>
    </w:pPr>
    <w:rPr>
      <w:rFonts w:ascii="Times New Roman" w:hAnsi="Times New Roman"/>
      <w:bCs/>
      <w:sz w:val="22"/>
      <w:szCs w:val="28"/>
    </w:rPr>
  </w:style>
  <w:style w:type="paragraph" w:styleId="Heading5">
    <w:name w:val="heading 5"/>
    <w:aliases w:val="Block Label"/>
    <w:basedOn w:val="Normal"/>
    <w:next w:val="Normal"/>
    <w:qFormat/>
    <w:rsid w:val="00287C41"/>
    <w:pPr>
      <w:keepNext/>
      <w:numPr>
        <w:ilvl w:val="4"/>
        <w:numId w:val="10"/>
      </w:numPr>
      <w:spacing w:before="20"/>
      <w:jc w:val="both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rsid w:val="00287C41"/>
    <w:pPr>
      <w:keepNext/>
      <w:numPr>
        <w:ilvl w:val="5"/>
        <w:numId w:val="10"/>
      </w:numPr>
      <w:jc w:val="both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rsid w:val="00287C41"/>
    <w:pPr>
      <w:keepNext/>
      <w:numPr>
        <w:ilvl w:val="6"/>
        <w:numId w:val="10"/>
      </w:numPr>
      <w:jc w:val="both"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287C41"/>
    <w:pPr>
      <w:keepNext/>
      <w:numPr>
        <w:ilvl w:val="7"/>
        <w:numId w:val="10"/>
      </w:numPr>
      <w:jc w:val="center"/>
      <w:outlineLvl w:val="7"/>
    </w:pPr>
    <w:rPr>
      <w:rFonts w:ascii="Times New Roman" w:hAnsi="Times New Roman"/>
      <w:b/>
      <w:bCs/>
      <w:sz w:val="22"/>
    </w:rPr>
  </w:style>
  <w:style w:type="paragraph" w:styleId="Heading9">
    <w:name w:val="heading 9"/>
    <w:basedOn w:val="Normal"/>
    <w:next w:val="Normal"/>
    <w:qFormat/>
    <w:rsid w:val="00287C41"/>
    <w:pPr>
      <w:keepNext/>
      <w:numPr>
        <w:ilvl w:val="8"/>
        <w:numId w:val="10"/>
      </w:numPr>
      <w:jc w:val="both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7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87C41"/>
    <w:pPr>
      <w:tabs>
        <w:tab w:val="center" w:pos="4320"/>
        <w:tab w:val="right" w:pos="8640"/>
      </w:tabs>
    </w:pPr>
  </w:style>
  <w:style w:type="paragraph" w:customStyle="1" w:styleId="CalVerTable">
    <w:name w:val="CalVerTable"/>
    <w:basedOn w:val="BodyText"/>
    <w:rsid w:val="00287C41"/>
    <w:pPr>
      <w:spacing w:after="40" w:line="160" w:lineRule="atLeast"/>
      <w:ind w:left="3240" w:hanging="3240"/>
    </w:pPr>
    <w:rPr>
      <w:rFonts w:ascii="Times New Roman" w:hAnsi="Times New Roman"/>
      <w:szCs w:val="20"/>
    </w:rPr>
  </w:style>
  <w:style w:type="paragraph" w:styleId="BodyText">
    <w:name w:val="Body Text"/>
    <w:basedOn w:val="Normal"/>
    <w:semiHidden/>
    <w:rsid w:val="00287C41"/>
    <w:pPr>
      <w:spacing w:after="120"/>
    </w:pPr>
  </w:style>
  <w:style w:type="paragraph" w:customStyle="1" w:styleId="Reagents">
    <w:name w:val="Reagents"/>
    <w:basedOn w:val="Normal"/>
    <w:rsid w:val="00287C41"/>
    <w:pPr>
      <w:tabs>
        <w:tab w:val="center" w:pos="720"/>
        <w:tab w:val="center" w:pos="2160"/>
        <w:tab w:val="left" w:pos="3600"/>
        <w:tab w:val="center" w:pos="6480"/>
        <w:tab w:val="center" w:pos="8640"/>
      </w:tabs>
      <w:spacing w:after="40" w:line="160" w:lineRule="atLeast"/>
    </w:pPr>
    <w:rPr>
      <w:rFonts w:ascii="Times New Roman" w:hAnsi="Times New Roman"/>
      <w:szCs w:val="20"/>
    </w:rPr>
  </w:style>
  <w:style w:type="paragraph" w:customStyle="1" w:styleId="Default">
    <w:name w:val="Default"/>
    <w:rsid w:val="00287C41"/>
    <w:pPr>
      <w:autoSpaceDE w:val="0"/>
      <w:autoSpaceDN w:val="0"/>
      <w:adjustRightInd w:val="0"/>
    </w:pPr>
    <w:rPr>
      <w:rFonts w:ascii="Helen Pro Cond" w:hAnsi="Helen Pro Cond"/>
      <w:color w:val="000000"/>
      <w:sz w:val="24"/>
      <w:szCs w:val="24"/>
    </w:rPr>
  </w:style>
  <w:style w:type="paragraph" w:customStyle="1" w:styleId="Pa13">
    <w:name w:val="Pa13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0">
    <w:name w:val="Pa10"/>
    <w:basedOn w:val="Normal"/>
    <w:next w:val="Normal"/>
    <w:rsid w:val="00287C41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Pa15">
    <w:name w:val="Pa15"/>
    <w:basedOn w:val="Default"/>
    <w:next w:val="Default"/>
    <w:rsid w:val="00287C41"/>
    <w:pPr>
      <w:spacing w:line="151" w:lineRule="atLeast"/>
    </w:pPr>
    <w:rPr>
      <w:color w:val="auto"/>
    </w:rPr>
  </w:style>
  <w:style w:type="character" w:customStyle="1" w:styleId="A8">
    <w:name w:val="A8"/>
    <w:rsid w:val="00287C41"/>
    <w:rPr>
      <w:rFonts w:ascii="Helen Pro" w:hAnsi="Helen Pro"/>
      <w:color w:val="000000"/>
      <w:sz w:val="8"/>
      <w:szCs w:val="8"/>
    </w:rPr>
  </w:style>
  <w:style w:type="character" w:customStyle="1" w:styleId="A7">
    <w:name w:val="A7"/>
    <w:rsid w:val="00287C41"/>
    <w:rPr>
      <w:color w:val="000000"/>
      <w:sz w:val="15"/>
      <w:szCs w:val="15"/>
    </w:rPr>
  </w:style>
  <w:style w:type="character" w:styleId="Hyperlink">
    <w:name w:val="Hyperlink"/>
    <w:basedOn w:val="DefaultParagraphFont"/>
    <w:uiPriority w:val="99"/>
    <w:rsid w:val="00287C41"/>
    <w:rPr>
      <w:color w:val="0000FF"/>
      <w:u w:val="single"/>
    </w:rPr>
  </w:style>
  <w:style w:type="paragraph" w:styleId="BodyTextIndent">
    <w:name w:val="Body Text Indent"/>
    <w:basedOn w:val="Normal"/>
    <w:semiHidden/>
    <w:rsid w:val="00287C41"/>
    <w:pPr>
      <w:ind w:left="-108"/>
    </w:pPr>
    <w:rPr>
      <w:rFonts w:cs="Arial"/>
      <w:b/>
      <w:bCs/>
      <w:color w:val="0000FF"/>
    </w:rPr>
  </w:style>
  <w:style w:type="paragraph" w:customStyle="1" w:styleId="TableText">
    <w:name w:val="Table Text"/>
    <w:basedOn w:val="Normal"/>
    <w:rsid w:val="00287C41"/>
    <w:pPr>
      <w:autoSpaceDE w:val="0"/>
      <w:autoSpaceDN w:val="0"/>
    </w:pPr>
    <w:rPr>
      <w:rFonts w:ascii="Times New Roman" w:hAnsi="Times New Roman"/>
    </w:rPr>
  </w:style>
  <w:style w:type="paragraph" w:customStyle="1" w:styleId="Pa27">
    <w:name w:val="Pa27"/>
    <w:basedOn w:val="Default"/>
    <w:next w:val="Default"/>
    <w:rsid w:val="00287C41"/>
    <w:pPr>
      <w:spacing w:line="141" w:lineRule="atLeast"/>
    </w:pPr>
    <w:rPr>
      <w:color w:val="auto"/>
    </w:rPr>
  </w:style>
  <w:style w:type="paragraph" w:styleId="BodyText2">
    <w:name w:val="Body Text 2"/>
    <w:basedOn w:val="Normal"/>
    <w:link w:val="BodyText2Char"/>
    <w:uiPriority w:val="99"/>
    <w:unhideWhenUsed/>
    <w:rsid w:val="009C00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C0037"/>
    <w:rPr>
      <w:rFonts w:ascii="Arial" w:hAnsi="Arial"/>
      <w:szCs w:val="24"/>
    </w:rPr>
  </w:style>
  <w:style w:type="character" w:customStyle="1" w:styleId="A9">
    <w:name w:val="A9"/>
    <w:uiPriority w:val="99"/>
    <w:rsid w:val="00CA766B"/>
    <w:rPr>
      <w:color w:val="000000"/>
      <w:sz w:val="8"/>
      <w:szCs w:val="8"/>
    </w:rPr>
  </w:style>
  <w:style w:type="paragraph" w:styleId="CommentText">
    <w:name w:val="annotation text"/>
    <w:basedOn w:val="Normal"/>
    <w:link w:val="CommentTextChar"/>
    <w:semiHidden/>
    <w:rsid w:val="00EF74E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74E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13F9B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265E2"/>
    <w:pPr>
      <w:spacing w:before="240" w:after="60"/>
      <w:jc w:val="center"/>
    </w:pPr>
    <w:rPr>
      <w:rFonts w:ascii="Times New Roman" w:hAnsi="Times New Roman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265E2"/>
    <w:rPr>
      <w:rFonts w:cs="Arial"/>
      <w:b/>
      <w:bCs/>
      <w:kern w:val="28"/>
      <w:sz w:val="28"/>
      <w:szCs w:val="32"/>
    </w:rPr>
  </w:style>
  <w:style w:type="character" w:customStyle="1" w:styleId="tgc">
    <w:name w:val="_tgc"/>
    <w:basedOn w:val="DefaultParagraphFont"/>
    <w:rsid w:val="002265E2"/>
  </w:style>
  <w:style w:type="table" w:styleId="TableGrid">
    <w:name w:val="Table Grid"/>
    <w:basedOn w:val="TableNormal"/>
    <w:uiPriority w:val="59"/>
    <w:rsid w:val="003571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663133"/>
    <w:rPr>
      <w:rFonts w:asciiTheme="minorHAnsi" w:eastAsia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2D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rnet.childrenshc.org/References/labsop/chem/operator/alinity-ci-series-operations-manual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arnet.childrenshc.org/References/labsop/chem/quality/ch-2.17-unity-real-time-qc-review-general-use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2021-08-23T05:00:00+00:00</Renewal_x0020_Date>
    <Related_x0020_Documents xmlns="199f0838-75a6-4f0c-9be1-f2c07140bccc" xsi:nil="true"/>
    <Legacy_x0020_Name xmlns="199f0838-75a6-4f0c-9be1-f2c07140bccc" xsi:nil="true"/>
    <Legacy_x0020_Document_x0020_ID xmlns="199f0838-75a6-4f0c-9be1-f2c07140bccc" xsi:nil="true"/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F6TN54CWY5RS-50183619-35891</_dlc_DocId>
    <_Version xmlns="http://schemas.microsoft.com/sharepoint/v3/fields" xsi:nil="true"/>
    <Meta_x0020_Tag_x0020_Keywords xmlns="199f0838-75a6-4f0c-9be1-f2c07140bccc" xsi:nil="true"/>
    <Publishing_x0020_Destination xmlns="199f0838-75a6-4f0c-9be1-f2c07140bccc">Default</Publishing_x0020_Destination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6.42 Hepatitis B Surface Antibody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 xsi:nil="true"/>
    <Owner xmlns="http://schemas.microsoft.com/sharepoint/v3">CHEM</Owner>
    <Content_x0020_Release_x0020_Date xmlns="199f0838-75a6-4f0c-9be1-f2c07140bccc" xsi:nil="true"/>
    <Summary xmlns="199f0838-75a6-4f0c-9be1-f2c07140bccc" xsi:nil="true"/>
    <SubTitle xmlns="199f0838-75a6-4f0c-9be1-f2c07140bccc" xsi:nil="true"/>
    <_dlc_DocIdUrl xmlns="199f0838-75a6-4f0c-9be1-f2c07140bccc">
      <Url>https://vcpsharepoint4.childrenshc.org/references/_layouts/15/DocIdRedir.aspx?ID=F6TN54CWY5RS-50183619-35891</Url>
      <Description>F6TN54CWY5RS-50183619-35891</Description>
    </_dlc_DocIdUrl>
    <Study_x0020_Status xmlns="c1848e11-9cf6-4ce4-877e-6837d2c2fa23" xsi:nil="true"/>
    <Meta_x0020_Page_x0020_Description xmlns="199f0838-75a6-4f0c-9be1-f2c07140bc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29F5-5224-49F7-8AE2-7D0F2A48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CB3B2-B889-495C-9217-71907AA5B9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6F4924-055F-437A-BF96-931834C44D40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1848e11-9cf6-4ce4-877e-6837d2c2fa23"/>
    <ds:schemaRef ds:uri="http://schemas.microsoft.com/sharepoint/v3/fields"/>
    <ds:schemaRef ds:uri="http://schemas.microsoft.com/sharepoint.v3"/>
    <ds:schemaRef ds:uri="199f0838-75a6-4f0c-9be1-f2c07140bccc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85D610-1996-492E-B942-2E567E930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C98BC6-4C0B-47CE-A26C-59A98680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6.42 Hepatitis B Surface Antibody</vt:lpstr>
    </vt:vector>
  </TitlesOfParts>
  <Company>Authorized User</Company>
  <LinksUpToDate>false</LinksUpToDate>
  <CharactersWithSpaces>15822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http://khan.childrensmn.org/Manuals/Lab/SOP/Chem/Procedure/206820.pdf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6.42 Hepatitis B Surface Antibody</dc:title>
  <dc:creator>Authorized User</dc:creator>
  <dc:description>New Procedure 5/2018_x000d_
Added numerical result reporting ERB 10/29/2018_x000d_
8/23/19 updated QC with URt info</dc:description>
  <cp:lastModifiedBy>Erin Bartos</cp:lastModifiedBy>
  <cp:revision>3</cp:revision>
  <cp:lastPrinted>2018-05-07T15:08:00Z</cp:lastPrinted>
  <dcterms:created xsi:type="dcterms:W3CDTF">2020-12-10T21:01:00Z</dcterms:created>
  <dcterms:modified xsi:type="dcterms:W3CDTF">2020-12-10T21:21:00Z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61faa914-42de-42cc-8ada-26d7873d66be</vt:lpwstr>
  </property>
  <property fmtid="{D5CDD505-2E9C-101B-9397-08002B2CF9AE}" pid="4" name="WorkflowChangePath">
    <vt:lpwstr>85493ae8-44a3-4172-9f61-0b2d9e19d9ef,24;</vt:lpwstr>
  </property>
</Properties>
</file>