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008"/>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1" w14:textId="003D637C" w:rsidR="00E3253B" w:rsidRDefault="00961CC8">
            <w:pPr>
              <w:rPr>
                <w:rFonts w:cs="Arial"/>
                <w:b/>
                <w:bCs/>
                <w:color w:val="0000FF"/>
                <w:sz w:val="36"/>
              </w:rPr>
            </w:pPr>
            <w:r>
              <w:rPr>
                <w:rFonts w:cs="Arial"/>
                <w:b/>
                <w:bCs/>
                <w:color w:val="0000FF"/>
                <w:sz w:val="36"/>
              </w:rPr>
              <w:t>Amylase</w:t>
            </w:r>
          </w:p>
          <w:p w14:paraId="5CCFFF72" w14:textId="77777777" w:rsidR="00E3253B" w:rsidRDefault="00E3253B">
            <w:pPr>
              <w:rPr>
                <w:rFonts w:cs="Arial"/>
                <w:b/>
                <w:bCs/>
                <w:color w:val="0000FF"/>
              </w:rPr>
            </w:pPr>
          </w:p>
        </w:tc>
      </w:tr>
      <w:tr w:rsidR="00E3253B" w14:paraId="5CCFFF77" w14:textId="77777777" w:rsidTr="000C4A76">
        <w:trPr>
          <w:tblHeader/>
        </w:trPr>
        <w:tc>
          <w:tcPr>
            <w:tcW w:w="1782"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78" w:type="dxa"/>
            <w:gridSpan w:val="4"/>
            <w:tcBorders>
              <w:top w:val="single" w:sz="18" w:space="0" w:color="BFBFBF"/>
              <w:left w:val="nil"/>
              <w:bottom w:val="single" w:sz="18" w:space="0" w:color="BFBFBF"/>
              <w:right w:val="nil"/>
            </w:tcBorders>
          </w:tcPr>
          <w:p w14:paraId="5CCFFF76" w14:textId="062AEDCF" w:rsidR="00E3253B" w:rsidRPr="00DC7421" w:rsidRDefault="00A34EE2" w:rsidP="00924069">
            <w:pPr>
              <w:autoSpaceDE w:val="0"/>
              <w:autoSpaceDN w:val="0"/>
              <w:adjustRightInd w:val="0"/>
              <w:rPr>
                <w:rFonts w:cs="Arial"/>
                <w:szCs w:val="20"/>
              </w:rPr>
            </w:pPr>
            <w:r w:rsidRPr="00DC7421">
              <w:rPr>
                <w:rStyle w:val="A7"/>
                <w:rFonts w:cs="Arial"/>
                <w:b w:val="0"/>
                <w:bCs w:val="0"/>
                <w:sz w:val="20"/>
                <w:szCs w:val="20"/>
              </w:rPr>
              <w:t>This procedure provides instructions for</w:t>
            </w:r>
            <w:r w:rsidR="00924069">
              <w:rPr>
                <w:rStyle w:val="A7"/>
                <w:rFonts w:cs="Arial"/>
                <w:b w:val="0"/>
                <w:bCs w:val="0"/>
                <w:sz w:val="20"/>
                <w:szCs w:val="20"/>
              </w:rPr>
              <w:t xml:space="preserve"> Amylase</w:t>
            </w:r>
            <w:r>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961CC8" w:rsidRPr="00961CC8">
              <w:rPr>
                <w:rFonts w:cs="Arial"/>
                <w:color w:val="000000"/>
                <w:szCs w:val="20"/>
              </w:rPr>
              <w:t>The Amylase assay is used for the quantitation of amylase in human</w:t>
            </w:r>
            <w:r w:rsidR="00E15C16">
              <w:rPr>
                <w:rFonts w:cs="Arial"/>
                <w:color w:val="000000"/>
                <w:szCs w:val="20"/>
              </w:rPr>
              <w:t xml:space="preserve"> serum</w:t>
            </w:r>
            <w:r w:rsidR="00961CC8">
              <w:rPr>
                <w:rFonts w:cs="Arial"/>
                <w:color w:val="000000"/>
                <w:szCs w:val="20"/>
              </w:rPr>
              <w:t xml:space="preserve"> and plasma.</w:t>
            </w:r>
          </w:p>
        </w:tc>
      </w:tr>
      <w:tr w:rsidR="00E3253B" w14:paraId="5CCFFF7B" w14:textId="77777777" w:rsidTr="000C4A76">
        <w:trPr>
          <w:tblHeader/>
        </w:trPr>
        <w:tc>
          <w:tcPr>
            <w:tcW w:w="1782"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78" w:type="dxa"/>
            <w:gridSpan w:val="4"/>
            <w:tcBorders>
              <w:top w:val="single" w:sz="18" w:space="0" w:color="BFBFBF"/>
              <w:left w:val="nil"/>
              <w:bottom w:val="single" w:sz="18" w:space="0" w:color="BFBFBF"/>
              <w:right w:val="nil"/>
            </w:tcBorders>
          </w:tcPr>
          <w:p w14:paraId="5CCFFF79" w14:textId="440E1DA2"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operating the </w:t>
            </w:r>
            <w:r w:rsidR="007B410A">
              <w:rPr>
                <w:rFonts w:cs="Arial"/>
                <w:szCs w:val="20"/>
              </w:rPr>
              <w:t>Alinity c</w:t>
            </w:r>
            <w:r w:rsidR="005C6F36" w:rsidRPr="00DC7421">
              <w:rPr>
                <w:rFonts w:cs="Arial"/>
                <w:szCs w:val="20"/>
              </w:rPr>
              <w:t xml:space="preserve"> at Ch</w:t>
            </w:r>
            <w:r w:rsidR="00A34EE2">
              <w:rPr>
                <w:rFonts w:cs="Arial"/>
                <w:szCs w:val="20"/>
              </w:rPr>
              <w:t>ildren’s Minnesota Laboratory.</w:t>
            </w:r>
          </w:p>
          <w:p w14:paraId="5CCFFF7A" w14:textId="77777777" w:rsidR="00E3253B" w:rsidRPr="00DC7421" w:rsidRDefault="00E3253B" w:rsidP="003D713F">
            <w:pPr>
              <w:rPr>
                <w:rFonts w:cs="Arial"/>
                <w:szCs w:val="20"/>
              </w:rPr>
            </w:pPr>
          </w:p>
        </w:tc>
      </w:tr>
      <w:tr w:rsidR="00E3253B" w14:paraId="5CCFFF82" w14:textId="77777777" w:rsidTr="000C4A76">
        <w:trPr>
          <w:tblHeader/>
        </w:trPr>
        <w:tc>
          <w:tcPr>
            <w:tcW w:w="1782"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78" w:type="dxa"/>
            <w:gridSpan w:val="4"/>
            <w:tcBorders>
              <w:top w:val="single" w:sz="18" w:space="0" w:color="BFBFBF"/>
              <w:left w:val="nil"/>
              <w:bottom w:val="single" w:sz="18" w:space="0" w:color="BFBFBF"/>
              <w:right w:val="nil"/>
            </w:tcBorders>
          </w:tcPr>
          <w:p w14:paraId="1CC35144" w14:textId="4769B99D" w:rsidR="00961CC8" w:rsidRDefault="00961CC8" w:rsidP="00961CC8">
            <w:pPr>
              <w:pStyle w:val="Header"/>
              <w:rPr>
                <w:rFonts w:cs="Arial"/>
                <w:color w:val="000000"/>
                <w:szCs w:val="20"/>
              </w:rPr>
            </w:pPr>
            <w:r w:rsidRPr="00961CC8">
              <w:rPr>
                <w:rFonts w:cs="Arial"/>
                <w:b/>
                <w:bCs/>
                <w:color w:val="000000"/>
                <w:szCs w:val="20"/>
              </w:rPr>
              <w:t xml:space="preserve">Methodology: </w:t>
            </w:r>
            <w:r w:rsidR="00924069">
              <w:rPr>
                <w:rFonts w:cs="Arial"/>
                <w:b/>
                <w:bCs/>
                <w:color w:val="000000"/>
                <w:szCs w:val="20"/>
              </w:rPr>
              <w:t xml:space="preserve"> </w:t>
            </w:r>
            <w:r w:rsidR="00E15C16">
              <w:rPr>
                <w:rFonts w:cs="Arial"/>
                <w:b/>
                <w:bCs/>
                <w:color w:val="000000"/>
                <w:szCs w:val="20"/>
              </w:rPr>
              <w:t>Enzymatic</w:t>
            </w:r>
            <w:r w:rsidR="00924069">
              <w:rPr>
                <w:rFonts w:cs="Arial"/>
                <w:b/>
                <w:bCs/>
                <w:color w:val="000000"/>
                <w:szCs w:val="20"/>
              </w:rPr>
              <w:t xml:space="preserve"> (</w:t>
            </w:r>
            <w:r w:rsidRPr="00961CC8">
              <w:rPr>
                <w:rFonts w:cs="Arial"/>
                <w:color w:val="000000"/>
                <w:szCs w:val="20"/>
              </w:rPr>
              <w:t>CNPG3 Substrate</w:t>
            </w:r>
            <w:r w:rsidR="00924069">
              <w:rPr>
                <w:rFonts w:cs="Arial"/>
                <w:color w:val="000000"/>
                <w:szCs w:val="20"/>
              </w:rPr>
              <w:t>)</w:t>
            </w:r>
          </w:p>
          <w:p w14:paraId="0C116AD8" w14:textId="77777777" w:rsidR="00961CC8" w:rsidRDefault="00961CC8" w:rsidP="00961CC8">
            <w:pPr>
              <w:pStyle w:val="Header"/>
              <w:rPr>
                <w:rFonts w:cs="Arial"/>
                <w:color w:val="000000"/>
                <w:szCs w:val="20"/>
              </w:rPr>
            </w:pPr>
          </w:p>
          <w:p w14:paraId="04153190" w14:textId="271CF3D7" w:rsidR="002462C0" w:rsidRDefault="00961CC8" w:rsidP="00961CC8">
            <w:pPr>
              <w:pStyle w:val="Header"/>
              <w:rPr>
                <w:rFonts w:cs="Arial"/>
                <w:color w:val="000000"/>
                <w:szCs w:val="20"/>
              </w:rPr>
            </w:pPr>
            <w:proofErr w:type="gramStart"/>
            <w:r w:rsidRPr="00961CC8">
              <w:rPr>
                <w:rFonts w:cs="Arial"/>
                <w:color w:val="000000"/>
                <w:szCs w:val="20"/>
              </w:rPr>
              <w:t>α-Amylase</w:t>
            </w:r>
            <w:proofErr w:type="gramEnd"/>
            <w:r w:rsidRPr="00961CC8">
              <w:rPr>
                <w:rFonts w:cs="Arial"/>
                <w:color w:val="000000"/>
                <w:szCs w:val="20"/>
              </w:rPr>
              <w:t xml:space="preserve"> hydrolyzes the 2-chloro-4-nitrophenyl-α-</w:t>
            </w:r>
            <w:r w:rsidRPr="00961CC8">
              <w:rPr>
                <w:rFonts w:cs="Arial"/>
                <w:i/>
                <w:iCs/>
                <w:color w:val="000000"/>
                <w:szCs w:val="20"/>
              </w:rPr>
              <w:t>D</w:t>
            </w:r>
            <w:r w:rsidRPr="00961CC8">
              <w:rPr>
                <w:rFonts w:cs="Arial"/>
                <w:color w:val="000000"/>
                <w:szCs w:val="20"/>
              </w:rPr>
              <w:t>-</w:t>
            </w:r>
            <w:proofErr w:type="spellStart"/>
            <w:r w:rsidRPr="00961CC8">
              <w:rPr>
                <w:rFonts w:cs="Arial"/>
                <w:color w:val="000000"/>
                <w:szCs w:val="20"/>
              </w:rPr>
              <w:t>maltotrioside</w:t>
            </w:r>
            <w:proofErr w:type="spellEnd"/>
            <w:r>
              <w:rPr>
                <w:rFonts w:cs="Arial"/>
                <w:color w:val="000000"/>
                <w:szCs w:val="20"/>
              </w:rPr>
              <w:t xml:space="preserve"> </w:t>
            </w:r>
            <w:r w:rsidRPr="00961CC8">
              <w:rPr>
                <w:rFonts w:cs="Arial"/>
                <w:color w:val="000000"/>
                <w:szCs w:val="20"/>
              </w:rPr>
              <w:t>(CNPG3) to release 2-chloro-4-nitrophenol (CPNP) and form</w:t>
            </w:r>
            <w:r>
              <w:rPr>
                <w:rFonts w:cs="Arial"/>
                <w:color w:val="000000"/>
                <w:szCs w:val="20"/>
              </w:rPr>
              <w:t xml:space="preserve"> </w:t>
            </w:r>
            <w:r w:rsidRPr="00961CC8">
              <w:rPr>
                <w:rFonts w:cs="Arial"/>
                <w:color w:val="000000"/>
                <w:szCs w:val="20"/>
              </w:rPr>
              <w:t>2</w:t>
            </w:r>
            <w:r w:rsidRPr="00961CC8">
              <w:rPr>
                <w:rFonts w:ascii="MS Gothic" w:eastAsia="MS Gothic" w:hAnsi="MS Gothic" w:cs="MS Gothic" w:hint="eastAsia"/>
                <w:color w:val="000000"/>
                <w:szCs w:val="20"/>
              </w:rPr>
              <w:t>‑</w:t>
            </w:r>
            <w:r w:rsidRPr="00961CC8">
              <w:rPr>
                <w:rFonts w:cs="Arial"/>
                <w:color w:val="000000"/>
                <w:szCs w:val="20"/>
              </w:rPr>
              <w:t>chloro</w:t>
            </w:r>
            <w:r w:rsidRPr="00961CC8">
              <w:rPr>
                <w:rFonts w:ascii="MS Gothic" w:eastAsia="MS Gothic" w:hAnsi="MS Gothic" w:cs="MS Gothic" w:hint="eastAsia"/>
                <w:color w:val="000000"/>
                <w:szCs w:val="20"/>
              </w:rPr>
              <w:t>‑</w:t>
            </w:r>
            <w:r w:rsidRPr="00961CC8">
              <w:rPr>
                <w:rFonts w:cs="Arial"/>
                <w:color w:val="000000"/>
                <w:szCs w:val="20"/>
              </w:rPr>
              <w:t>4</w:t>
            </w:r>
            <w:r w:rsidRPr="00961CC8">
              <w:rPr>
                <w:rFonts w:ascii="MS Gothic" w:eastAsia="MS Gothic" w:hAnsi="MS Gothic" w:cs="MS Gothic" w:hint="eastAsia"/>
                <w:color w:val="000000"/>
                <w:szCs w:val="20"/>
              </w:rPr>
              <w:t>‑</w:t>
            </w:r>
            <w:r w:rsidRPr="00961CC8">
              <w:rPr>
                <w:rFonts w:cs="Arial"/>
                <w:color w:val="000000"/>
                <w:szCs w:val="20"/>
              </w:rPr>
              <w:t>nitrophenyl</w:t>
            </w:r>
            <w:r w:rsidRPr="00961CC8">
              <w:rPr>
                <w:rFonts w:ascii="MS Gothic" w:eastAsia="MS Gothic" w:hAnsi="MS Gothic" w:cs="MS Gothic" w:hint="eastAsia"/>
                <w:color w:val="000000"/>
                <w:szCs w:val="20"/>
              </w:rPr>
              <w:t>‑</w:t>
            </w:r>
            <w:r w:rsidRPr="00961CC8">
              <w:rPr>
                <w:rFonts w:cs="Arial"/>
                <w:color w:val="000000"/>
                <w:szCs w:val="20"/>
              </w:rPr>
              <w:t>α</w:t>
            </w:r>
            <w:r w:rsidRPr="00961CC8">
              <w:rPr>
                <w:rFonts w:ascii="MS Gothic" w:eastAsia="MS Gothic" w:hAnsi="MS Gothic" w:cs="MS Gothic" w:hint="eastAsia"/>
                <w:color w:val="000000"/>
                <w:szCs w:val="20"/>
              </w:rPr>
              <w:t>‑</w:t>
            </w:r>
            <w:r w:rsidRPr="00961CC8">
              <w:rPr>
                <w:rFonts w:cs="Arial"/>
                <w:i/>
                <w:iCs/>
                <w:color w:val="000000"/>
                <w:szCs w:val="20"/>
              </w:rPr>
              <w:t>D</w:t>
            </w:r>
            <w:r w:rsidRPr="00961CC8">
              <w:rPr>
                <w:rFonts w:ascii="MS Gothic" w:eastAsia="MS Gothic" w:hAnsi="MS Gothic" w:cs="MS Gothic" w:hint="eastAsia"/>
                <w:color w:val="000000"/>
                <w:szCs w:val="20"/>
              </w:rPr>
              <w:t>‑</w:t>
            </w:r>
            <w:proofErr w:type="spellStart"/>
            <w:r w:rsidRPr="00961CC8">
              <w:rPr>
                <w:rFonts w:cs="Arial"/>
                <w:color w:val="000000"/>
                <w:szCs w:val="20"/>
              </w:rPr>
              <w:t>maltoside</w:t>
            </w:r>
            <w:proofErr w:type="spellEnd"/>
            <w:r w:rsidRPr="00961CC8">
              <w:rPr>
                <w:rFonts w:cs="Arial"/>
                <w:color w:val="000000"/>
                <w:szCs w:val="20"/>
              </w:rPr>
              <w:t xml:space="preserve"> (CNPG2), </w:t>
            </w:r>
            <w:proofErr w:type="spellStart"/>
            <w:r w:rsidRPr="00961CC8">
              <w:rPr>
                <w:rFonts w:cs="Arial"/>
                <w:color w:val="000000"/>
                <w:szCs w:val="20"/>
              </w:rPr>
              <w:t>maltotriose</w:t>
            </w:r>
            <w:proofErr w:type="spellEnd"/>
            <w:r w:rsidRPr="00961CC8">
              <w:rPr>
                <w:rFonts w:cs="Arial"/>
                <w:color w:val="000000"/>
                <w:szCs w:val="20"/>
              </w:rPr>
              <w:t>, and</w:t>
            </w:r>
            <w:r>
              <w:rPr>
                <w:rFonts w:cs="Arial"/>
                <w:color w:val="000000"/>
                <w:szCs w:val="20"/>
              </w:rPr>
              <w:t xml:space="preserve"> </w:t>
            </w:r>
            <w:r w:rsidRPr="00961CC8">
              <w:rPr>
                <w:rFonts w:cs="Arial"/>
                <w:color w:val="000000"/>
                <w:szCs w:val="20"/>
              </w:rPr>
              <w:t>glucose. The rate of formation of the 2-chloro-4-nitrophenol can</w:t>
            </w:r>
            <w:r>
              <w:rPr>
                <w:rFonts w:cs="Arial"/>
                <w:color w:val="000000"/>
                <w:szCs w:val="20"/>
              </w:rPr>
              <w:t xml:space="preserve"> </w:t>
            </w:r>
            <w:r w:rsidRPr="00961CC8">
              <w:rPr>
                <w:rFonts w:cs="Arial"/>
                <w:color w:val="000000"/>
                <w:szCs w:val="20"/>
              </w:rPr>
              <w:t>be detected spectrophotometrically at 404 nm to give a direct</w:t>
            </w:r>
            <w:r>
              <w:rPr>
                <w:rFonts w:cs="Arial"/>
                <w:color w:val="000000"/>
                <w:szCs w:val="20"/>
              </w:rPr>
              <w:t xml:space="preserve"> </w:t>
            </w:r>
            <w:r w:rsidRPr="00961CC8">
              <w:rPr>
                <w:rFonts w:cs="Arial"/>
                <w:color w:val="000000"/>
                <w:szCs w:val="20"/>
              </w:rPr>
              <w:t>measurement of α</w:t>
            </w:r>
            <w:r w:rsidRPr="00961CC8">
              <w:rPr>
                <w:rFonts w:ascii="MS Gothic" w:eastAsia="MS Gothic" w:hAnsi="MS Gothic" w:cs="MS Gothic" w:hint="eastAsia"/>
                <w:color w:val="000000"/>
                <w:szCs w:val="20"/>
              </w:rPr>
              <w:t>‑</w:t>
            </w:r>
            <w:r w:rsidRPr="00961CC8">
              <w:rPr>
                <w:rFonts w:cs="Arial"/>
                <w:color w:val="000000"/>
                <w:szCs w:val="20"/>
              </w:rPr>
              <w:t>amylase activity in the sample.</w:t>
            </w:r>
          </w:p>
          <w:p w14:paraId="5CCFFF81" w14:textId="77777777" w:rsidR="00961CC8" w:rsidRPr="00DC7421" w:rsidRDefault="00961CC8" w:rsidP="00981A4A">
            <w:pPr>
              <w:pStyle w:val="Header"/>
              <w:tabs>
                <w:tab w:val="clear" w:pos="4320"/>
                <w:tab w:val="clear" w:pos="8640"/>
              </w:tabs>
              <w:rPr>
                <w:rFonts w:cs="Arial"/>
                <w:color w:val="000000"/>
                <w:szCs w:val="20"/>
              </w:rPr>
            </w:pPr>
          </w:p>
        </w:tc>
      </w:tr>
      <w:tr w:rsidR="00E3253B" w14:paraId="5CCFFF87" w14:textId="77777777" w:rsidTr="000C4A76">
        <w:trPr>
          <w:tblHeader/>
        </w:trPr>
        <w:tc>
          <w:tcPr>
            <w:tcW w:w="1782"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78" w:type="dxa"/>
            <w:gridSpan w:val="4"/>
            <w:tcBorders>
              <w:top w:val="single" w:sz="18" w:space="0" w:color="BFBFBF"/>
              <w:left w:val="nil"/>
              <w:bottom w:val="single" w:sz="18" w:space="0" w:color="BFBFBF"/>
              <w:right w:val="nil"/>
            </w:tcBorders>
          </w:tcPr>
          <w:p w14:paraId="2E74612F" w14:textId="3FB05C4A" w:rsidR="002462C0" w:rsidRDefault="00961CC8" w:rsidP="00961CC8">
            <w:r w:rsidRPr="00961CC8">
              <w:t>Normal individuals have lo</w:t>
            </w:r>
            <w:r>
              <w:t>w but measurable serum and</w:t>
            </w:r>
            <w:r w:rsidRPr="00961CC8">
              <w:t xml:space="preserve"> α</w:t>
            </w:r>
            <w:r w:rsidRPr="00961CC8">
              <w:rPr>
                <w:rFonts w:ascii="MS Gothic" w:eastAsia="MS Gothic" w:hAnsi="MS Gothic" w:cs="MS Gothic" w:hint="eastAsia"/>
              </w:rPr>
              <w:t>‑</w:t>
            </w:r>
            <w:r w:rsidRPr="00961CC8">
              <w:t>amylase</w:t>
            </w:r>
            <w:r>
              <w:t xml:space="preserve"> </w:t>
            </w:r>
            <w:r w:rsidRPr="00961CC8">
              <w:t>activity which is produced in the pancreas and parotid glands.</w:t>
            </w:r>
            <w:r>
              <w:t xml:space="preserve"> </w:t>
            </w:r>
            <w:r w:rsidRPr="00961CC8">
              <w:t>Measurement of α-amylase activity is of value in diagnosing pancreatitis</w:t>
            </w:r>
            <w:r>
              <w:t xml:space="preserve"> </w:t>
            </w:r>
            <w:r w:rsidRPr="00961CC8">
              <w:t>and other pancreatic disorders which result in elevation of serum and α-amylase activity. Numerous methods have been used for clinical</w:t>
            </w:r>
            <w:r>
              <w:t xml:space="preserve"> </w:t>
            </w:r>
            <w:r w:rsidRPr="00961CC8">
              <w:t>analysis.</w:t>
            </w:r>
          </w:p>
          <w:p w14:paraId="5CCFFF86" w14:textId="77777777" w:rsidR="00961CC8" w:rsidRPr="00370B0F" w:rsidRDefault="00961CC8" w:rsidP="00981A4A"/>
        </w:tc>
      </w:tr>
      <w:tr w:rsidR="00E3253B" w14:paraId="5CCFFF8A" w14:textId="77777777" w:rsidTr="000C4A76">
        <w:trPr>
          <w:trHeight w:val="450"/>
          <w:tblHeader/>
        </w:trPr>
        <w:tc>
          <w:tcPr>
            <w:tcW w:w="1782"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78" w:type="dxa"/>
            <w:gridSpan w:val="4"/>
            <w:tcBorders>
              <w:top w:val="single" w:sz="18" w:space="0" w:color="BFBFBF"/>
              <w:left w:val="nil"/>
              <w:bottom w:val="single" w:sz="18" w:space="0" w:color="BFBFBF"/>
              <w:right w:val="nil"/>
            </w:tcBorders>
          </w:tcPr>
          <w:p w14:paraId="5CBF0BF3" w14:textId="22520736"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w:t>
            </w:r>
            <w:r w:rsidR="00E15C16">
              <w:rPr>
                <w:rFonts w:cs="Arial"/>
                <w:b/>
                <w:bCs/>
                <w:color w:val="7030A0"/>
                <w:szCs w:val="20"/>
              </w:rPr>
              <w:t>y c (Sunquest method code: MACC</w:t>
            </w:r>
            <w:r>
              <w:rPr>
                <w:rFonts w:cs="Arial"/>
                <w:b/>
                <w:bCs/>
                <w:color w:val="7030A0"/>
                <w:szCs w:val="20"/>
              </w:rPr>
              <w:t>)</w:t>
            </w:r>
          </w:p>
          <w:p w14:paraId="5CCFFF89" w14:textId="6D0C60F0" w:rsidR="006200C0" w:rsidRPr="00DC7421" w:rsidRDefault="007F5B07" w:rsidP="00C00B65">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E15C16">
              <w:rPr>
                <w:rFonts w:cs="Arial"/>
                <w:b/>
                <w:bCs/>
                <w:color w:val="984806" w:themeColor="accent6" w:themeShade="80"/>
                <w:szCs w:val="20"/>
              </w:rPr>
              <w:t>Alinity c</w:t>
            </w:r>
            <w:r w:rsidR="00A542AC">
              <w:rPr>
                <w:rFonts w:cs="Arial"/>
                <w:b/>
                <w:bCs/>
                <w:color w:val="984806" w:themeColor="accent6" w:themeShade="80"/>
                <w:szCs w:val="20"/>
              </w:rPr>
              <w:t>(Sunquest method code: SALIC</w:t>
            </w:r>
            <w:r w:rsidRPr="00DC7421">
              <w:rPr>
                <w:rFonts w:cs="Arial"/>
                <w:b/>
                <w:bCs/>
                <w:color w:val="984806" w:themeColor="accent6" w:themeShade="80"/>
                <w:szCs w:val="20"/>
              </w:rPr>
              <w:t>)</w:t>
            </w:r>
          </w:p>
        </w:tc>
      </w:tr>
      <w:tr w:rsidR="00E3253B" w14:paraId="5CCFFF8D" w14:textId="77777777" w:rsidTr="000C4A76">
        <w:trPr>
          <w:trHeight w:val="692"/>
          <w:tblHeader/>
        </w:trPr>
        <w:tc>
          <w:tcPr>
            <w:tcW w:w="1782"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78" w:type="dxa"/>
            <w:gridSpan w:val="4"/>
            <w:tcBorders>
              <w:top w:val="single" w:sz="18" w:space="0" w:color="BFBFBF"/>
              <w:left w:val="nil"/>
              <w:bottom w:val="single" w:sz="18" w:space="0" w:color="BFBFBF"/>
              <w:right w:val="nil"/>
            </w:tcBorders>
            <w:vAlign w:val="center"/>
          </w:tcPr>
          <w:p w14:paraId="5CCFFF8C" w14:textId="64E7693D" w:rsidR="00370B0F" w:rsidRPr="00E15C16" w:rsidRDefault="00F07C1A" w:rsidP="00504F3B">
            <w:pPr>
              <w:rPr>
                <w:b/>
              </w:rPr>
            </w:pPr>
            <w:r w:rsidRPr="00E15C16">
              <w:rPr>
                <w:b/>
              </w:rPr>
              <w:t>AMY</w:t>
            </w:r>
            <w:r w:rsidR="00E33AEA">
              <w:rPr>
                <w:b/>
              </w:rPr>
              <w:t>L</w:t>
            </w:r>
            <w:bookmarkStart w:id="0" w:name="_GoBack"/>
            <w:bookmarkEnd w:id="0"/>
          </w:p>
        </w:tc>
      </w:tr>
      <w:tr w:rsidR="00E3253B" w14:paraId="5CCFFFA3" w14:textId="77777777" w:rsidTr="000C4A76">
        <w:trPr>
          <w:tblHeader/>
        </w:trPr>
        <w:tc>
          <w:tcPr>
            <w:tcW w:w="1782"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78" w:type="dxa"/>
            <w:gridSpan w:val="4"/>
            <w:tcBorders>
              <w:top w:val="single" w:sz="18" w:space="0" w:color="BFBFBF"/>
              <w:left w:val="nil"/>
              <w:bottom w:val="single" w:sz="18" w:space="0" w:color="BFBFBF"/>
              <w:right w:val="nil"/>
            </w:tcBorders>
          </w:tcPr>
          <w:p w14:paraId="5CCFFF93" w14:textId="77777777"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6BD148A4" w14:textId="1A5ACDA0" w:rsidR="00961CC8" w:rsidRDefault="00961CC8">
            <w:pPr>
              <w:rPr>
                <w:rStyle w:val="BoldBodyText"/>
                <w:rFonts w:ascii="Arial" w:hAnsi="Arial" w:cs="Arial"/>
                <w:b w:val="0"/>
                <w:bCs w:val="0"/>
                <w:sz w:val="20"/>
                <w:szCs w:val="20"/>
              </w:rPr>
            </w:pPr>
            <w:r>
              <w:rPr>
                <w:rStyle w:val="BoldBodyText"/>
                <w:rFonts w:ascii="Arial" w:hAnsi="Arial" w:cs="Arial"/>
                <w:b w:val="0"/>
                <w:bCs w:val="0"/>
                <w:sz w:val="20"/>
                <w:szCs w:val="20"/>
              </w:rPr>
              <w:t>Preferred: Lithium Heparin</w:t>
            </w:r>
          </w:p>
          <w:p w14:paraId="288F3DC1" w14:textId="2D2041E0" w:rsidR="00961CC8" w:rsidRDefault="00961CC8">
            <w:pPr>
              <w:rPr>
                <w:rStyle w:val="BoldBodyText"/>
                <w:rFonts w:ascii="Arial" w:hAnsi="Arial" w:cs="Arial"/>
                <w:b w:val="0"/>
                <w:bCs w:val="0"/>
                <w:sz w:val="20"/>
                <w:szCs w:val="20"/>
              </w:rPr>
            </w:pPr>
            <w:r>
              <w:rPr>
                <w:rStyle w:val="BoldBodyText"/>
                <w:rFonts w:ascii="Arial" w:hAnsi="Arial" w:cs="Arial"/>
                <w:b w:val="0"/>
                <w:bCs w:val="0"/>
                <w:sz w:val="20"/>
                <w:szCs w:val="20"/>
              </w:rPr>
              <w:t xml:space="preserve">Alternative: SST, </w:t>
            </w:r>
            <w:r w:rsidR="002435F1">
              <w:rPr>
                <w:rStyle w:val="BoldBodyText"/>
                <w:rFonts w:ascii="Arial" w:hAnsi="Arial" w:cs="Arial"/>
                <w:b w:val="0"/>
                <w:bCs w:val="0"/>
                <w:sz w:val="20"/>
                <w:szCs w:val="20"/>
              </w:rPr>
              <w:t xml:space="preserve">Sodium Heparin </w:t>
            </w:r>
          </w:p>
          <w:p w14:paraId="34021B1C" w14:textId="77777777" w:rsidR="00981A4A" w:rsidRPr="00DC7421" w:rsidRDefault="00981A4A">
            <w:pPr>
              <w:rPr>
                <w:rFonts w:cs="Arial"/>
                <w:szCs w:val="20"/>
              </w:rPr>
            </w:pPr>
          </w:p>
          <w:p w14:paraId="5CCFFF96" w14:textId="374F4E65"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w:t>
            </w:r>
            <w:r w:rsidR="00FF6E68">
              <w:rPr>
                <w:rFonts w:ascii="Arial" w:hAnsi="Arial" w:cs="Arial"/>
                <w:sz w:val="20"/>
                <w:szCs w:val="20"/>
              </w:rPr>
              <w:t>0.6ml blood, 0.2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28C6209F" w14:textId="6ACE7E0A" w:rsidR="002435F1" w:rsidRDefault="002435F1">
            <w:pPr>
              <w:pStyle w:val="Header"/>
              <w:tabs>
                <w:tab w:val="clear" w:pos="4320"/>
                <w:tab w:val="clear" w:pos="8640"/>
              </w:tabs>
              <w:rPr>
                <w:rFonts w:cs="Arial"/>
                <w:szCs w:val="20"/>
              </w:rPr>
            </w:pPr>
            <w:r w:rsidRPr="002435F1">
              <w:rPr>
                <w:rFonts w:cs="Arial"/>
                <w:szCs w:val="20"/>
              </w:rPr>
              <w:t>20 to 25°C</w:t>
            </w:r>
            <w:r>
              <w:rPr>
                <w:rFonts w:cs="Arial"/>
                <w:szCs w:val="20"/>
              </w:rPr>
              <w:t>: 7</w:t>
            </w:r>
            <w:r w:rsidR="00E15C16">
              <w:rPr>
                <w:rFonts w:cs="Arial"/>
                <w:szCs w:val="20"/>
              </w:rPr>
              <w:t xml:space="preserve"> </w:t>
            </w:r>
            <w:r>
              <w:rPr>
                <w:rFonts w:cs="Arial"/>
                <w:szCs w:val="20"/>
              </w:rPr>
              <w:t>days</w:t>
            </w:r>
          </w:p>
          <w:p w14:paraId="5CCFFF99" w14:textId="50370BDA" w:rsidR="00E3253B" w:rsidRDefault="00BD0AE4">
            <w:pPr>
              <w:pStyle w:val="Header"/>
              <w:tabs>
                <w:tab w:val="clear" w:pos="4320"/>
                <w:tab w:val="clear" w:pos="8640"/>
              </w:tabs>
              <w:rPr>
                <w:rFonts w:cs="Arial"/>
                <w:szCs w:val="20"/>
              </w:rPr>
            </w:pPr>
            <w:r w:rsidRPr="00BD0AE4">
              <w:rPr>
                <w:rFonts w:cs="Arial"/>
                <w:szCs w:val="20"/>
              </w:rPr>
              <w:t>2 to 8°C</w:t>
            </w:r>
            <w:r w:rsidR="002435F1">
              <w:rPr>
                <w:rFonts w:cs="Arial"/>
                <w:szCs w:val="20"/>
              </w:rPr>
              <w:t>:     7</w:t>
            </w:r>
            <w:r w:rsidR="00E15C16">
              <w:rPr>
                <w:rFonts w:cs="Arial"/>
                <w:szCs w:val="20"/>
              </w:rPr>
              <w:t xml:space="preserve"> </w:t>
            </w:r>
            <w:r w:rsidR="002435F1">
              <w:rPr>
                <w:rFonts w:cs="Arial"/>
                <w:szCs w:val="20"/>
              </w:rPr>
              <w:t>days</w:t>
            </w:r>
          </w:p>
          <w:p w14:paraId="594E4A3A" w14:textId="37F1BEF2" w:rsidR="00BD0AE4" w:rsidRDefault="00BD0AE4">
            <w:pPr>
              <w:pStyle w:val="Header"/>
              <w:tabs>
                <w:tab w:val="clear" w:pos="4320"/>
                <w:tab w:val="clear" w:pos="8640"/>
              </w:tabs>
              <w:rPr>
                <w:rFonts w:cs="Arial"/>
                <w:szCs w:val="20"/>
              </w:rPr>
            </w:pPr>
            <w:r w:rsidRPr="00BD0AE4">
              <w:rPr>
                <w:rFonts w:cs="Arial"/>
                <w:szCs w:val="20"/>
              </w:rPr>
              <w:t>-20°C</w:t>
            </w:r>
            <w:r w:rsidR="002435F1">
              <w:rPr>
                <w:rFonts w:cs="Arial"/>
                <w:szCs w:val="20"/>
              </w:rPr>
              <w:t>:         1</w:t>
            </w:r>
            <w:r w:rsidR="00E15C16">
              <w:rPr>
                <w:rFonts w:cs="Arial"/>
                <w:szCs w:val="20"/>
              </w:rPr>
              <w:t xml:space="preserve"> </w:t>
            </w:r>
            <w:r w:rsidR="002435F1">
              <w:rPr>
                <w:rFonts w:cs="Arial"/>
                <w:szCs w:val="20"/>
              </w:rPr>
              <w:t>year</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5996C989" w14:textId="77777777" w:rsidR="00E15C16" w:rsidRPr="00E15C16" w:rsidRDefault="00E15C16" w:rsidP="00E15C16">
            <w:pPr>
              <w:numPr>
                <w:ilvl w:val="0"/>
                <w:numId w:val="26"/>
              </w:numPr>
              <w:jc w:val="both"/>
              <w:rPr>
                <w:rFonts w:cs="Arial"/>
                <w:szCs w:val="20"/>
              </w:rPr>
            </w:pPr>
            <w:r w:rsidRPr="00E15C16">
              <w:rPr>
                <w:rFonts w:cs="Arial"/>
                <w:szCs w:val="20"/>
              </w:rPr>
              <w:t>Whole blood specimens should be centrifuged following complete clot formation, according to Specimen Processing procedures prior to analysis.</w:t>
            </w:r>
          </w:p>
          <w:p w14:paraId="08BE700E" w14:textId="77777777" w:rsidR="00E15C16" w:rsidRPr="00E15C16" w:rsidRDefault="00E15C16" w:rsidP="00E15C16">
            <w:pPr>
              <w:numPr>
                <w:ilvl w:val="0"/>
                <w:numId w:val="26"/>
              </w:numPr>
              <w:jc w:val="both"/>
              <w:rPr>
                <w:rFonts w:cs="Arial"/>
                <w:szCs w:val="20"/>
              </w:rPr>
            </w:pPr>
            <w:r w:rsidRPr="00E15C16">
              <w:rPr>
                <w:rFonts w:cs="Arial"/>
                <w:szCs w:val="20"/>
              </w:rPr>
              <w:t>Serum or plasma should be physically separated from cells as soon as possible with a maximum limit of two hours from the time of collection.</w:t>
            </w:r>
          </w:p>
          <w:p w14:paraId="0CDD700D" w14:textId="77777777" w:rsidR="00E15C16" w:rsidRPr="00E15C16" w:rsidRDefault="00E15C16" w:rsidP="00E15C16">
            <w:pPr>
              <w:numPr>
                <w:ilvl w:val="0"/>
                <w:numId w:val="26"/>
              </w:numPr>
              <w:jc w:val="both"/>
              <w:rPr>
                <w:rFonts w:cs="Arial"/>
                <w:szCs w:val="20"/>
              </w:rPr>
            </w:pPr>
            <w:r w:rsidRPr="00E15C16">
              <w:rPr>
                <w:rFonts w:cs="Arial"/>
                <w:szCs w:val="20"/>
              </w:rPr>
              <w:t xml:space="preserve">Specimens should be free of particulate matter. </w:t>
            </w:r>
          </w:p>
          <w:p w14:paraId="26206795" w14:textId="77777777" w:rsidR="00E15C16" w:rsidRPr="00E15C16" w:rsidRDefault="00E15C16" w:rsidP="00E15C16">
            <w:pPr>
              <w:numPr>
                <w:ilvl w:val="0"/>
                <w:numId w:val="26"/>
              </w:numPr>
              <w:jc w:val="both"/>
              <w:rPr>
                <w:rFonts w:cs="Arial"/>
                <w:szCs w:val="20"/>
              </w:rPr>
            </w:pPr>
            <w:r w:rsidRPr="00E15C16">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14:paraId="44329632" w14:textId="77777777" w:rsidR="00E15C16" w:rsidRPr="00E15C16" w:rsidRDefault="00E15C16" w:rsidP="00E15C16">
            <w:pPr>
              <w:numPr>
                <w:ilvl w:val="0"/>
                <w:numId w:val="26"/>
              </w:numPr>
              <w:jc w:val="both"/>
              <w:rPr>
                <w:rFonts w:cs="Arial"/>
                <w:szCs w:val="20"/>
              </w:rPr>
            </w:pPr>
            <w:r w:rsidRPr="00E15C16">
              <w:rPr>
                <w:rFonts w:cs="Arial"/>
                <w:szCs w:val="20"/>
              </w:rPr>
              <w:t xml:space="preserve">  Architect and Alinity systems utilize a specimen level detect mechanism, so special racks specific to tube-type are not required.  </w:t>
            </w:r>
          </w:p>
          <w:p w14:paraId="63B8D88C" w14:textId="77777777" w:rsidR="00E15C16" w:rsidRPr="00E15C16" w:rsidRDefault="00E15C16" w:rsidP="00E15C16">
            <w:pPr>
              <w:numPr>
                <w:ilvl w:val="0"/>
                <w:numId w:val="26"/>
              </w:numPr>
              <w:jc w:val="both"/>
              <w:rPr>
                <w:rFonts w:cs="Arial"/>
                <w:szCs w:val="20"/>
              </w:rPr>
            </w:pPr>
            <w:r w:rsidRPr="00E15C16">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0C4A76">
        <w:trPr>
          <w:tblHeader/>
        </w:trPr>
        <w:tc>
          <w:tcPr>
            <w:tcW w:w="1782" w:type="dxa"/>
            <w:tcBorders>
              <w:top w:val="nil"/>
              <w:left w:val="nil"/>
              <w:bottom w:val="nil"/>
              <w:right w:val="nil"/>
            </w:tcBorders>
          </w:tcPr>
          <w:p w14:paraId="5CCFFFA4" w14:textId="0151B9BE"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78"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0D6786CF"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0081197E">
              <w:rPr>
                <w:rFonts w:eastAsia="HelenPro-Regular"/>
                <w:szCs w:val="20"/>
              </w:rPr>
              <w:t>gently invert cartridges 5 times, then</w:t>
            </w:r>
            <w:r w:rsidRPr="00DC7421">
              <w:rPr>
                <w:rFonts w:cs="Arial"/>
                <w:color w:val="000000"/>
                <w:szCs w:val="20"/>
              </w:rPr>
              <w:t xml:space="preserve"> 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77777777"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79DDAA3E" w14:textId="6E0F74F3"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w:t>
            </w:r>
            <w:r w:rsidR="000C4A76">
              <w:rPr>
                <w:rFonts w:cs="Arial"/>
                <w:color w:val="000000"/>
                <w:szCs w:val="20"/>
              </w:rPr>
              <w:t xml:space="preserve">rior to loading on the Alinity </w:t>
            </w:r>
            <w:r w:rsidRPr="00DC7421">
              <w:rPr>
                <w:rFonts w:cs="Arial"/>
                <w:color w:val="000000"/>
                <w:szCs w:val="20"/>
              </w:rPr>
              <w:t>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09581C" w:rsidRDefault="007F5B07" w:rsidP="0009581C">
            <w:pPr>
              <w:autoSpaceDE w:val="0"/>
              <w:autoSpaceDN w:val="0"/>
              <w:adjustRightInd w:val="0"/>
              <w:rPr>
                <w:rFonts w:cs="Arial"/>
              </w:rPr>
            </w:pPr>
          </w:p>
        </w:tc>
      </w:tr>
      <w:tr w:rsidR="00D955F6" w14:paraId="5CCFFFC7" w14:textId="77777777" w:rsidTr="00E15C16">
        <w:trPr>
          <w:trHeight w:val="1575"/>
          <w:tblHeader/>
        </w:trPr>
        <w:tc>
          <w:tcPr>
            <w:tcW w:w="1782"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78" w:type="dxa"/>
            <w:gridSpan w:val="4"/>
            <w:tcBorders>
              <w:top w:val="single" w:sz="18" w:space="0" w:color="BFBFBF"/>
              <w:left w:val="nil"/>
              <w:bottom w:val="single" w:sz="18" w:space="0" w:color="BFBFBF"/>
              <w:right w:val="nil"/>
            </w:tcBorders>
            <w:vAlign w:val="center"/>
          </w:tcPr>
          <w:p w14:paraId="20E5F827" w14:textId="77777777" w:rsidR="0081197E" w:rsidRPr="00DC7421" w:rsidRDefault="0081197E" w:rsidP="0081197E">
            <w:pPr>
              <w:pStyle w:val="Reagents"/>
              <w:rPr>
                <w:rFonts w:ascii="Arial" w:hAnsi="Arial" w:cs="Arial"/>
                <w:b/>
                <w:bCs/>
              </w:rPr>
            </w:pPr>
            <w:r w:rsidRPr="00DC7421">
              <w:rPr>
                <w:rFonts w:ascii="Arial" w:hAnsi="Arial" w:cs="Arial"/>
                <w:b/>
                <w:bCs/>
                <w:color w:val="7030A0"/>
              </w:rPr>
              <w:t>Alinity c</w:t>
            </w:r>
            <w:r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5E381924" w:rsidR="0081197E" w:rsidRPr="00DC7421" w:rsidRDefault="00E15C16" w:rsidP="007B0F65">
                  <w:pPr>
                    <w:pStyle w:val="Default"/>
                    <w:rPr>
                      <w:rFonts w:cs="Arial"/>
                      <w:szCs w:val="20"/>
                    </w:rPr>
                  </w:pPr>
                  <w:r>
                    <w:rPr>
                      <w:sz w:val="20"/>
                      <w:szCs w:val="20"/>
                    </w:rPr>
                    <w:t xml:space="preserve">Alinity c </w:t>
                  </w:r>
                  <w:r w:rsidR="007B0F65" w:rsidRPr="007B0F65">
                    <w:rPr>
                      <w:sz w:val="20"/>
                      <w:szCs w:val="20"/>
                    </w:rPr>
                    <w:t>AMYLASE Reagent Kit</w:t>
                  </w:r>
                </w:p>
              </w:tc>
              <w:tc>
                <w:tcPr>
                  <w:tcW w:w="1710" w:type="dxa"/>
                  <w:vAlign w:val="center"/>
                </w:tcPr>
                <w:p w14:paraId="78062055" w14:textId="466C9568" w:rsidR="0081197E" w:rsidRPr="00DC7421" w:rsidRDefault="00B542BB" w:rsidP="0081197E">
                  <w:pPr>
                    <w:pStyle w:val="BodyText"/>
                    <w:tabs>
                      <w:tab w:val="left" w:pos="3240"/>
                    </w:tabs>
                    <w:rPr>
                      <w:rFonts w:cs="Arial"/>
                      <w:szCs w:val="20"/>
                    </w:rPr>
                  </w:pPr>
                  <w:r w:rsidRPr="00B542BB">
                    <w:rPr>
                      <w:rFonts w:ascii="Helen Pro Cond" w:hAnsi="Helen Pro Cond" w:cs="Helen Pro Cond"/>
                      <w:color w:val="000000"/>
                      <w:szCs w:val="20"/>
                    </w:rPr>
                    <w:t>07P5820</w:t>
                  </w:r>
                </w:p>
              </w:tc>
              <w:tc>
                <w:tcPr>
                  <w:tcW w:w="4533" w:type="dxa"/>
                  <w:vAlign w:val="center"/>
                </w:tcPr>
                <w:p w14:paraId="1E13427C" w14:textId="4A1117E8"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B542BB" w:rsidRPr="00B542BB">
                    <w:rPr>
                      <w:rFonts w:ascii="Arial" w:hAnsi="Arial" w:cs="Arial"/>
                      <w:bCs/>
                    </w:rPr>
                    <w:t>2 to 8°C</w:t>
                  </w:r>
                </w:p>
                <w:p w14:paraId="63EA4E36" w14:textId="68CB66EA" w:rsidR="0081197E" w:rsidRDefault="0081197E" w:rsidP="00B542BB">
                  <w:pPr>
                    <w:pStyle w:val="Reagents"/>
                    <w:spacing w:after="80"/>
                    <w:rPr>
                      <w:rFonts w:ascii="Arial" w:hAnsi="Arial" w:cs="Arial"/>
                      <w:bCs/>
                    </w:rPr>
                  </w:pPr>
                  <w:r w:rsidRPr="00DC7421">
                    <w:rPr>
                      <w:rFonts w:ascii="Arial" w:hAnsi="Arial" w:cs="Arial"/>
                      <w:b/>
                      <w:bCs/>
                    </w:rPr>
                    <w:t xml:space="preserve">Unopened: </w:t>
                  </w:r>
                  <w:r w:rsidR="00B542BB">
                    <w:rPr>
                      <w:rFonts w:ascii="Arial" w:hAnsi="Arial" w:cs="Arial"/>
                      <w:b/>
                      <w:bCs/>
                    </w:rPr>
                    <w:t xml:space="preserve"> </w:t>
                  </w:r>
                  <w:r w:rsidR="00B542BB" w:rsidRPr="00B542BB">
                    <w:rPr>
                      <w:rFonts w:ascii="Arial" w:hAnsi="Arial" w:cs="Arial"/>
                      <w:bCs/>
                    </w:rPr>
                    <w:t xml:space="preserve">Until </w:t>
                  </w:r>
                  <w:r w:rsidR="00E15C16">
                    <w:rPr>
                      <w:rFonts w:ascii="Arial" w:hAnsi="Arial" w:cs="Arial"/>
                      <w:bCs/>
                    </w:rPr>
                    <w:t xml:space="preserve">manufacturer’s </w:t>
                  </w:r>
                  <w:r w:rsidR="00B542BB" w:rsidRPr="00B542BB">
                    <w:rPr>
                      <w:rFonts w:ascii="Arial" w:hAnsi="Arial" w:cs="Arial"/>
                      <w:bCs/>
                    </w:rPr>
                    <w:t>expiration date</w:t>
                  </w:r>
                </w:p>
                <w:p w14:paraId="2EC23D08" w14:textId="01590F44" w:rsidR="0081197E" w:rsidRPr="003F688A" w:rsidRDefault="0081197E" w:rsidP="007B0F65">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B542BB">
                    <w:rPr>
                      <w:rFonts w:ascii="Arial" w:hAnsi="Arial" w:cs="Arial"/>
                      <w:bCs/>
                    </w:rPr>
                    <w:t>19 Days</w:t>
                  </w:r>
                </w:p>
              </w:tc>
            </w:tr>
          </w:tbl>
          <w:p w14:paraId="5CCFFFC6" w14:textId="77777777" w:rsidR="00D955F6" w:rsidRPr="00DC7421" w:rsidRDefault="00D955F6" w:rsidP="000C4A76">
            <w:pPr>
              <w:pStyle w:val="Reagents"/>
              <w:rPr>
                <w:rFonts w:ascii="Arial" w:hAnsi="Arial" w:cs="Arial"/>
                <w:b/>
                <w:bCs/>
                <w:color w:val="365F91"/>
              </w:rPr>
            </w:pPr>
          </w:p>
        </w:tc>
      </w:tr>
      <w:tr w:rsidR="00E3253B" w14:paraId="5CCFFFD1" w14:textId="77777777" w:rsidTr="000C4A76">
        <w:trPr>
          <w:trHeight w:val="1548"/>
          <w:tblHeader/>
        </w:trPr>
        <w:tc>
          <w:tcPr>
            <w:tcW w:w="1782"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78" w:type="dxa"/>
            <w:gridSpan w:val="4"/>
            <w:tcBorders>
              <w:top w:val="single" w:sz="18" w:space="0" w:color="BFBFBF"/>
              <w:left w:val="nil"/>
              <w:bottom w:val="single" w:sz="18" w:space="0" w:color="BFBFBF"/>
              <w:right w:val="nil"/>
            </w:tcBorders>
            <w:vAlign w:val="center"/>
          </w:tcPr>
          <w:p w14:paraId="1FB3609D" w14:textId="723F0E74" w:rsidR="003C2130" w:rsidRDefault="001E2E9A" w:rsidP="001E2E9A">
            <w:r w:rsidRPr="001E2E9A">
              <w:t>This product requires the handling of human specimens.</w:t>
            </w:r>
            <w:r>
              <w:t xml:space="preserve"> </w:t>
            </w:r>
            <w:r w:rsidRPr="001E2E9A">
              <w:t>It is recommended that all human-sourced materials be considered</w:t>
            </w:r>
            <w:r>
              <w:t xml:space="preserve"> </w:t>
            </w:r>
            <w:r w:rsidRPr="001E2E9A">
              <w:t>potentially infectious and handled in accordance with the OSHA</w:t>
            </w:r>
            <w:r>
              <w:t xml:space="preserve"> </w:t>
            </w:r>
            <w:r w:rsidRPr="001E2E9A">
              <w:t>Standard on Bloodborne Pathogens.</w:t>
            </w:r>
          </w:p>
          <w:p w14:paraId="77A0D81B" w14:textId="5C30D998" w:rsidR="00F07C1A" w:rsidRDefault="00F07C1A" w:rsidP="001E2E9A">
            <w:r w:rsidRPr="00F07C1A">
              <w:t>The following warnings and precautions apply to:</w:t>
            </w:r>
            <w:r>
              <w:t xml:space="preserve"> R1 c</w:t>
            </w:r>
            <w:r w:rsidRPr="00F07C1A">
              <w:t>ontains sodium azide and potassium thiocyanate.</w:t>
            </w:r>
            <w:r w:rsidR="00E15C16">
              <w:t xml:space="preserve">  No special disposal indicated.</w:t>
            </w:r>
          </w:p>
          <w:p w14:paraId="16CC6BDE" w14:textId="77777777" w:rsidR="003C2130" w:rsidRDefault="003C2130"/>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72AE9FB2" w14:textId="065D421F" w:rsidR="00D302B9" w:rsidRDefault="00D302B9" w:rsidP="00D302B9">
                  <w:pPr>
                    <w:pStyle w:val="Default"/>
                    <w:rPr>
                      <w:szCs w:val="20"/>
                    </w:rPr>
                  </w:pPr>
                  <w:r>
                    <w:rPr>
                      <w:sz w:val="20"/>
                      <w:szCs w:val="20"/>
                    </w:rPr>
                    <w:t xml:space="preserve">Safety data sheets (MSDS/SDS) available on </w:t>
                  </w:r>
                  <w:hyperlink r:id="rId12" w:history="1">
                    <w:r w:rsidRPr="00D302B9">
                      <w:rPr>
                        <w:rStyle w:val="Hyperlink"/>
                        <w:sz w:val="20"/>
                        <w:szCs w:val="20"/>
                      </w:rPr>
                      <w:t>Children’s Intranet</w:t>
                    </w:r>
                  </w:hyperlink>
                  <w:r>
                    <w:rPr>
                      <w:sz w:val="20"/>
                      <w:szCs w:val="20"/>
                    </w:rPr>
                    <w:t xml:space="preserve"> </w:t>
                  </w:r>
                </w:p>
                <w:p w14:paraId="5CCFFFCE" w14:textId="77777777" w:rsidR="003E0A08" w:rsidRPr="00DC7421" w:rsidRDefault="003E0A08"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E15C16">
        <w:trPr>
          <w:tblHeader/>
        </w:trPr>
        <w:tc>
          <w:tcPr>
            <w:tcW w:w="1782" w:type="dxa"/>
            <w:tcBorders>
              <w:top w:val="nil"/>
              <w:left w:val="nil"/>
              <w:bottom w:val="nil"/>
              <w:right w:val="nil"/>
            </w:tcBorders>
          </w:tcPr>
          <w:p w14:paraId="5CCFFFD2" w14:textId="708F6A02"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78" w:type="dxa"/>
            <w:gridSpan w:val="4"/>
            <w:tcBorders>
              <w:top w:val="single" w:sz="18" w:space="0" w:color="BFBFBF"/>
              <w:left w:val="nil"/>
              <w:bottom w:val="single" w:sz="18" w:space="0" w:color="BFBFBF"/>
              <w:right w:val="nil"/>
            </w:tcBorders>
          </w:tcPr>
          <w:p w14:paraId="5CCFFFD3" w14:textId="1E914F78" w:rsidR="00F50200" w:rsidRPr="00DC7421" w:rsidRDefault="00A062E1" w:rsidP="00A32948">
            <w:pPr>
              <w:pStyle w:val="Pa15"/>
              <w:rPr>
                <w:rFonts w:ascii="Arial" w:hAnsi="Arial" w:cs="Arial"/>
                <w:b/>
                <w:bCs/>
                <w:sz w:val="20"/>
                <w:szCs w:val="20"/>
              </w:rPr>
            </w:pPr>
            <w:r w:rsidRPr="00A062E1">
              <w:rPr>
                <w:rFonts w:ascii="Arial" w:hAnsi="Arial" w:cs="Arial"/>
                <w:b/>
                <w:bCs/>
                <w:color w:val="7030A0"/>
                <w:sz w:val="20"/>
                <w:szCs w:val="20"/>
              </w:rPr>
              <w:t>Alinity c</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3474EA80" w:rsidR="00F50200" w:rsidRPr="00DC7421" w:rsidRDefault="00E15C16" w:rsidP="00A32948">
                  <w:pPr>
                    <w:pStyle w:val="CalVerTable"/>
                    <w:ind w:left="0" w:firstLine="0"/>
                    <w:rPr>
                      <w:rFonts w:ascii="Arial" w:hAnsi="Arial" w:cs="Arial"/>
                    </w:rPr>
                  </w:pPr>
                  <w:r>
                    <w:rPr>
                      <w:rFonts w:ascii="Arial" w:hAnsi="Arial" w:cs="Arial"/>
                    </w:rPr>
                    <w:t>6 to 6000</w:t>
                  </w:r>
                  <w:r w:rsidR="00212C31" w:rsidRPr="00212C31">
                    <w:rPr>
                      <w:rFonts w:ascii="Arial" w:hAnsi="Arial" w:cs="Arial"/>
                    </w:rPr>
                    <w:t xml:space="preserve"> U/L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770870F5" w:rsidR="00F50200" w:rsidRPr="00DC7421" w:rsidRDefault="00F07C1A" w:rsidP="00F07C1A">
                  <w:pPr>
                    <w:pStyle w:val="BodyText"/>
                    <w:rPr>
                      <w:rFonts w:cs="Arial"/>
                      <w:szCs w:val="20"/>
                    </w:rPr>
                  </w:pPr>
                  <w:r>
                    <w:rPr>
                      <w:rFonts w:cs="Arial"/>
                      <w:szCs w:val="20"/>
                    </w:rPr>
                    <w:t xml:space="preserve">Onboard Water </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23025BE5" w:rsidR="005B66A7" w:rsidRPr="00F07C1A" w:rsidRDefault="00F07C1A" w:rsidP="00F07C1A">
                  <w:pPr>
                    <w:pStyle w:val="CalVerTable"/>
                    <w:rPr>
                      <w:rFonts w:ascii="Arial" w:hAnsi="Arial" w:cs="Arial"/>
                    </w:rPr>
                  </w:pPr>
                  <w:r w:rsidRPr="00F07C1A">
                    <w:rPr>
                      <w:rFonts w:ascii="Arial" w:hAnsi="Arial" w:cs="Arial"/>
                    </w:rPr>
                    <w:t>Assay configuration calibration factor: 3431</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759AEE05" w:rsidR="00F50200" w:rsidRPr="00F07C1A" w:rsidRDefault="00F07C1A" w:rsidP="00F07C1A">
                  <w:pPr>
                    <w:pStyle w:val="CalVerTable"/>
                    <w:rPr>
                      <w:rFonts w:ascii="Arial" w:hAnsi="Arial" w:cs="Arial"/>
                    </w:rPr>
                  </w:pPr>
                  <w:r w:rsidRPr="00F07C1A">
                    <w:rPr>
                      <w:rFonts w:ascii="Arial" w:hAnsi="Arial" w:cs="Arial"/>
                    </w:rPr>
                    <w:t>1 level, Factor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DB9BA6E" w:rsidR="00F50200" w:rsidRPr="00DC7421" w:rsidRDefault="00E15C16" w:rsidP="004A698D">
                  <w:pPr>
                    <w:pStyle w:val="Pa10"/>
                    <w:rPr>
                      <w:rFonts w:ascii="Arial" w:hAnsi="Arial" w:cs="Arial"/>
                      <w:sz w:val="20"/>
                      <w:szCs w:val="20"/>
                    </w:rPr>
                  </w:pPr>
                  <w:r>
                    <w:rPr>
                      <w:rFonts w:ascii="Arial" w:hAnsi="Arial" w:cs="Arial"/>
                      <w:sz w:val="20"/>
                      <w:szCs w:val="20"/>
                    </w:rPr>
                    <w:t>19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3E2E4BC3" w:rsidR="00F50200" w:rsidRPr="00DC7421" w:rsidRDefault="00F07C1A" w:rsidP="00FA6C95">
                  <w:pPr>
                    <w:autoSpaceDE w:val="0"/>
                    <w:autoSpaceDN w:val="0"/>
                    <w:adjustRightInd w:val="0"/>
                    <w:rPr>
                      <w:rFonts w:cs="Arial"/>
                      <w:szCs w:val="20"/>
                    </w:rPr>
                  </w:pPr>
                  <w:r w:rsidRPr="00DC7421">
                    <w:rPr>
                      <w:rFonts w:cs="Arial"/>
                      <w:szCs w:val="20"/>
                    </w:rPr>
                    <w:t>AMR is verified twice annual</w:t>
                  </w:r>
                  <w:r>
                    <w:rPr>
                      <w:rFonts w:cs="Arial"/>
                      <w:szCs w:val="20"/>
                    </w:rPr>
                    <w:t xml:space="preserve">ly using </w:t>
                  </w:r>
                  <w:r w:rsidRPr="00E15C16">
                    <w:rPr>
                      <w:rFonts w:cs="Arial"/>
                      <w:szCs w:val="20"/>
                    </w:rPr>
                    <w:t xml:space="preserve">the Maine Standards </w:t>
                  </w:r>
                  <w:r w:rsidR="00E15C16" w:rsidRPr="00E15C16">
                    <w:rPr>
                      <w:rFonts w:cs="Arial"/>
                      <w:szCs w:val="20"/>
                    </w:rPr>
                    <w:t>GC3 Product # 1300ab</w:t>
                  </w:r>
                  <w:r w:rsidRPr="00E15C16">
                    <w:rPr>
                      <w:rFonts w:cs="Arial"/>
                      <w:szCs w:val="20"/>
                    </w:rPr>
                    <w:t xml:space="preserve"> by running all applicable levels in triplicate.  Assay results are submitted to Maine Standards</w:t>
                  </w:r>
                  <w:r w:rsidRPr="00DC7421">
                    <w:rPr>
                      <w:rFonts w:cs="Arial"/>
                      <w:szCs w:val="20"/>
                    </w:rPr>
                    <w:t xml:space="preserve"> for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5CCFFFEB" w14:textId="77777777" w:rsidR="00F50200" w:rsidRPr="00DC7421" w:rsidRDefault="00F50200" w:rsidP="000C4A76">
            <w:pPr>
              <w:pStyle w:val="Pa15"/>
              <w:rPr>
                <w:rFonts w:cs="Arial"/>
                <w:szCs w:val="20"/>
              </w:rPr>
            </w:pPr>
          </w:p>
        </w:tc>
      </w:tr>
      <w:tr w:rsidR="00E3253B" w14:paraId="5CD00004" w14:textId="77777777" w:rsidTr="000C4A76">
        <w:trPr>
          <w:tblHeader/>
        </w:trPr>
        <w:tc>
          <w:tcPr>
            <w:tcW w:w="1782"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78" w:type="dxa"/>
            <w:gridSpan w:val="4"/>
            <w:tcBorders>
              <w:top w:val="single" w:sz="18" w:space="0" w:color="BFBFBF"/>
              <w:left w:val="nil"/>
              <w:bottom w:val="single" w:sz="18" w:space="0" w:color="BFBFBF"/>
              <w:right w:val="nil"/>
            </w:tcBorders>
            <w:vAlign w:val="center"/>
          </w:tcPr>
          <w:p w14:paraId="7119FC84" w14:textId="3A6632C9" w:rsidR="00331BF5" w:rsidRDefault="00331BF5" w:rsidP="00331BF5">
            <w:pPr>
              <w:autoSpaceDE w:val="0"/>
              <w:autoSpaceDN w:val="0"/>
              <w:adjustRightInd w:val="0"/>
              <w:jc w:val="both"/>
              <w:rPr>
                <w:rFonts w:cs="Arial"/>
                <w:b/>
                <w:szCs w:val="20"/>
              </w:rPr>
            </w:pPr>
            <w:r w:rsidRPr="00E47DE5">
              <w:rPr>
                <w:rFonts w:cs="Arial"/>
                <w:b/>
                <w:szCs w:val="20"/>
              </w:rPr>
              <w:t>Qc Material</w:t>
            </w:r>
            <w:r w:rsidRPr="00C6560E">
              <w:rPr>
                <w:rFonts w:cs="Arial"/>
                <w:szCs w:val="20"/>
              </w:rPr>
              <w:t>:</w:t>
            </w:r>
            <w:r>
              <w:rPr>
                <w:rFonts w:cs="Arial"/>
                <w:szCs w:val="20"/>
              </w:rPr>
              <w:t xml:space="preserve"> Bio-Rad</w:t>
            </w:r>
            <w:r w:rsidR="00E15C16">
              <w:rPr>
                <w:rFonts w:cs="Arial"/>
                <w:szCs w:val="20"/>
              </w:rPr>
              <w:t xml:space="preserve"> </w:t>
            </w:r>
            <w:proofErr w:type="spellStart"/>
            <w:r w:rsidR="00E15C16">
              <w:rPr>
                <w:rFonts w:cs="Arial"/>
                <w:szCs w:val="20"/>
              </w:rPr>
              <w:t>Liquichek</w:t>
            </w:r>
            <w:proofErr w:type="spellEnd"/>
            <w:r w:rsidRPr="00C6560E">
              <w:rPr>
                <w:rFonts w:cs="Arial"/>
                <w:szCs w:val="20"/>
              </w:rPr>
              <w:t xml:space="preserve"> </w:t>
            </w:r>
            <w:proofErr w:type="spellStart"/>
            <w:r w:rsidR="00E15C16">
              <w:rPr>
                <w:rFonts w:cs="Arial"/>
                <w:szCs w:val="20"/>
              </w:rPr>
              <w:t>Multiqual</w:t>
            </w:r>
            <w:proofErr w:type="spellEnd"/>
            <w:r w:rsidR="00E15C16">
              <w:rPr>
                <w:rFonts w:cs="Arial"/>
                <w:szCs w:val="20"/>
              </w:rPr>
              <w:t xml:space="preserve"> 1,2,3 </w:t>
            </w:r>
            <w:proofErr w:type="spellStart"/>
            <w:r w:rsidR="00E15C16">
              <w:rPr>
                <w:rFonts w:cs="Arial"/>
                <w:szCs w:val="20"/>
              </w:rPr>
              <w:t>Unassayed</w:t>
            </w:r>
            <w:proofErr w:type="spellEnd"/>
            <w:r w:rsidR="00E15C16">
              <w:rPr>
                <w:rFonts w:cs="Arial"/>
                <w:szCs w:val="20"/>
              </w:rPr>
              <w:t xml:space="preserve"> Chemistry Control Levels 1 &amp; 3</w:t>
            </w:r>
          </w:p>
          <w:p w14:paraId="0CF942DA" w14:textId="77777777" w:rsidR="00331BF5" w:rsidRPr="00E47DE5" w:rsidRDefault="00331BF5" w:rsidP="00331BF5">
            <w:pPr>
              <w:autoSpaceDE w:val="0"/>
              <w:autoSpaceDN w:val="0"/>
              <w:adjustRightInd w:val="0"/>
              <w:jc w:val="both"/>
              <w:rPr>
                <w:rFonts w:cs="Arial"/>
                <w:b/>
                <w:szCs w:val="20"/>
              </w:rPr>
            </w:pPr>
          </w:p>
          <w:p w14:paraId="51865214" w14:textId="1D9043F2" w:rsidR="00331BF5" w:rsidRDefault="00331BF5" w:rsidP="00331BF5">
            <w:pPr>
              <w:autoSpaceDE w:val="0"/>
              <w:autoSpaceDN w:val="0"/>
              <w:adjustRightInd w:val="0"/>
              <w:jc w:val="both"/>
              <w:rPr>
                <w:szCs w:val="20"/>
              </w:rPr>
            </w:pPr>
            <w:r w:rsidRPr="00DC7421">
              <w:rPr>
                <w:rFonts w:cs="Arial"/>
                <w:b/>
                <w:bCs/>
                <w:szCs w:val="20"/>
              </w:rPr>
              <w:t xml:space="preserve">Frequency: </w:t>
            </w:r>
            <w:r w:rsidR="00E15C16">
              <w:rPr>
                <w:szCs w:val="20"/>
              </w:rPr>
              <w:t xml:space="preserve">Two levels </w:t>
            </w:r>
            <w:r>
              <w:rPr>
                <w:szCs w:val="20"/>
              </w:rPr>
              <w:t xml:space="preserve">each day of use </w:t>
            </w:r>
          </w:p>
          <w:p w14:paraId="29079B8A" w14:textId="77777777" w:rsidR="00331BF5" w:rsidRPr="00DC7421" w:rsidRDefault="00331BF5" w:rsidP="00331BF5">
            <w:pPr>
              <w:autoSpaceDE w:val="0"/>
              <w:autoSpaceDN w:val="0"/>
              <w:adjustRightInd w:val="0"/>
              <w:jc w:val="both"/>
              <w:rPr>
                <w:rFonts w:cs="Arial"/>
                <w:szCs w:val="20"/>
              </w:rPr>
            </w:pPr>
          </w:p>
          <w:p w14:paraId="23E6C18B" w14:textId="428B57FB" w:rsidR="00331BF5" w:rsidRDefault="00331BF5" w:rsidP="00331BF5">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Once thawed, opened, and stored tightly capped at 2 to 8°C</w:t>
            </w:r>
            <w:r w:rsidRPr="00E15C16">
              <w:rPr>
                <w:b/>
                <w:szCs w:val="20"/>
              </w:rPr>
              <w:t xml:space="preserve">, </w:t>
            </w:r>
            <w:proofErr w:type="spellStart"/>
            <w:r w:rsidR="00E15C16" w:rsidRPr="00E15C16">
              <w:rPr>
                <w:b/>
                <w:szCs w:val="20"/>
              </w:rPr>
              <w:t>Multiqual</w:t>
            </w:r>
            <w:proofErr w:type="spellEnd"/>
            <w:r w:rsidR="00E15C16" w:rsidRPr="00E15C16">
              <w:rPr>
                <w:b/>
                <w:szCs w:val="20"/>
              </w:rPr>
              <w:t xml:space="preserve"> </w:t>
            </w:r>
            <w:proofErr w:type="spellStart"/>
            <w:r w:rsidRPr="00E15C16">
              <w:rPr>
                <w:b/>
                <w:bCs/>
                <w:szCs w:val="20"/>
              </w:rPr>
              <w:t>Unassayed</w:t>
            </w:r>
            <w:proofErr w:type="spellEnd"/>
            <w:r w:rsidRPr="00E15C16">
              <w:rPr>
                <w:b/>
                <w:bCs/>
                <w:szCs w:val="20"/>
              </w:rPr>
              <w:t xml:space="preserve"> Chemistry Control </w:t>
            </w:r>
            <w:r>
              <w:rPr>
                <w:szCs w:val="20"/>
              </w:rPr>
              <w:t xml:space="preserve">product will be labeled with an expiration date equal to the shortest stability of the included analytes, which is </w:t>
            </w:r>
            <w:r>
              <w:rPr>
                <w:b/>
                <w:bCs/>
                <w:szCs w:val="20"/>
              </w:rPr>
              <w:t xml:space="preserve">7 days. </w:t>
            </w:r>
          </w:p>
          <w:p w14:paraId="669BC51D" w14:textId="77777777" w:rsidR="00331BF5" w:rsidRPr="00DC7421" w:rsidRDefault="00331BF5" w:rsidP="00331BF5">
            <w:pPr>
              <w:autoSpaceDE w:val="0"/>
              <w:autoSpaceDN w:val="0"/>
              <w:adjustRightInd w:val="0"/>
              <w:rPr>
                <w:rFonts w:cs="Arial"/>
                <w:szCs w:val="20"/>
              </w:rPr>
            </w:pPr>
          </w:p>
          <w:p w14:paraId="00E5DEA7" w14:textId="77777777" w:rsidR="00331BF5" w:rsidRDefault="00331BF5" w:rsidP="00331BF5">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0D9B5C7A" w14:textId="77777777" w:rsidR="00331BF5" w:rsidRDefault="00331BF5" w:rsidP="00331BF5">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1C376374" w14:textId="76BB1371" w:rsidR="00331BF5" w:rsidRDefault="00331BF5" w:rsidP="00331BF5">
            <w:pPr>
              <w:pStyle w:val="Default"/>
              <w:numPr>
                <w:ilvl w:val="0"/>
                <w:numId w:val="43"/>
              </w:numPr>
              <w:rPr>
                <w:sz w:val="20"/>
                <w:szCs w:val="20"/>
              </w:rPr>
            </w:pPr>
            <w:r>
              <w:rPr>
                <w:sz w:val="20"/>
                <w:szCs w:val="20"/>
              </w:rPr>
              <w:t xml:space="preserve">To thaw the product, allow it to stand at room temperature (18° to 25°C) until completely thawed but no longer than one (1) hour </w:t>
            </w:r>
          </w:p>
          <w:p w14:paraId="13EF21C9" w14:textId="77777777" w:rsidR="00331BF5" w:rsidRDefault="00331BF5" w:rsidP="00331BF5">
            <w:pPr>
              <w:pStyle w:val="Default"/>
              <w:numPr>
                <w:ilvl w:val="0"/>
                <w:numId w:val="43"/>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57EFE689" w14:textId="77777777" w:rsidR="00331BF5" w:rsidRDefault="00331BF5" w:rsidP="00331BF5">
            <w:pPr>
              <w:pStyle w:val="Default"/>
              <w:numPr>
                <w:ilvl w:val="0"/>
                <w:numId w:val="43"/>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296BF50B" w14:textId="77777777" w:rsidR="00331BF5" w:rsidRPr="00221810" w:rsidRDefault="00331BF5" w:rsidP="00331BF5">
            <w:pPr>
              <w:pStyle w:val="ListParagraph"/>
              <w:numPr>
                <w:ilvl w:val="0"/>
                <w:numId w:val="43"/>
              </w:numPr>
              <w:autoSpaceDE w:val="0"/>
              <w:autoSpaceDN w:val="0"/>
              <w:adjustRightInd w:val="0"/>
              <w:rPr>
                <w:szCs w:val="20"/>
              </w:rPr>
            </w:pPr>
            <w:r w:rsidRPr="00221810">
              <w:rPr>
                <w:b/>
                <w:bCs/>
                <w:szCs w:val="20"/>
              </w:rPr>
              <w:t>Before each use</w:t>
            </w:r>
            <w:r w:rsidRPr="00221810">
              <w:rPr>
                <w:szCs w:val="20"/>
              </w:rPr>
              <w:t xml:space="preserve">, gently swirl the contents until homogeneous with no visible signs of precipitate. </w:t>
            </w:r>
          </w:p>
          <w:p w14:paraId="2DA46BEE" w14:textId="77777777" w:rsidR="00331BF5" w:rsidRPr="00DC7421" w:rsidRDefault="00331BF5" w:rsidP="00331BF5">
            <w:pPr>
              <w:autoSpaceDE w:val="0"/>
              <w:autoSpaceDN w:val="0"/>
              <w:adjustRightInd w:val="0"/>
              <w:rPr>
                <w:rFonts w:cs="Arial"/>
                <w:szCs w:val="20"/>
              </w:rPr>
            </w:pPr>
          </w:p>
          <w:p w14:paraId="17CD6780" w14:textId="77777777" w:rsidR="00331BF5" w:rsidRPr="00DC7421" w:rsidRDefault="00331BF5" w:rsidP="00331BF5">
            <w:pPr>
              <w:jc w:val="both"/>
              <w:rPr>
                <w:rFonts w:cs="Arial"/>
                <w:szCs w:val="20"/>
              </w:rPr>
            </w:pPr>
            <w:r w:rsidRPr="00DC7421">
              <w:rPr>
                <w:rFonts w:cs="Arial"/>
                <w:b/>
                <w:bCs/>
                <w:szCs w:val="20"/>
              </w:rPr>
              <w:t>Acceptable ranges:</w:t>
            </w:r>
            <w:r w:rsidRPr="00DC7421">
              <w:rPr>
                <w:rFonts w:cs="Arial"/>
                <w:szCs w:val="20"/>
              </w:rPr>
              <w:t xml:space="preserve"> </w:t>
            </w:r>
          </w:p>
          <w:p w14:paraId="3E084B67" w14:textId="77777777" w:rsidR="00331BF5" w:rsidRPr="00DC7421" w:rsidRDefault="00331BF5" w:rsidP="00331BF5">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F418735" w14:textId="77777777" w:rsidR="00331BF5" w:rsidRPr="00DC7421" w:rsidRDefault="00331BF5" w:rsidP="00331BF5">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6FECDF75" w14:textId="77777777" w:rsidR="00331BF5" w:rsidRPr="00DC7421" w:rsidRDefault="00331BF5" w:rsidP="00331BF5">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6D457839" w14:textId="77777777" w:rsidR="00331BF5" w:rsidRPr="00DC7421" w:rsidRDefault="00331BF5" w:rsidP="00331BF5">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1D221221" w14:textId="77777777" w:rsidR="00331BF5" w:rsidRPr="00DC7421" w:rsidRDefault="00331BF5" w:rsidP="00331BF5">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3F1E335C" w14:textId="77777777" w:rsidR="00331BF5" w:rsidRPr="00DC7421" w:rsidRDefault="00331BF5" w:rsidP="00331BF5">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0C4A76">
        <w:trPr>
          <w:tblHeader/>
        </w:trPr>
        <w:tc>
          <w:tcPr>
            <w:tcW w:w="1782"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78" w:type="dxa"/>
            <w:gridSpan w:val="4"/>
            <w:tcBorders>
              <w:top w:val="single" w:sz="18" w:space="0" w:color="BFBFBF"/>
              <w:left w:val="nil"/>
              <w:bottom w:val="single" w:sz="18" w:space="0" w:color="BFBFBF"/>
              <w:right w:val="nil"/>
            </w:tcBorders>
          </w:tcPr>
          <w:p w14:paraId="6E119BEC" w14:textId="77777777" w:rsidR="004139C7" w:rsidRPr="00234207" w:rsidRDefault="004139C7" w:rsidP="004139C7">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4139C7" w:rsidRPr="006A26B2" w14:paraId="1D9EA99A" w14:textId="77777777" w:rsidTr="00391DB5">
              <w:tc>
                <w:tcPr>
                  <w:tcW w:w="472" w:type="dxa"/>
                </w:tcPr>
                <w:p w14:paraId="3497B076" w14:textId="77777777" w:rsidR="004139C7" w:rsidRPr="006A26B2" w:rsidRDefault="004139C7" w:rsidP="004139C7">
                  <w:pPr>
                    <w:autoSpaceDE w:val="0"/>
                    <w:autoSpaceDN w:val="0"/>
                    <w:adjustRightInd w:val="0"/>
                    <w:jc w:val="both"/>
                    <w:rPr>
                      <w:rFonts w:cs="Arial"/>
                      <w:b/>
                      <w:szCs w:val="20"/>
                    </w:rPr>
                  </w:pPr>
                  <w:r w:rsidRPr="006A26B2">
                    <w:rPr>
                      <w:rFonts w:cs="Arial"/>
                      <w:b/>
                      <w:szCs w:val="20"/>
                    </w:rPr>
                    <w:t>H</w:t>
                  </w:r>
                </w:p>
              </w:tc>
              <w:tc>
                <w:tcPr>
                  <w:tcW w:w="394" w:type="dxa"/>
                </w:tcPr>
                <w:p w14:paraId="3A595EEE" w14:textId="77777777" w:rsidR="004139C7" w:rsidRPr="006A26B2" w:rsidRDefault="004139C7" w:rsidP="004139C7">
                  <w:pPr>
                    <w:autoSpaceDE w:val="0"/>
                    <w:autoSpaceDN w:val="0"/>
                    <w:adjustRightInd w:val="0"/>
                    <w:jc w:val="both"/>
                    <w:rPr>
                      <w:rFonts w:cs="Arial"/>
                      <w:b/>
                      <w:szCs w:val="20"/>
                    </w:rPr>
                  </w:pPr>
                  <w:r w:rsidRPr="006A26B2">
                    <w:rPr>
                      <w:rFonts w:cs="Arial"/>
                      <w:b/>
                      <w:szCs w:val="20"/>
                    </w:rPr>
                    <w:t>I</w:t>
                  </w:r>
                </w:p>
              </w:tc>
              <w:tc>
                <w:tcPr>
                  <w:tcW w:w="443" w:type="dxa"/>
                </w:tcPr>
                <w:p w14:paraId="119BB5EB" w14:textId="77777777" w:rsidR="004139C7" w:rsidRPr="006A26B2" w:rsidRDefault="004139C7" w:rsidP="004139C7">
                  <w:pPr>
                    <w:autoSpaceDE w:val="0"/>
                    <w:autoSpaceDN w:val="0"/>
                    <w:adjustRightInd w:val="0"/>
                    <w:jc w:val="both"/>
                    <w:rPr>
                      <w:rFonts w:cs="Arial"/>
                      <w:b/>
                      <w:szCs w:val="20"/>
                    </w:rPr>
                  </w:pPr>
                  <w:r w:rsidRPr="006A26B2">
                    <w:rPr>
                      <w:rFonts w:cs="Arial"/>
                      <w:b/>
                      <w:szCs w:val="20"/>
                    </w:rPr>
                    <w:t>L</w:t>
                  </w:r>
                </w:p>
              </w:tc>
            </w:tr>
            <w:tr w:rsidR="004139C7" w:rsidRPr="006A26B2" w14:paraId="1ECC8CA9" w14:textId="77777777" w:rsidTr="00391DB5">
              <w:tc>
                <w:tcPr>
                  <w:tcW w:w="472" w:type="dxa"/>
                </w:tcPr>
                <w:p w14:paraId="6ADD3962" w14:textId="2FFE8257" w:rsidR="004139C7" w:rsidRPr="006A26B2" w:rsidRDefault="004139C7" w:rsidP="004139C7">
                  <w:pPr>
                    <w:autoSpaceDE w:val="0"/>
                    <w:autoSpaceDN w:val="0"/>
                    <w:adjustRightInd w:val="0"/>
                    <w:jc w:val="both"/>
                    <w:rPr>
                      <w:rFonts w:cs="Arial"/>
                      <w:b/>
                      <w:szCs w:val="20"/>
                    </w:rPr>
                  </w:pPr>
                  <w:r>
                    <w:rPr>
                      <w:rFonts w:cs="Arial"/>
                      <w:b/>
                      <w:szCs w:val="20"/>
                    </w:rPr>
                    <w:t>3</w:t>
                  </w:r>
                </w:p>
              </w:tc>
              <w:tc>
                <w:tcPr>
                  <w:tcW w:w="394" w:type="dxa"/>
                </w:tcPr>
                <w:p w14:paraId="43EF4688" w14:textId="59A68366" w:rsidR="004139C7" w:rsidRPr="006A26B2" w:rsidRDefault="004139C7" w:rsidP="004139C7">
                  <w:pPr>
                    <w:autoSpaceDE w:val="0"/>
                    <w:autoSpaceDN w:val="0"/>
                    <w:adjustRightInd w:val="0"/>
                    <w:jc w:val="both"/>
                    <w:rPr>
                      <w:rFonts w:cs="Arial"/>
                      <w:b/>
                      <w:szCs w:val="20"/>
                    </w:rPr>
                  </w:pPr>
                  <w:r>
                    <w:rPr>
                      <w:rFonts w:cs="Arial"/>
                      <w:b/>
                      <w:szCs w:val="20"/>
                    </w:rPr>
                    <w:t>3</w:t>
                  </w:r>
                </w:p>
              </w:tc>
              <w:tc>
                <w:tcPr>
                  <w:tcW w:w="443" w:type="dxa"/>
                </w:tcPr>
                <w:p w14:paraId="4D71B8D4" w14:textId="5C3C64A6" w:rsidR="004139C7" w:rsidRPr="006A26B2" w:rsidRDefault="004139C7" w:rsidP="004139C7">
                  <w:pPr>
                    <w:autoSpaceDE w:val="0"/>
                    <w:autoSpaceDN w:val="0"/>
                    <w:adjustRightInd w:val="0"/>
                    <w:jc w:val="both"/>
                    <w:rPr>
                      <w:rFonts w:cs="Arial"/>
                      <w:b/>
                      <w:szCs w:val="20"/>
                    </w:rPr>
                  </w:pPr>
                  <w:r>
                    <w:rPr>
                      <w:rFonts w:cs="Arial"/>
                      <w:b/>
                      <w:szCs w:val="20"/>
                    </w:rPr>
                    <w:t>-</w:t>
                  </w:r>
                </w:p>
              </w:tc>
            </w:tr>
          </w:tbl>
          <w:p w14:paraId="283CFB99" w14:textId="77777777" w:rsidR="004139C7" w:rsidRPr="00DC7421" w:rsidRDefault="004139C7" w:rsidP="004139C7">
            <w:pPr>
              <w:autoSpaceDE w:val="0"/>
              <w:autoSpaceDN w:val="0"/>
              <w:adjustRightInd w:val="0"/>
              <w:rPr>
                <w:rFonts w:cs="Arial"/>
                <w:b/>
                <w:bCs/>
                <w:color w:val="5F497A"/>
                <w:szCs w:val="20"/>
              </w:rPr>
            </w:pPr>
          </w:p>
          <w:p w14:paraId="468CEC02" w14:textId="77777777" w:rsidR="004139C7" w:rsidRDefault="004139C7" w:rsidP="004139C7">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2746D0E2" w14:textId="77777777" w:rsidR="004139C7" w:rsidRDefault="004139C7" w:rsidP="004139C7">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62C844DE" w14:textId="77777777" w:rsidR="004139C7" w:rsidRDefault="004139C7" w:rsidP="004139C7">
            <w:pPr>
              <w:autoSpaceDE w:val="0"/>
              <w:autoSpaceDN w:val="0"/>
              <w:adjustRightInd w:val="0"/>
              <w:rPr>
                <w:rFonts w:eastAsia="HelenPro-Regular" w:cs="Arial"/>
                <w:szCs w:val="20"/>
              </w:rPr>
            </w:pPr>
            <w:r>
              <w:rPr>
                <w:rFonts w:eastAsia="HelenPro-Regular" w:cs="Arial"/>
                <w:szCs w:val="20"/>
              </w:rPr>
              <w:t>-BIN for “Bilirubin Interference”</w:t>
            </w:r>
          </w:p>
          <w:p w14:paraId="3806DF87" w14:textId="77777777" w:rsidR="004139C7" w:rsidRDefault="004139C7" w:rsidP="004139C7">
            <w:pPr>
              <w:autoSpaceDE w:val="0"/>
              <w:autoSpaceDN w:val="0"/>
              <w:adjustRightInd w:val="0"/>
              <w:rPr>
                <w:rFonts w:eastAsia="HelenPro-Regular" w:cs="Arial"/>
                <w:szCs w:val="20"/>
              </w:rPr>
            </w:pPr>
            <w:r>
              <w:rPr>
                <w:rFonts w:eastAsia="HelenPro-Regular" w:cs="Arial"/>
                <w:szCs w:val="20"/>
              </w:rPr>
              <w:t>-LINT for “Lipid Interference”</w:t>
            </w:r>
          </w:p>
          <w:p w14:paraId="7ABA0093" w14:textId="77777777" w:rsidR="004139C7" w:rsidRDefault="004139C7" w:rsidP="004139C7">
            <w:pPr>
              <w:autoSpaceDE w:val="0"/>
              <w:autoSpaceDN w:val="0"/>
              <w:adjustRightInd w:val="0"/>
              <w:rPr>
                <w:rFonts w:eastAsia="HelenPro-Regular" w:cs="Arial"/>
                <w:szCs w:val="20"/>
              </w:rPr>
            </w:pPr>
          </w:p>
          <w:p w14:paraId="3FA53414" w14:textId="13EE10C5" w:rsidR="00374D6E" w:rsidRPr="00374D6E" w:rsidRDefault="00374D6E" w:rsidP="000C4A76">
            <w:pPr>
              <w:autoSpaceDE w:val="0"/>
              <w:autoSpaceDN w:val="0"/>
              <w:adjustRightInd w:val="0"/>
              <w:jc w:val="both"/>
              <w:rPr>
                <w:rFonts w:cs="Arial"/>
                <w:szCs w:val="20"/>
              </w:rPr>
            </w:pPr>
            <w:r w:rsidRPr="00374D6E">
              <w:rPr>
                <w:rFonts w:cs="Arial"/>
                <w:szCs w:val="20"/>
              </w:rPr>
              <w:t>For accurate results, serum and plasma specimens should be free of fibrin, red blood cells, and other particulate matter. Serum specimens from patients receiving anticoagulant or thrombolytic</w:t>
            </w:r>
            <w:r w:rsidR="004139C7">
              <w:rPr>
                <w:rFonts w:cs="Arial"/>
                <w:szCs w:val="20"/>
              </w:rPr>
              <w:t xml:space="preserve"> </w:t>
            </w:r>
            <w:r w:rsidRPr="00374D6E">
              <w:rPr>
                <w:rFonts w:cs="Arial"/>
                <w:szCs w:val="20"/>
              </w:rPr>
              <w:t>therapy may contain fibrin due to incomplete clot formation.</w:t>
            </w:r>
          </w:p>
          <w:p w14:paraId="5CD00011" w14:textId="78852203" w:rsidR="000244AC" w:rsidRPr="00DC7421" w:rsidRDefault="000244AC" w:rsidP="004139C7">
            <w:pPr>
              <w:pStyle w:val="ListParagraph"/>
              <w:autoSpaceDE w:val="0"/>
              <w:autoSpaceDN w:val="0"/>
              <w:adjustRightInd w:val="0"/>
              <w:jc w:val="both"/>
              <w:rPr>
                <w:rFonts w:cs="Arial"/>
                <w:szCs w:val="20"/>
              </w:rPr>
            </w:pPr>
          </w:p>
        </w:tc>
      </w:tr>
      <w:tr w:rsidR="00E3253B" w14:paraId="5CD00019" w14:textId="77777777" w:rsidTr="000C4A76">
        <w:trPr>
          <w:tblHeader/>
        </w:trPr>
        <w:tc>
          <w:tcPr>
            <w:tcW w:w="1782"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78" w:type="dxa"/>
            <w:gridSpan w:val="4"/>
            <w:tcBorders>
              <w:top w:val="nil"/>
              <w:left w:val="nil"/>
              <w:bottom w:val="single" w:sz="18" w:space="0" w:color="BFBFBF"/>
              <w:right w:val="nil"/>
            </w:tcBorders>
          </w:tcPr>
          <w:p w14:paraId="1E9DF95C" w14:textId="4F32AABD" w:rsidR="00E15C16" w:rsidRPr="004139C7" w:rsidRDefault="004139C7" w:rsidP="0039587D">
            <w:pPr>
              <w:rPr>
                <w:rFonts w:cs="Arial"/>
                <w:b/>
                <w:szCs w:val="20"/>
              </w:rPr>
            </w:pPr>
            <w:r w:rsidRPr="004139C7">
              <w:rPr>
                <w:rFonts w:cs="Arial"/>
                <w:b/>
                <w:szCs w:val="20"/>
              </w:rPr>
              <w:t>Amylase, in U/L</w:t>
            </w:r>
          </w:p>
          <w:p w14:paraId="57F94959" w14:textId="1F295038" w:rsidR="00E15C16" w:rsidRDefault="004139C7" w:rsidP="0039587D">
            <w:pPr>
              <w:rPr>
                <w:rFonts w:cs="Arial"/>
                <w:szCs w:val="20"/>
              </w:rPr>
            </w:pPr>
            <w:r w:rsidRPr="004139C7">
              <w:rPr>
                <w:rFonts w:cs="Arial"/>
                <w:b/>
                <w:szCs w:val="20"/>
              </w:rPr>
              <w:t>0 to &lt; 15 Days</w:t>
            </w:r>
            <w:r>
              <w:rPr>
                <w:rFonts w:cs="Arial"/>
                <w:szCs w:val="20"/>
              </w:rPr>
              <w:t>: 3 to 10 U/L</w:t>
            </w:r>
          </w:p>
          <w:p w14:paraId="6F6F5B73" w14:textId="676AD30C" w:rsidR="00E15C16" w:rsidRDefault="00E15C16" w:rsidP="0039587D">
            <w:pPr>
              <w:rPr>
                <w:rFonts w:cs="Arial"/>
                <w:szCs w:val="20"/>
              </w:rPr>
            </w:pPr>
            <w:r w:rsidRPr="004139C7">
              <w:rPr>
                <w:rFonts w:cs="Arial"/>
                <w:b/>
                <w:szCs w:val="20"/>
              </w:rPr>
              <w:t>15 Days to &lt; 13 Weeks</w:t>
            </w:r>
            <w:r>
              <w:rPr>
                <w:rFonts w:cs="Arial"/>
                <w:szCs w:val="20"/>
              </w:rPr>
              <w:t>:</w:t>
            </w:r>
            <w:r w:rsidR="004139C7">
              <w:rPr>
                <w:rFonts w:cs="Arial"/>
                <w:szCs w:val="20"/>
              </w:rPr>
              <w:t xml:space="preserve"> 2 to </w:t>
            </w:r>
            <w:r>
              <w:rPr>
                <w:rFonts w:cs="Arial"/>
                <w:szCs w:val="20"/>
              </w:rPr>
              <w:t>22 U/L</w:t>
            </w:r>
            <w:r w:rsidRPr="00E15C16">
              <w:rPr>
                <w:rFonts w:cs="Arial"/>
                <w:szCs w:val="20"/>
              </w:rPr>
              <w:t xml:space="preserve"> </w:t>
            </w:r>
          </w:p>
          <w:p w14:paraId="0A487F9F" w14:textId="3E9F2858" w:rsidR="00E15C16" w:rsidRDefault="004139C7" w:rsidP="0039587D">
            <w:pPr>
              <w:rPr>
                <w:rFonts w:cs="Arial"/>
                <w:szCs w:val="20"/>
              </w:rPr>
            </w:pPr>
            <w:r w:rsidRPr="004139C7">
              <w:rPr>
                <w:rFonts w:cs="Arial"/>
                <w:b/>
                <w:szCs w:val="20"/>
              </w:rPr>
              <w:t>13 Weeks to &lt; 1 Year</w:t>
            </w:r>
            <w:r>
              <w:rPr>
                <w:rFonts w:cs="Arial"/>
                <w:szCs w:val="20"/>
              </w:rPr>
              <w:t xml:space="preserve">: 3 to </w:t>
            </w:r>
            <w:r w:rsidR="00E15C16">
              <w:rPr>
                <w:rFonts w:cs="Arial"/>
                <w:szCs w:val="20"/>
              </w:rPr>
              <w:t>50</w:t>
            </w:r>
            <w:r w:rsidR="00E15C16" w:rsidRPr="00E15C16">
              <w:rPr>
                <w:rFonts w:cs="Arial"/>
                <w:szCs w:val="20"/>
              </w:rPr>
              <w:t xml:space="preserve"> </w:t>
            </w:r>
            <w:r w:rsidR="00E15C16">
              <w:rPr>
                <w:rFonts w:cs="Arial"/>
                <w:szCs w:val="20"/>
              </w:rPr>
              <w:t>U/L</w:t>
            </w:r>
          </w:p>
          <w:p w14:paraId="3FE5375F" w14:textId="540B28A8" w:rsidR="00E15C16" w:rsidRDefault="004139C7" w:rsidP="0039587D">
            <w:pPr>
              <w:rPr>
                <w:rFonts w:cs="Arial"/>
                <w:szCs w:val="20"/>
              </w:rPr>
            </w:pPr>
            <w:r w:rsidRPr="004139C7">
              <w:rPr>
                <w:rFonts w:cs="Arial"/>
                <w:b/>
                <w:szCs w:val="20"/>
              </w:rPr>
              <w:t>1 year to &lt; 19 Years</w:t>
            </w:r>
            <w:r>
              <w:rPr>
                <w:rFonts w:cs="Arial"/>
                <w:szCs w:val="20"/>
              </w:rPr>
              <w:t xml:space="preserve">: 25 to </w:t>
            </w:r>
            <w:r w:rsidR="00E15C16">
              <w:rPr>
                <w:rFonts w:cs="Arial"/>
                <w:szCs w:val="20"/>
              </w:rPr>
              <w:t>101 U/L</w:t>
            </w:r>
            <w:r w:rsidR="00E15C16" w:rsidRPr="00E15C16">
              <w:rPr>
                <w:rFonts w:cs="Arial"/>
                <w:szCs w:val="20"/>
              </w:rPr>
              <w:t xml:space="preserve"> </w:t>
            </w:r>
          </w:p>
          <w:p w14:paraId="66EDD9AF" w14:textId="4B9F87AC" w:rsidR="00E15C16" w:rsidRDefault="00E15C16" w:rsidP="0039587D">
            <w:pPr>
              <w:rPr>
                <w:rFonts w:cs="Arial"/>
                <w:szCs w:val="20"/>
              </w:rPr>
            </w:pPr>
            <w:r w:rsidRPr="004139C7">
              <w:rPr>
                <w:rFonts w:cs="Arial"/>
                <w:b/>
                <w:szCs w:val="20"/>
              </w:rPr>
              <w:t>19 years to 69 years</w:t>
            </w:r>
            <w:r>
              <w:rPr>
                <w:rFonts w:cs="Arial"/>
                <w:szCs w:val="20"/>
              </w:rPr>
              <w:t>: 25 to 125</w:t>
            </w:r>
            <w:r w:rsidRPr="00E15C16">
              <w:rPr>
                <w:rFonts w:cs="Arial"/>
                <w:szCs w:val="20"/>
              </w:rPr>
              <w:t xml:space="preserve"> </w:t>
            </w:r>
            <w:r>
              <w:rPr>
                <w:rFonts w:cs="Arial"/>
                <w:szCs w:val="20"/>
              </w:rPr>
              <w:t>U/L</w:t>
            </w:r>
          </w:p>
          <w:p w14:paraId="2F060E97" w14:textId="77777777" w:rsidR="0039587D" w:rsidRDefault="004139C7" w:rsidP="0039587D">
            <w:pPr>
              <w:rPr>
                <w:rFonts w:cs="Arial"/>
                <w:szCs w:val="20"/>
              </w:rPr>
            </w:pPr>
            <w:r>
              <w:rPr>
                <w:rFonts w:cs="Arial"/>
                <w:b/>
                <w:szCs w:val="20"/>
              </w:rPr>
              <w:t>70 years+</w:t>
            </w:r>
            <w:r>
              <w:rPr>
                <w:rFonts w:cs="Arial"/>
                <w:szCs w:val="20"/>
              </w:rPr>
              <w:t xml:space="preserve">: 20 to </w:t>
            </w:r>
            <w:r w:rsidR="00E15C16" w:rsidRPr="00E15C16">
              <w:rPr>
                <w:rFonts w:cs="Arial"/>
                <w:szCs w:val="20"/>
              </w:rPr>
              <w:t>160</w:t>
            </w:r>
            <w:r>
              <w:rPr>
                <w:rFonts w:cs="Arial"/>
                <w:szCs w:val="20"/>
              </w:rPr>
              <w:t xml:space="preserve"> U/L</w:t>
            </w:r>
          </w:p>
          <w:p w14:paraId="5CD00018" w14:textId="02E8871E" w:rsidR="004139C7" w:rsidRPr="00DC7421" w:rsidRDefault="004139C7" w:rsidP="0039587D">
            <w:pPr>
              <w:rPr>
                <w:rFonts w:cs="Arial"/>
                <w:szCs w:val="20"/>
              </w:rPr>
            </w:pPr>
          </w:p>
        </w:tc>
      </w:tr>
      <w:tr w:rsidR="00E3253B" w14:paraId="5CD0001C" w14:textId="77777777" w:rsidTr="000C4A76">
        <w:trPr>
          <w:trHeight w:val="558"/>
          <w:tblHeader/>
        </w:trPr>
        <w:tc>
          <w:tcPr>
            <w:tcW w:w="1782"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78" w:type="dxa"/>
            <w:gridSpan w:val="4"/>
            <w:tcBorders>
              <w:top w:val="single" w:sz="18" w:space="0" w:color="BFBFBF"/>
              <w:left w:val="nil"/>
              <w:bottom w:val="single" w:sz="18" w:space="0" w:color="BFBFBF"/>
              <w:right w:val="nil"/>
            </w:tcBorders>
          </w:tcPr>
          <w:p w14:paraId="5CD0001B" w14:textId="01E5DF66" w:rsidR="00E3253B" w:rsidRPr="00DC7421" w:rsidRDefault="00E15C16"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0C4A76">
        <w:trPr>
          <w:tblHeader/>
        </w:trPr>
        <w:tc>
          <w:tcPr>
            <w:tcW w:w="1782"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78" w:type="dxa"/>
            <w:gridSpan w:val="4"/>
            <w:tcBorders>
              <w:top w:val="single" w:sz="18" w:space="0" w:color="BFBFBF"/>
              <w:left w:val="nil"/>
              <w:bottom w:val="single" w:sz="18" w:space="0" w:color="BFBFBF"/>
              <w:right w:val="nil"/>
            </w:tcBorders>
          </w:tcPr>
          <w:p w14:paraId="7E5C1D2F" w14:textId="77777777" w:rsidR="00DC7421" w:rsidRDefault="00D92EC5" w:rsidP="00E47DE5">
            <w:pPr>
              <w:autoSpaceDE w:val="0"/>
              <w:autoSpaceDN w:val="0"/>
              <w:adjustRightInd w:val="0"/>
              <w:rPr>
                <w:rFonts w:cs="Arial"/>
                <w:bCs/>
                <w:szCs w:val="20"/>
              </w:rPr>
            </w:pPr>
            <w:r>
              <w:rPr>
                <w:noProof/>
              </w:rPr>
              <w:drawing>
                <wp:inline distT="0" distB="0" distL="0" distR="0" wp14:anchorId="058409E5" wp14:editId="357C5881">
                  <wp:extent cx="3295238" cy="22380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95238" cy="2238095"/>
                          </a:xfrm>
                          <a:prstGeom prst="rect">
                            <a:avLst/>
                          </a:prstGeom>
                        </pic:spPr>
                      </pic:pic>
                    </a:graphicData>
                  </a:graphic>
                </wp:inline>
              </w:drawing>
            </w:r>
          </w:p>
          <w:p w14:paraId="5CD00021" w14:textId="7FB9B33B" w:rsidR="00D92EC5" w:rsidRPr="00DC7421" w:rsidRDefault="00D92EC5" w:rsidP="00E47DE5">
            <w:pPr>
              <w:autoSpaceDE w:val="0"/>
              <w:autoSpaceDN w:val="0"/>
              <w:adjustRightInd w:val="0"/>
              <w:rPr>
                <w:rFonts w:cs="Arial"/>
                <w:bCs/>
                <w:szCs w:val="20"/>
              </w:rPr>
            </w:pPr>
            <w:r>
              <w:rPr>
                <w:rFonts w:cs="Arial"/>
                <w:bCs/>
                <w:szCs w:val="20"/>
              </w:rPr>
              <w:t>Note Bilirubin and Hemoglobin interferences.  See interferences section.</w:t>
            </w:r>
          </w:p>
        </w:tc>
      </w:tr>
      <w:tr w:rsidR="00F83DB0" w14:paraId="0A2A1650" w14:textId="77777777" w:rsidTr="000C4A76">
        <w:trPr>
          <w:trHeight w:val="3267"/>
          <w:tblHeader/>
        </w:trPr>
        <w:tc>
          <w:tcPr>
            <w:tcW w:w="1782"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78"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2EDEE503" w14:textId="77777777" w:rsidTr="005C0FCC">
              <w:tc>
                <w:tcPr>
                  <w:tcW w:w="9067" w:type="dxa"/>
                  <w:gridSpan w:val="2"/>
                </w:tcPr>
                <w:p w14:paraId="04C5AF33" w14:textId="77777777" w:rsidR="00F83DB0" w:rsidRPr="00EC40A2" w:rsidRDefault="00F83DB0" w:rsidP="00F83DB0">
                  <w:pPr>
                    <w:pStyle w:val="Header"/>
                    <w:tabs>
                      <w:tab w:val="clear" w:pos="4320"/>
                      <w:tab w:val="clear" w:pos="8640"/>
                    </w:tabs>
                    <w:rPr>
                      <w:rFonts w:cs="Arial"/>
                      <w:szCs w:val="20"/>
                    </w:rPr>
                  </w:pPr>
                  <w:r w:rsidRPr="00A062E1">
                    <w:rPr>
                      <w:rFonts w:cs="Arial"/>
                      <w:b/>
                      <w:bCs/>
                      <w:color w:val="7030A0"/>
                      <w:szCs w:val="20"/>
                    </w:rPr>
                    <w:t>Alinity c</w:t>
                  </w:r>
                  <w:r w:rsidRPr="00EC40A2">
                    <w:rPr>
                      <w:rFonts w:cs="Arial"/>
                      <w:b/>
                      <w:bCs/>
                      <w:szCs w:val="20"/>
                    </w:rPr>
                    <w:t>:</w:t>
                  </w:r>
                  <w:r w:rsidRPr="00EC40A2">
                    <w:rPr>
                      <w:rFonts w:cs="Arial"/>
                      <w:b/>
                      <w:bCs/>
                      <w:color w:val="5F497A"/>
                      <w:szCs w:val="20"/>
                    </w:rPr>
                    <w:t xml:space="preserve"> </w:t>
                  </w:r>
                </w:p>
              </w:tc>
            </w:tr>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3B4ACC7B" w:rsidR="00F83DB0" w:rsidRPr="00EC40A2" w:rsidRDefault="005266DF" w:rsidP="00F83DB0">
                  <w:pPr>
                    <w:autoSpaceDE w:val="0"/>
                    <w:autoSpaceDN w:val="0"/>
                    <w:adjustRightInd w:val="0"/>
                    <w:rPr>
                      <w:rFonts w:cs="Arial"/>
                      <w:szCs w:val="20"/>
                    </w:rPr>
                  </w:pPr>
                  <w:r>
                    <w:rPr>
                      <w:rFonts w:cs="Arial"/>
                      <w:szCs w:val="20"/>
                    </w:rPr>
                    <w:t>1:2</w:t>
                  </w:r>
                </w:p>
              </w:tc>
            </w:tr>
            <w:tr w:rsidR="005266DF" w:rsidRPr="00EC40A2" w14:paraId="4B91BF23" w14:textId="77777777" w:rsidTr="005C0FCC">
              <w:tc>
                <w:tcPr>
                  <w:tcW w:w="1867" w:type="dxa"/>
                </w:tcPr>
                <w:p w14:paraId="7B3C43FE" w14:textId="77777777" w:rsidR="005266DF" w:rsidRPr="00EC40A2" w:rsidRDefault="005266DF" w:rsidP="005266DF">
                  <w:pPr>
                    <w:rPr>
                      <w:rFonts w:cs="Arial"/>
                      <w:szCs w:val="20"/>
                    </w:rPr>
                  </w:pPr>
                  <w:r w:rsidRPr="00EC40A2">
                    <w:rPr>
                      <w:rFonts w:cs="Arial"/>
                      <w:szCs w:val="20"/>
                    </w:rPr>
                    <w:t>Maximum Manual Dilution:</w:t>
                  </w:r>
                </w:p>
              </w:tc>
              <w:tc>
                <w:tcPr>
                  <w:tcW w:w="7200" w:type="dxa"/>
                </w:tcPr>
                <w:p w14:paraId="5209586A" w14:textId="6EFA65DA" w:rsidR="005266DF" w:rsidRPr="00F728F9" w:rsidRDefault="00F728F9" w:rsidP="005266DF">
                  <w:pPr>
                    <w:autoSpaceDE w:val="0"/>
                    <w:autoSpaceDN w:val="0"/>
                    <w:adjustRightInd w:val="0"/>
                    <w:rPr>
                      <w:rFonts w:cs="Arial"/>
                      <w:szCs w:val="20"/>
                    </w:rPr>
                  </w:pPr>
                  <w:r>
                    <w:rPr>
                      <w:rFonts w:cs="Arial"/>
                      <w:szCs w:val="20"/>
                    </w:rPr>
                    <w:t>Do not manually dilute</w:t>
                  </w:r>
                </w:p>
              </w:tc>
            </w:tr>
            <w:tr w:rsidR="005266DF" w:rsidRPr="00EC40A2" w14:paraId="51336689" w14:textId="77777777" w:rsidTr="005C0FCC">
              <w:tc>
                <w:tcPr>
                  <w:tcW w:w="1867" w:type="dxa"/>
                </w:tcPr>
                <w:p w14:paraId="315E7962" w14:textId="77777777" w:rsidR="005266DF" w:rsidRPr="00EC40A2" w:rsidRDefault="005266DF" w:rsidP="005266DF">
                  <w:pPr>
                    <w:rPr>
                      <w:rFonts w:cs="Arial"/>
                      <w:szCs w:val="20"/>
                    </w:rPr>
                  </w:pPr>
                  <w:r w:rsidRPr="00EC40A2">
                    <w:rPr>
                      <w:rFonts w:cs="Arial"/>
                      <w:szCs w:val="20"/>
                    </w:rPr>
                    <w:t>Diluent:</w:t>
                  </w:r>
                </w:p>
              </w:tc>
              <w:tc>
                <w:tcPr>
                  <w:tcW w:w="7200" w:type="dxa"/>
                </w:tcPr>
                <w:p w14:paraId="10636C03" w14:textId="42CF2EB3" w:rsidR="005266DF" w:rsidRPr="00EC40A2" w:rsidRDefault="00766DA9" w:rsidP="005266DF">
                  <w:pPr>
                    <w:autoSpaceDE w:val="0"/>
                    <w:autoSpaceDN w:val="0"/>
                    <w:adjustRightInd w:val="0"/>
                    <w:rPr>
                      <w:rFonts w:cs="Arial"/>
                      <w:szCs w:val="20"/>
                    </w:rPr>
                  </w:pPr>
                  <w:r>
                    <w:rPr>
                      <w:rFonts w:cs="Arial"/>
                      <w:szCs w:val="20"/>
                    </w:rPr>
                    <w:t>Saline</w:t>
                  </w:r>
                </w:p>
              </w:tc>
            </w:tr>
            <w:tr w:rsidR="005266DF" w:rsidRPr="00EC40A2" w14:paraId="130A8B4A" w14:textId="77777777" w:rsidTr="005C0FCC">
              <w:tc>
                <w:tcPr>
                  <w:tcW w:w="1867" w:type="dxa"/>
                </w:tcPr>
                <w:p w14:paraId="3BF17F7E" w14:textId="77777777" w:rsidR="005266DF" w:rsidRPr="00EC40A2" w:rsidRDefault="005266DF" w:rsidP="005266DF">
                  <w:pPr>
                    <w:rPr>
                      <w:rFonts w:cs="Arial"/>
                      <w:szCs w:val="20"/>
                    </w:rPr>
                  </w:pPr>
                  <w:r w:rsidRPr="00EC40A2">
                    <w:rPr>
                      <w:rFonts w:cs="Arial"/>
                      <w:szCs w:val="20"/>
                    </w:rPr>
                    <w:t>Manual Dilution:</w:t>
                  </w:r>
                </w:p>
              </w:tc>
              <w:tc>
                <w:tcPr>
                  <w:tcW w:w="7200" w:type="dxa"/>
                </w:tcPr>
                <w:p w14:paraId="3AB4E9ED" w14:textId="77777777" w:rsidR="005266DF" w:rsidRPr="00EC40A2" w:rsidRDefault="005266DF" w:rsidP="005266DF">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5266DF" w:rsidRPr="00EC40A2" w:rsidRDefault="005266DF" w:rsidP="005266DF">
                  <w:pPr>
                    <w:autoSpaceDE w:val="0"/>
                    <w:autoSpaceDN w:val="0"/>
                    <w:adjustRightInd w:val="0"/>
                    <w:rPr>
                      <w:rFonts w:eastAsia="HelenPro-Regular" w:cs="Arial"/>
                      <w:szCs w:val="20"/>
                    </w:rPr>
                  </w:pPr>
                </w:p>
                <w:p w14:paraId="29DCB4A3" w14:textId="1B792FCD" w:rsidR="005266DF" w:rsidRPr="00EC40A2" w:rsidRDefault="005266DF" w:rsidP="00F728F9">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of </w:t>
                  </w:r>
                  <w:r w:rsidR="00F728F9">
                    <w:rPr>
                      <w:rFonts w:eastAsia="HelenPro-Regular" w:cs="Arial"/>
                      <w:szCs w:val="20"/>
                    </w:rPr>
                    <w:t>6,</w:t>
                  </w:r>
                  <w:r w:rsidRPr="00EC40A2">
                    <w:rPr>
                      <w:rFonts w:eastAsia="HelenPro-Regular" w:cs="Arial"/>
                      <w:szCs w:val="20"/>
                    </w:rPr>
                    <w:t xml:space="preserve">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0C4A76">
        <w:trPr>
          <w:tblHeader/>
        </w:trPr>
        <w:tc>
          <w:tcPr>
            <w:tcW w:w="1782" w:type="dxa"/>
            <w:tcBorders>
              <w:top w:val="nil"/>
              <w:left w:val="nil"/>
              <w:bottom w:val="nil"/>
              <w:right w:val="nil"/>
            </w:tcBorders>
          </w:tcPr>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78" w:type="dxa"/>
            <w:gridSpan w:val="4"/>
            <w:tcBorders>
              <w:top w:val="single" w:sz="18" w:space="0" w:color="BFBFBF"/>
              <w:left w:val="nil"/>
              <w:bottom w:val="single" w:sz="18" w:space="0" w:color="BFBFBF"/>
              <w:right w:val="nil"/>
            </w:tcBorders>
          </w:tcPr>
          <w:p w14:paraId="63C923BE" w14:textId="366D2AFB" w:rsidR="00EA580E" w:rsidRDefault="00EA580E" w:rsidP="00EA580E">
            <w:pPr>
              <w:rPr>
                <w:rFonts w:cs="Arial"/>
                <w:b/>
                <w:bCs/>
                <w:color w:val="7030A0"/>
                <w:szCs w:val="20"/>
              </w:rPr>
            </w:pPr>
            <w:r w:rsidRPr="00A062E1">
              <w:rPr>
                <w:rFonts w:cs="Arial"/>
                <w:b/>
                <w:bCs/>
                <w:color w:val="7030A0"/>
                <w:szCs w:val="20"/>
              </w:rPr>
              <w:t>Alinity c</w:t>
            </w:r>
            <w:r>
              <w:rPr>
                <w:rFonts w:cs="Arial"/>
                <w:b/>
                <w:bCs/>
                <w:color w:val="7030A0"/>
                <w:szCs w:val="20"/>
              </w:rPr>
              <w:t>:</w:t>
            </w:r>
          </w:p>
          <w:p w14:paraId="7EEC7ABE" w14:textId="410C0DA1"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F728F9">
              <w:rPr>
                <w:rFonts w:cs="Arial"/>
                <w:szCs w:val="20"/>
              </w:rPr>
              <w:t>6</w:t>
            </w:r>
            <w:r w:rsidR="00E47DE5">
              <w:rPr>
                <w:rFonts w:cs="Arial"/>
                <w:szCs w:val="20"/>
              </w:rPr>
              <w:t xml:space="preserve"> </w:t>
            </w:r>
            <w:r>
              <w:rPr>
                <w:rFonts w:cs="Arial"/>
                <w:szCs w:val="20"/>
              </w:rPr>
              <w:t xml:space="preserve">and </w:t>
            </w:r>
            <w:r w:rsidR="00F728F9">
              <w:rPr>
                <w:rFonts w:cs="Arial"/>
                <w:szCs w:val="20"/>
              </w:rPr>
              <w:t>6000</w:t>
            </w:r>
            <w:r w:rsidR="00E47DE5" w:rsidRPr="00DC7421">
              <w:rPr>
                <w:rFonts w:cs="Arial"/>
                <w:szCs w:val="20"/>
              </w:rPr>
              <w:t xml:space="preserve"> </w:t>
            </w:r>
            <w:r w:rsidRPr="00DC7421">
              <w:rPr>
                <w:rFonts w:cs="Arial"/>
                <w:szCs w:val="20"/>
              </w:rPr>
              <w:t>without error messages are released</w:t>
            </w:r>
          </w:p>
          <w:p w14:paraId="512DB6C5" w14:textId="74E09E46" w:rsidR="00F84C8E" w:rsidRPr="00DC7421" w:rsidRDefault="00F84C8E" w:rsidP="00F84C8E">
            <w:pPr>
              <w:numPr>
                <w:ilvl w:val="0"/>
                <w:numId w:val="40"/>
              </w:numPr>
              <w:rPr>
                <w:rFonts w:cs="Arial"/>
                <w:szCs w:val="20"/>
              </w:rPr>
            </w:pPr>
            <w:r>
              <w:rPr>
                <w:rFonts w:cs="Arial"/>
                <w:szCs w:val="20"/>
              </w:rPr>
              <w:t xml:space="preserve">Results below </w:t>
            </w:r>
            <w:r w:rsidR="00F728F9">
              <w:rPr>
                <w:rFonts w:cs="Arial"/>
                <w:szCs w:val="20"/>
              </w:rPr>
              <w:t>6</w:t>
            </w:r>
            <w:r w:rsidR="00E47DE5">
              <w:rPr>
                <w:rFonts w:cs="Arial"/>
                <w:szCs w:val="20"/>
              </w:rPr>
              <w:t xml:space="preserve"> </w:t>
            </w:r>
            <w:r>
              <w:rPr>
                <w:rFonts w:cs="Arial"/>
                <w:szCs w:val="20"/>
              </w:rPr>
              <w:t>without e</w:t>
            </w:r>
            <w:r w:rsidR="00F728F9">
              <w:rPr>
                <w:rFonts w:cs="Arial"/>
                <w:szCs w:val="20"/>
              </w:rPr>
              <w:t>rror messages are reported as &lt; 6 U/L</w:t>
            </w:r>
            <w:r>
              <w:rPr>
                <w:rFonts w:cs="Arial"/>
                <w:szCs w:val="20"/>
              </w:rPr>
              <w:t>.</w:t>
            </w:r>
          </w:p>
          <w:p w14:paraId="61C98532" w14:textId="5B3BB44A" w:rsidR="00F84C8E" w:rsidRDefault="00F84C8E" w:rsidP="00F84C8E">
            <w:pPr>
              <w:numPr>
                <w:ilvl w:val="0"/>
                <w:numId w:val="40"/>
              </w:numPr>
              <w:rPr>
                <w:rFonts w:cs="Arial"/>
                <w:szCs w:val="20"/>
              </w:rPr>
            </w:pPr>
            <w:r>
              <w:rPr>
                <w:rFonts w:cs="Arial"/>
                <w:szCs w:val="20"/>
              </w:rPr>
              <w:t>Results &gt;</w:t>
            </w:r>
            <w:r w:rsidR="00F728F9">
              <w:rPr>
                <w:rFonts w:cs="Arial"/>
                <w:szCs w:val="20"/>
              </w:rPr>
              <w:t xml:space="preserve"> 6000</w:t>
            </w:r>
            <w:r w:rsidR="00E47DE5">
              <w:rPr>
                <w:rFonts w:cs="Arial"/>
                <w:szCs w:val="20"/>
              </w:rPr>
              <w:t xml:space="preserve"> </w:t>
            </w:r>
            <w:r>
              <w:rPr>
                <w:rFonts w:cs="Arial"/>
                <w:szCs w:val="20"/>
              </w:rPr>
              <w:t xml:space="preserve">should be diluted using the onboard automated </w:t>
            </w:r>
            <w:r w:rsidR="00F728F9">
              <w:rPr>
                <w:rFonts w:cs="Arial"/>
                <w:szCs w:val="20"/>
              </w:rPr>
              <w:t>1:2 dilution</w:t>
            </w:r>
            <w:r>
              <w:rPr>
                <w:rFonts w:cs="Arial"/>
                <w:szCs w:val="20"/>
              </w:rPr>
              <w:t>.  Release results without error messages following this dilution.</w:t>
            </w:r>
          </w:p>
          <w:p w14:paraId="5CD0003C" w14:textId="555A253E" w:rsidR="00F83DB0" w:rsidRPr="000C4A76" w:rsidRDefault="00F84C8E" w:rsidP="000C4A76">
            <w:pPr>
              <w:numPr>
                <w:ilvl w:val="0"/>
                <w:numId w:val="40"/>
              </w:numPr>
              <w:rPr>
                <w:rFonts w:cs="Arial"/>
                <w:szCs w:val="20"/>
              </w:rPr>
            </w:pPr>
            <w:r>
              <w:rPr>
                <w:rFonts w:cs="Arial"/>
                <w:szCs w:val="20"/>
              </w:rPr>
              <w:t xml:space="preserve">Results &gt; </w:t>
            </w:r>
            <w:r w:rsidR="00F728F9">
              <w:rPr>
                <w:rFonts w:cs="Arial"/>
                <w:szCs w:val="20"/>
              </w:rPr>
              <w:t>12000</w:t>
            </w:r>
            <w:r w:rsidR="00E47DE5">
              <w:rPr>
                <w:rFonts w:cs="Arial"/>
                <w:szCs w:val="20"/>
              </w:rPr>
              <w:t xml:space="preserve"> </w:t>
            </w:r>
            <w:r w:rsidRPr="00A166AA">
              <w:rPr>
                <w:rFonts w:cs="Arial"/>
                <w:szCs w:val="20"/>
              </w:rPr>
              <w:t>following automate</w:t>
            </w:r>
            <w:r w:rsidR="00F728F9">
              <w:rPr>
                <w:rFonts w:cs="Arial"/>
                <w:szCs w:val="20"/>
              </w:rPr>
              <w:t>d dilution are reported as &gt; 12000</w:t>
            </w:r>
            <w:r w:rsidRPr="00A166AA">
              <w:rPr>
                <w:rFonts w:cs="Arial"/>
                <w:szCs w:val="20"/>
              </w:rPr>
              <w:t>.</w:t>
            </w:r>
          </w:p>
        </w:tc>
      </w:tr>
      <w:tr w:rsidR="00E3253B" w14:paraId="5CD00040" w14:textId="77777777" w:rsidTr="000C4A76">
        <w:trPr>
          <w:trHeight w:val="738"/>
          <w:tblHeader/>
        </w:trPr>
        <w:tc>
          <w:tcPr>
            <w:tcW w:w="1782"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78"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0C4A76">
        <w:trPr>
          <w:tblHeader/>
        </w:trPr>
        <w:tc>
          <w:tcPr>
            <w:tcW w:w="1782"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78" w:type="dxa"/>
            <w:gridSpan w:val="4"/>
            <w:tcBorders>
              <w:top w:val="single" w:sz="18" w:space="0" w:color="BFBFBF"/>
              <w:left w:val="nil"/>
              <w:bottom w:val="single" w:sz="4" w:space="0" w:color="auto"/>
              <w:right w:val="nil"/>
            </w:tcBorders>
          </w:tcPr>
          <w:p w14:paraId="7E538FE4" w14:textId="77777777" w:rsidR="00E3253B" w:rsidRDefault="00F728F9" w:rsidP="00B415C8">
            <w:pPr>
              <w:numPr>
                <w:ilvl w:val="0"/>
                <w:numId w:val="33"/>
              </w:numPr>
              <w:rPr>
                <w:rFonts w:cs="Arial"/>
                <w:szCs w:val="20"/>
              </w:rPr>
            </w:pPr>
            <w:r>
              <w:rPr>
                <w:rFonts w:cs="Arial"/>
                <w:szCs w:val="20"/>
              </w:rPr>
              <w:t>Abbott Alinity c Amylase Reagent Kit Instructions for Use, Abbott Diagnostics Division, Abbott Park IL, USA.  March 2018</w:t>
            </w:r>
          </w:p>
          <w:p w14:paraId="0032AA95" w14:textId="77777777" w:rsidR="00F728F9" w:rsidRDefault="00F728F9" w:rsidP="00B415C8">
            <w:pPr>
              <w:numPr>
                <w:ilvl w:val="0"/>
                <w:numId w:val="33"/>
              </w:numPr>
              <w:rPr>
                <w:rFonts w:cs="Arial"/>
                <w:szCs w:val="20"/>
              </w:rPr>
            </w:pPr>
            <w:r>
              <w:rPr>
                <w:rFonts w:cs="Arial"/>
                <w:szCs w:val="20"/>
              </w:rPr>
              <w:t xml:space="preserve">Bio-Rad </w:t>
            </w:r>
            <w:proofErr w:type="spellStart"/>
            <w:r>
              <w:rPr>
                <w:rFonts w:cs="Arial"/>
                <w:szCs w:val="20"/>
              </w:rPr>
              <w:t>Multiqual</w:t>
            </w:r>
            <w:proofErr w:type="spellEnd"/>
            <w:r>
              <w:rPr>
                <w:rFonts w:cs="Arial"/>
                <w:szCs w:val="20"/>
              </w:rPr>
              <w:t xml:space="preserve"> 1</w:t>
            </w:r>
            <w:proofErr w:type="gramStart"/>
            <w:r>
              <w:rPr>
                <w:rFonts w:cs="Arial"/>
                <w:szCs w:val="20"/>
              </w:rPr>
              <w:t>,2,3</w:t>
            </w:r>
            <w:proofErr w:type="gramEnd"/>
            <w:r>
              <w:rPr>
                <w:rFonts w:cs="Arial"/>
                <w:szCs w:val="20"/>
              </w:rPr>
              <w:t xml:space="preserve"> </w:t>
            </w:r>
            <w:proofErr w:type="spellStart"/>
            <w:r>
              <w:rPr>
                <w:rFonts w:cs="Arial"/>
                <w:szCs w:val="20"/>
              </w:rPr>
              <w:t>Unassayed</w:t>
            </w:r>
            <w:proofErr w:type="spellEnd"/>
            <w:r>
              <w:rPr>
                <w:rFonts w:cs="Arial"/>
                <w:szCs w:val="20"/>
              </w:rPr>
              <w:t xml:space="preserve"> Control Package Insert, BioRad Laboratories, USA.  </w:t>
            </w:r>
          </w:p>
          <w:p w14:paraId="7A333CF7" w14:textId="77777777" w:rsidR="00F728F9" w:rsidRDefault="00E33AEA" w:rsidP="00F728F9">
            <w:pPr>
              <w:numPr>
                <w:ilvl w:val="0"/>
                <w:numId w:val="33"/>
              </w:numPr>
              <w:rPr>
                <w:rFonts w:cs="Arial"/>
                <w:szCs w:val="20"/>
              </w:rPr>
            </w:pPr>
            <w:hyperlink r:id="rId16" w:anchor="/" w:history="1">
              <w:r w:rsidR="00F728F9" w:rsidRPr="00F728F9">
                <w:rPr>
                  <w:rStyle w:val="Hyperlink"/>
                  <w:rFonts w:cs="Arial"/>
                  <w:szCs w:val="20"/>
                </w:rPr>
                <w:t>CALIPER reference range study</w:t>
              </w:r>
            </w:hyperlink>
            <w:r w:rsidR="00F728F9">
              <w:rPr>
                <w:rFonts w:cs="Arial"/>
                <w:szCs w:val="20"/>
              </w:rPr>
              <w:t>, Accessed 10/27/2020.</w:t>
            </w:r>
          </w:p>
          <w:p w14:paraId="5CD00046" w14:textId="2C775CE3" w:rsidR="00F728F9" w:rsidRPr="00DC7421" w:rsidRDefault="00F728F9" w:rsidP="00F728F9">
            <w:pPr>
              <w:ind w:left="360"/>
              <w:rPr>
                <w:rFonts w:cs="Arial"/>
                <w:szCs w:val="20"/>
              </w:rPr>
            </w:pPr>
          </w:p>
        </w:tc>
      </w:tr>
      <w:tr w:rsidR="00F50200" w14:paraId="5CD0004D" w14:textId="77777777" w:rsidTr="000C4A76">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82" w:type="dxa"/>
            <w:vMerge w:val="restart"/>
            <w:tcBorders>
              <w:left w:val="nil"/>
              <w:right w:val="single" w:sz="4" w:space="0" w:color="auto"/>
            </w:tcBorders>
          </w:tcPr>
          <w:p w14:paraId="5CD00048" w14:textId="1AB6BB08" w:rsidR="00F50200" w:rsidRPr="00C00B65" w:rsidRDefault="00F50200">
            <w:pPr>
              <w:rPr>
                <w:rFonts w:cs="Arial"/>
                <w:b/>
                <w:bCs/>
                <w:color w:val="3366FF"/>
                <w:szCs w:val="20"/>
              </w:rPr>
            </w:pPr>
            <w:r w:rsidRPr="00C00B65">
              <w:rPr>
                <w:rFonts w:cs="Arial"/>
                <w:b/>
                <w:bCs/>
                <w:color w:val="0000FF"/>
                <w:szCs w:val="20"/>
              </w:rPr>
              <w:t>Historical Record</w:t>
            </w:r>
          </w:p>
        </w:tc>
        <w:tc>
          <w:tcPr>
            <w:tcW w:w="1008"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0C4A7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82" w:type="dxa"/>
            <w:vMerge/>
            <w:tcBorders>
              <w:left w:val="nil"/>
              <w:right w:val="single" w:sz="4" w:space="0" w:color="auto"/>
            </w:tcBorders>
          </w:tcPr>
          <w:p w14:paraId="5CD0004E" w14:textId="77777777" w:rsidR="00F50200" w:rsidRDefault="00F50200">
            <w:pPr>
              <w:rPr>
                <w:rFonts w:cs="Arial"/>
                <w:b/>
                <w:bCs/>
                <w:color w:val="3366FF"/>
              </w:rPr>
            </w:pPr>
          </w:p>
        </w:tc>
        <w:tc>
          <w:tcPr>
            <w:tcW w:w="1008"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6F31D993" w:rsidR="00F50200" w:rsidRPr="00DC7421" w:rsidRDefault="00F728F9">
            <w:pPr>
              <w:rPr>
                <w:rFonts w:cs="Arial"/>
                <w:iCs/>
                <w:szCs w:val="20"/>
              </w:rPr>
            </w:pPr>
            <w:r>
              <w:rPr>
                <w:rFonts w:cs="Arial"/>
                <w:iCs/>
                <w:szCs w:val="20"/>
              </w:rPr>
              <w:t xml:space="preserve">Erin Bartos, </w:t>
            </w:r>
            <w:r w:rsidR="00FA6C95">
              <w:rPr>
                <w:rFonts w:cs="Arial"/>
                <w:iCs/>
                <w:szCs w:val="20"/>
              </w:rPr>
              <w:t>Stephen Gripentrog</w:t>
            </w:r>
          </w:p>
        </w:tc>
        <w:tc>
          <w:tcPr>
            <w:tcW w:w="1530" w:type="dxa"/>
            <w:tcBorders>
              <w:top w:val="single" w:sz="4" w:space="0" w:color="auto"/>
              <w:left w:val="single" w:sz="4" w:space="0" w:color="auto"/>
              <w:bottom w:val="single" w:sz="4" w:space="0" w:color="auto"/>
              <w:right w:val="single" w:sz="4" w:space="0" w:color="auto"/>
            </w:tcBorders>
          </w:tcPr>
          <w:p w14:paraId="5CD00051" w14:textId="6674DB07" w:rsidR="00F50200" w:rsidRPr="00DC7421" w:rsidRDefault="00F728F9">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0C4A76">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82" w:type="dxa"/>
            <w:vMerge/>
            <w:tcBorders>
              <w:left w:val="nil"/>
              <w:right w:val="single" w:sz="4" w:space="0" w:color="auto"/>
            </w:tcBorders>
          </w:tcPr>
          <w:p w14:paraId="5CD00054" w14:textId="77777777" w:rsidR="00F50200" w:rsidRDefault="00F50200">
            <w:pPr>
              <w:rPr>
                <w:rFonts w:cs="Arial"/>
                <w:b/>
                <w:bCs/>
                <w:color w:val="3366FF"/>
              </w:rPr>
            </w:pPr>
          </w:p>
        </w:tc>
        <w:tc>
          <w:tcPr>
            <w:tcW w:w="1008"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54D006D3" w:rsidR="00F50200" w:rsidRPr="00F84C8E" w:rsidRDefault="00F50200">
            <w:pPr>
              <w:rPr>
                <w:rFonts w:cs="Arial"/>
                <w:iCs/>
                <w:szCs w:val="20"/>
              </w:rPr>
            </w:pPr>
          </w:p>
        </w:tc>
        <w:tc>
          <w:tcPr>
            <w:tcW w:w="1530" w:type="dxa"/>
            <w:tcBorders>
              <w:top w:val="single" w:sz="4" w:space="0" w:color="auto"/>
              <w:left w:val="single" w:sz="4" w:space="0" w:color="auto"/>
              <w:bottom w:val="single" w:sz="4" w:space="0" w:color="auto"/>
              <w:right w:val="single" w:sz="4" w:space="0" w:color="auto"/>
            </w:tcBorders>
          </w:tcPr>
          <w:p w14:paraId="5CD00057" w14:textId="39B44BE3" w:rsidR="00F50200" w:rsidRPr="00F84C8E"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8" w14:textId="4BA2B1CE" w:rsidR="00F50200" w:rsidRPr="00F84C8E" w:rsidRDefault="00F50200">
            <w:pPr>
              <w:rPr>
                <w:rFonts w:cs="Arial"/>
                <w:iCs/>
                <w:szCs w:val="20"/>
              </w:rPr>
            </w:pP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panose1 w:val="00000000000000000000"/>
    <w:charset w:val="00"/>
    <w:family w:val="swiss"/>
    <w:notTrueType/>
    <w:pitch w:val="default"/>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E33AEA">
      <w:rPr>
        <w:noProof/>
        <w:sz w:val="18"/>
      </w:rPr>
      <w:t>4</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E33AEA">
      <w:rPr>
        <w:noProof/>
        <w:sz w:val="18"/>
      </w:rPr>
      <w:t>4</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299E51E5"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E15C16">
      <w:rPr>
        <w:rFonts w:cs="Arial"/>
      </w:rPr>
      <w:t>6.091</w:t>
    </w:r>
    <w:r w:rsidR="00981A4A">
      <w:rPr>
        <w:rFonts w:cs="Arial"/>
      </w:rPr>
      <w:t xml:space="preserve"> </w:t>
    </w:r>
    <w:r w:rsidR="00961CC8">
      <w:rPr>
        <w:rFonts w:cs="Arial"/>
      </w:rPr>
      <w:t>Amylase</w:t>
    </w:r>
  </w:p>
  <w:p w14:paraId="5CD00060" w14:textId="05E9973F" w:rsidR="00B13C1A" w:rsidRDefault="00981A4A">
    <w:pPr>
      <w:ind w:left="-1260" w:right="-1260"/>
      <w:rPr>
        <w:rFonts w:cs="Arial"/>
      </w:rPr>
    </w:pPr>
    <w:r>
      <w:rPr>
        <w:rFonts w:cs="Arial"/>
      </w:rPr>
      <w:t xml:space="preserve">Version </w:t>
    </w:r>
    <w:r w:rsidR="00961CC8">
      <w:rPr>
        <w:rFonts w:cs="Arial"/>
      </w:rPr>
      <w:t>1</w:t>
    </w:r>
  </w:p>
  <w:p w14:paraId="5CD00061" w14:textId="39B885E6" w:rsidR="00B13C1A" w:rsidRDefault="00B13C1A">
    <w:pPr>
      <w:ind w:left="-1260" w:right="-1260"/>
      <w:rPr>
        <w:rFonts w:cs="Arial"/>
      </w:rPr>
    </w:pPr>
    <w:r>
      <w:rPr>
        <w:rFonts w:cs="Arial"/>
      </w:rPr>
      <w:t xml:space="preserve">Effective Date: </w:t>
    </w:r>
    <w:r w:rsidR="00E15C16">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6466BB"/>
    <w:multiLevelType w:val="hybridMultilevel"/>
    <w:tmpl w:val="B29A6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4298F"/>
    <w:multiLevelType w:val="hybridMultilevel"/>
    <w:tmpl w:val="EDF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05F30"/>
    <w:multiLevelType w:val="hybridMultilevel"/>
    <w:tmpl w:val="E706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5"/>
  </w:num>
  <w:num w:numId="3">
    <w:abstractNumId w:val="32"/>
  </w:num>
  <w:num w:numId="4">
    <w:abstractNumId w:val="37"/>
  </w:num>
  <w:num w:numId="5">
    <w:abstractNumId w:val="6"/>
  </w:num>
  <w:num w:numId="6">
    <w:abstractNumId w:val="11"/>
  </w:num>
  <w:num w:numId="7">
    <w:abstractNumId w:val="27"/>
  </w:num>
  <w:num w:numId="8">
    <w:abstractNumId w:val="22"/>
  </w:num>
  <w:num w:numId="9">
    <w:abstractNumId w:val="14"/>
  </w:num>
  <w:num w:numId="10">
    <w:abstractNumId w:val="3"/>
  </w:num>
  <w:num w:numId="11">
    <w:abstractNumId w:val="29"/>
  </w:num>
  <w:num w:numId="12">
    <w:abstractNumId w:val="9"/>
  </w:num>
  <w:num w:numId="13">
    <w:abstractNumId w:val="30"/>
  </w:num>
  <w:num w:numId="14">
    <w:abstractNumId w:val="39"/>
  </w:num>
  <w:num w:numId="15">
    <w:abstractNumId w:val="20"/>
  </w:num>
  <w:num w:numId="16">
    <w:abstractNumId w:val="1"/>
  </w:num>
  <w:num w:numId="17">
    <w:abstractNumId w:val="42"/>
  </w:num>
  <w:num w:numId="18">
    <w:abstractNumId w:val="12"/>
  </w:num>
  <w:num w:numId="19">
    <w:abstractNumId w:val="19"/>
  </w:num>
  <w:num w:numId="20">
    <w:abstractNumId w:val="26"/>
  </w:num>
  <w:num w:numId="21">
    <w:abstractNumId w:val="34"/>
  </w:num>
  <w:num w:numId="22">
    <w:abstractNumId w:val="40"/>
  </w:num>
  <w:num w:numId="23">
    <w:abstractNumId w:val="24"/>
  </w:num>
  <w:num w:numId="24">
    <w:abstractNumId w:val="7"/>
  </w:num>
  <w:num w:numId="25">
    <w:abstractNumId w:val="18"/>
  </w:num>
  <w:num w:numId="26">
    <w:abstractNumId w:val="13"/>
  </w:num>
  <w:num w:numId="27">
    <w:abstractNumId w:val="8"/>
  </w:num>
  <w:num w:numId="28">
    <w:abstractNumId w:val="23"/>
  </w:num>
  <w:num w:numId="29">
    <w:abstractNumId w:val="33"/>
  </w:num>
  <w:num w:numId="30">
    <w:abstractNumId w:val="31"/>
  </w:num>
  <w:num w:numId="31">
    <w:abstractNumId w:val="21"/>
  </w:num>
  <w:num w:numId="32">
    <w:abstractNumId w:val="17"/>
  </w:num>
  <w:num w:numId="33">
    <w:abstractNumId w:val="5"/>
  </w:num>
  <w:num w:numId="34">
    <w:abstractNumId w:val="38"/>
  </w:num>
  <w:num w:numId="35">
    <w:abstractNumId w:val="36"/>
  </w:num>
  <w:num w:numId="36">
    <w:abstractNumId w:val="16"/>
  </w:num>
  <w:num w:numId="37">
    <w:abstractNumId w:val="41"/>
  </w:num>
  <w:num w:numId="38">
    <w:abstractNumId w:val="0"/>
  </w:num>
  <w:num w:numId="39">
    <w:abstractNumId w:val="10"/>
  </w:num>
  <w:num w:numId="40">
    <w:abstractNumId w:val="25"/>
  </w:num>
  <w:num w:numId="41">
    <w:abstractNumId w:val="2"/>
  </w:num>
  <w:num w:numId="42">
    <w:abstractNumId w:val="3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9581C"/>
    <w:rsid w:val="000A3E5A"/>
    <w:rsid w:val="000C4A76"/>
    <w:rsid w:val="000E63E3"/>
    <w:rsid w:val="001102B2"/>
    <w:rsid w:val="001241E4"/>
    <w:rsid w:val="001B58ED"/>
    <w:rsid w:val="001C1CFA"/>
    <w:rsid w:val="001C641E"/>
    <w:rsid w:val="001D1786"/>
    <w:rsid w:val="001E2E9A"/>
    <w:rsid w:val="001F5D12"/>
    <w:rsid w:val="00212C31"/>
    <w:rsid w:val="00233AA0"/>
    <w:rsid w:val="002435F1"/>
    <w:rsid w:val="002462C0"/>
    <w:rsid w:val="00250A09"/>
    <w:rsid w:val="00252F1D"/>
    <w:rsid w:val="002A3FA3"/>
    <w:rsid w:val="002C12BF"/>
    <w:rsid w:val="002C29CB"/>
    <w:rsid w:val="002C3006"/>
    <w:rsid w:val="002E718D"/>
    <w:rsid w:val="002F5C68"/>
    <w:rsid w:val="002F5F18"/>
    <w:rsid w:val="0030640D"/>
    <w:rsid w:val="003100D1"/>
    <w:rsid w:val="003145F4"/>
    <w:rsid w:val="00331BF5"/>
    <w:rsid w:val="00370B0F"/>
    <w:rsid w:val="00374D6E"/>
    <w:rsid w:val="00387FF5"/>
    <w:rsid w:val="0039587D"/>
    <w:rsid w:val="003A65AD"/>
    <w:rsid w:val="003C2130"/>
    <w:rsid w:val="003D5BD7"/>
    <w:rsid w:val="003D713F"/>
    <w:rsid w:val="003E0A08"/>
    <w:rsid w:val="003E168B"/>
    <w:rsid w:val="004139C7"/>
    <w:rsid w:val="00420763"/>
    <w:rsid w:val="0042435C"/>
    <w:rsid w:val="00440E37"/>
    <w:rsid w:val="004735E9"/>
    <w:rsid w:val="00486653"/>
    <w:rsid w:val="004A698D"/>
    <w:rsid w:val="004B5D63"/>
    <w:rsid w:val="004C14CE"/>
    <w:rsid w:val="004C6A64"/>
    <w:rsid w:val="00504F3B"/>
    <w:rsid w:val="005266DF"/>
    <w:rsid w:val="005665A7"/>
    <w:rsid w:val="005A7373"/>
    <w:rsid w:val="005B66A7"/>
    <w:rsid w:val="005C6F36"/>
    <w:rsid w:val="005D5095"/>
    <w:rsid w:val="006110F0"/>
    <w:rsid w:val="006200C0"/>
    <w:rsid w:val="00646E63"/>
    <w:rsid w:val="00655B61"/>
    <w:rsid w:val="006576A2"/>
    <w:rsid w:val="00685D61"/>
    <w:rsid w:val="00693888"/>
    <w:rsid w:val="006A26B2"/>
    <w:rsid w:val="006A2770"/>
    <w:rsid w:val="006A41B1"/>
    <w:rsid w:val="006A5A84"/>
    <w:rsid w:val="006C7814"/>
    <w:rsid w:val="007132A9"/>
    <w:rsid w:val="00747868"/>
    <w:rsid w:val="00766DA9"/>
    <w:rsid w:val="007B0F65"/>
    <w:rsid w:val="007B1809"/>
    <w:rsid w:val="007B2A3E"/>
    <w:rsid w:val="007B410A"/>
    <w:rsid w:val="007F5B07"/>
    <w:rsid w:val="008044BA"/>
    <w:rsid w:val="0081197E"/>
    <w:rsid w:val="00824C10"/>
    <w:rsid w:val="008A71A5"/>
    <w:rsid w:val="008D3369"/>
    <w:rsid w:val="008D7EF5"/>
    <w:rsid w:val="008F2C66"/>
    <w:rsid w:val="009073CC"/>
    <w:rsid w:val="00914DEC"/>
    <w:rsid w:val="00924069"/>
    <w:rsid w:val="00944DFA"/>
    <w:rsid w:val="00950E15"/>
    <w:rsid w:val="00961CC8"/>
    <w:rsid w:val="00981A4A"/>
    <w:rsid w:val="00984816"/>
    <w:rsid w:val="009A1A3D"/>
    <w:rsid w:val="009C08FA"/>
    <w:rsid w:val="009C4BDA"/>
    <w:rsid w:val="009D085B"/>
    <w:rsid w:val="009F5F31"/>
    <w:rsid w:val="00A002D3"/>
    <w:rsid w:val="00A062E1"/>
    <w:rsid w:val="00A166AA"/>
    <w:rsid w:val="00A23FFE"/>
    <w:rsid w:val="00A32948"/>
    <w:rsid w:val="00A34EE2"/>
    <w:rsid w:val="00A542AC"/>
    <w:rsid w:val="00A64AE8"/>
    <w:rsid w:val="00A776A5"/>
    <w:rsid w:val="00A86097"/>
    <w:rsid w:val="00A94DDD"/>
    <w:rsid w:val="00A9779B"/>
    <w:rsid w:val="00AA5656"/>
    <w:rsid w:val="00AB7F16"/>
    <w:rsid w:val="00AF1198"/>
    <w:rsid w:val="00AF56A8"/>
    <w:rsid w:val="00B01603"/>
    <w:rsid w:val="00B067D8"/>
    <w:rsid w:val="00B109AB"/>
    <w:rsid w:val="00B11633"/>
    <w:rsid w:val="00B13C1A"/>
    <w:rsid w:val="00B2749D"/>
    <w:rsid w:val="00B415C8"/>
    <w:rsid w:val="00B542BB"/>
    <w:rsid w:val="00BB3F98"/>
    <w:rsid w:val="00BC1DCC"/>
    <w:rsid w:val="00BD0AE4"/>
    <w:rsid w:val="00BD0E0F"/>
    <w:rsid w:val="00BD3CED"/>
    <w:rsid w:val="00C00B65"/>
    <w:rsid w:val="00C030CF"/>
    <w:rsid w:val="00C94DDB"/>
    <w:rsid w:val="00CE16FB"/>
    <w:rsid w:val="00CF08A6"/>
    <w:rsid w:val="00D271B1"/>
    <w:rsid w:val="00D302B9"/>
    <w:rsid w:val="00D63C07"/>
    <w:rsid w:val="00D75850"/>
    <w:rsid w:val="00D92EC5"/>
    <w:rsid w:val="00D94FE9"/>
    <w:rsid w:val="00D955F6"/>
    <w:rsid w:val="00DC24D6"/>
    <w:rsid w:val="00DC7421"/>
    <w:rsid w:val="00DF5549"/>
    <w:rsid w:val="00E049CF"/>
    <w:rsid w:val="00E15C16"/>
    <w:rsid w:val="00E246BA"/>
    <w:rsid w:val="00E3253B"/>
    <w:rsid w:val="00E33AEA"/>
    <w:rsid w:val="00E47DE5"/>
    <w:rsid w:val="00E55C7B"/>
    <w:rsid w:val="00E93074"/>
    <w:rsid w:val="00E93347"/>
    <w:rsid w:val="00EA2B3F"/>
    <w:rsid w:val="00EA580E"/>
    <w:rsid w:val="00EB4B6C"/>
    <w:rsid w:val="00EE145B"/>
    <w:rsid w:val="00EF1741"/>
    <w:rsid w:val="00F0405E"/>
    <w:rsid w:val="00F07C1A"/>
    <w:rsid w:val="00F236AF"/>
    <w:rsid w:val="00F50200"/>
    <w:rsid w:val="00F52BBA"/>
    <w:rsid w:val="00F6060A"/>
    <w:rsid w:val="00F63DA5"/>
    <w:rsid w:val="00F728F9"/>
    <w:rsid w:val="00F83DB0"/>
    <w:rsid w:val="00F84C8E"/>
    <w:rsid w:val="00FA6C95"/>
    <w:rsid w:val="00FC1FB6"/>
    <w:rsid w:val="00FF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88E5-01B6-45A3-B360-8B0A61C6A90A}">
  <ds:schemaRefs>
    <ds:schemaRef ds:uri="http://purl.org/dc/elements/1.1/"/>
    <ds:schemaRef ds:uri="http://schemas.microsoft.com/sharepoint/v3"/>
    <ds:schemaRef ds:uri="http://schemas.microsoft.com/office/2006/documentManagement/types"/>
    <ds:schemaRef ds:uri="http://schemas.microsoft.com/office/2006/metadata/properties"/>
    <ds:schemaRef ds:uri="199f0838-75a6-4f0c-9be1-f2c07140bccc"/>
    <ds:schemaRef ds:uri="http://purl.org/dc/terms/"/>
    <ds:schemaRef ds:uri="c1848e11-9cf6-4ce4-877e-6837d2c2fa23"/>
    <ds:schemaRef ds:uri="http://schemas.microsoft.com/office/infopath/2007/PartnerControls"/>
    <ds:schemaRef ds:uri="http://schemas.microsoft.com/sharepoint/v3/field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F1CF9DA7-0D69-480C-81F9-20257C0C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1329</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9097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Stephen Gripentrog</cp:lastModifiedBy>
  <cp:revision>4</cp:revision>
  <cp:lastPrinted>2011-06-16T20:29:00Z</cp:lastPrinted>
  <dcterms:created xsi:type="dcterms:W3CDTF">2020-10-27T14:07:00Z</dcterms:created>
  <dcterms:modified xsi:type="dcterms:W3CDTF">2020-12-20T13:55:00Z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