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423BDE83" w:rsidR="006C5661" w:rsidRDefault="00A2407B">
            <w:pPr>
              <w:rPr>
                <w:rFonts w:cs="Arial"/>
                <w:b/>
                <w:bCs/>
                <w:color w:val="0000FF"/>
              </w:rPr>
            </w:pPr>
            <w:r>
              <w:rPr>
                <w:rFonts w:cs="Arial"/>
                <w:b/>
                <w:bCs/>
                <w:color w:val="0000FF"/>
                <w:sz w:val="36"/>
              </w:rPr>
              <w:t>Uric Acid</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5554A44A" w:rsidR="00E3253B" w:rsidRDefault="00A34EE2" w:rsidP="0018384A">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18384A">
              <w:rPr>
                <w:rStyle w:val="A7"/>
                <w:rFonts w:cs="Arial"/>
                <w:b w:val="0"/>
                <w:bCs w:val="0"/>
                <w:sz w:val="20"/>
                <w:szCs w:val="20"/>
              </w:rPr>
              <w:t>URIC ACID</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18384A" w:rsidRPr="0018384A">
              <w:rPr>
                <w:rStyle w:val="A7"/>
                <w:rFonts w:cs="Arial"/>
                <w:b w:val="0"/>
                <w:bCs w:val="0"/>
                <w:sz w:val="20"/>
                <w:szCs w:val="20"/>
              </w:rPr>
              <w:t>The Alinity c Uric Acid assay is used fo</w:t>
            </w:r>
            <w:r w:rsidR="0018384A">
              <w:rPr>
                <w:rStyle w:val="A7"/>
                <w:rFonts w:cs="Arial"/>
                <w:b w:val="0"/>
                <w:bCs w:val="0"/>
                <w:sz w:val="20"/>
                <w:szCs w:val="20"/>
              </w:rPr>
              <w:t xml:space="preserve">r the quantitation of uric acid </w:t>
            </w:r>
            <w:r w:rsidR="0018384A" w:rsidRPr="0018384A">
              <w:rPr>
                <w:rStyle w:val="A7"/>
                <w:rFonts w:cs="Arial"/>
                <w:b w:val="0"/>
                <w:bCs w:val="0"/>
                <w:sz w:val="20"/>
                <w:szCs w:val="20"/>
              </w:rPr>
              <w:t>in human serum, plasma, or urine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5556128C"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0EED620" w14:textId="0B2F7283" w:rsidR="00D75391" w:rsidRDefault="00A2407B" w:rsidP="00A2407B">
            <w:pPr>
              <w:pStyle w:val="Header"/>
              <w:rPr>
                <w:rFonts w:cs="Arial"/>
                <w:color w:val="000000"/>
                <w:szCs w:val="20"/>
              </w:rPr>
            </w:pPr>
            <w:r w:rsidRPr="00A2407B">
              <w:rPr>
                <w:rFonts w:cs="Arial"/>
                <w:color w:val="000000"/>
                <w:szCs w:val="20"/>
              </w:rPr>
              <w:t>The Uric Acid assay is a two-part rea</w:t>
            </w:r>
            <w:r>
              <w:rPr>
                <w:rFonts w:cs="Arial"/>
                <w:color w:val="000000"/>
                <w:szCs w:val="20"/>
              </w:rPr>
              <w:t xml:space="preserve">ction. Uric acid is oxidized to </w:t>
            </w:r>
            <w:proofErr w:type="spellStart"/>
            <w:r w:rsidRPr="00A2407B">
              <w:rPr>
                <w:rFonts w:cs="Arial"/>
                <w:color w:val="000000"/>
                <w:szCs w:val="20"/>
              </w:rPr>
              <w:t>allantoin</w:t>
            </w:r>
            <w:proofErr w:type="spellEnd"/>
            <w:r w:rsidRPr="00A2407B">
              <w:rPr>
                <w:rFonts w:cs="Arial"/>
                <w:color w:val="000000"/>
                <w:szCs w:val="20"/>
              </w:rPr>
              <w:t xml:space="preserve"> by </w:t>
            </w:r>
            <w:proofErr w:type="spellStart"/>
            <w:r w:rsidRPr="00A2407B">
              <w:rPr>
                <w:rFonts w:cs="Arial"/>
                <w:color w:val="000000"/>
                <w:szCs w:val="20"/>
              </w:rPr>
              <w:t>uricase</w:t>
            </w:r>
            <w:proofErr w:type="spellEnd"/>
            <w:r w:rsidRPr="00A2407B">
              <w:rPr>
                <w:rFonts w:cs="Arial"/>
                <w:color w:val="000000"/>
                <w:szCs w:val="20"/>
              </w:rPr>
              <w:t xml:space="preserve"> with production of hydrogen peroxide (H2O2)</w:t>
            </w:r>
            <w:r>
              <w:rPr>
                <w:rFonts w:cs="Arial"/>
                <w:color w:val="000000"/>
                <w:szCs w:val="20"/>
              </w:rPr>
              <w:t xml:space="preserve">. </w:t>
            </w:r>
            <w:r w:rsidRPr="00A2407B">
              <w:rPr>
                <w:rFonts w:cs="Arial"/>
                <w:color w:val="000000"/>
                <w:szCs w:val="20"/>
              </w:rPr>
              <w:t xml:space="preserve">The H2O2 reacts with 4-aminoantipyrine (4-AAP) and </w:t>
            </w:r>
            <w:r w:rsidRPr="00A2407B">
              <w:rPr>
                <w:rFonts w:cs="Arial"/>
                <w:i/>
                <w:iCs/>
                <w:color w:val="000000"/>
                <w:szCs w:val="20"/>
              </w:rPr>
              <w:t>N</w:t>
            </w:r>
            <w:r>
              <w:rPr>
                <w:rFonts w:cs="Arial"/>
                <w:color w:val="000000"/>
                <w:szCs w:val="20"/>
              </w:rPr>
              <w:t xml:space="preserve">-(3- </w:t>
            </w:r>
            <w:proofErr w:type="spellStart"/>
            <w:r w:rsidRPr="00A2407B">
              <w:rPr>
                <w:rFonts w:cs="Arial"/>
                <w:color w:val="000000"/>
                <w:szCs w:val="20"/>
              </w:rPr>
              <w:t>sulfopropyl</w:t>
            </w:r>
            <w:proofErr w:type="spellEnd"/>
            <w:r w:rsidRPr="00A2407B">
              <w:rPr>
                <w:rFonts w:cs="Arial"/>
                <w:color w:val="000000"/>
                <w:szCs w:val="20"/>
              </w:rPr>
              <w:t>)-3-methoxy-5-methyl</w:t>
            </w:r>
            <w:r>
              <w:rPr>
                <w:rFonts w:cs="Arial"/>
                <w:color w:val="000000"/>
                <w:szCs w:val="20"/>
              </w:rPr>
              <w:t xml:space="preserve">aniline (HMMPS) in the presence </w:t>
            </w:r>
            <w:r w:rsidRPr="00A2407B">
              <w:rPr>
                <w:rFonts w:cs="Arial"/>
                <w:color w:val="000000"/>
                <w:szCs w:val="20"/>
              </w:rPr>
              <w:t xml:space="preserve">of peroxidase (POD) to yield a </w:t>
            </w:r>
            <w:proofErr w:type="spellStart"/>
            <w:r>
              <w:rPr>
                <w:rFonts w:cs="Arial"/>
                <w:color w:val="000000"/>
                <w:szCs w:val="20"/>
              </w:rPr>
              <w:t>quinoneimine</w:t>
            </w:r>
            <w:proofErr w:type="spellEnd"/>
            <w:r>
              <w:rPr>
                <w:rFonts w:cs="Arial"/>
                <w:color w:val="000000"/>
                <w:szCs w:val="20"/>
              </w:rPr>
              <w:t xml:space="preserve"> dye. The resulting </w:t>
            </w:r>
            <w:r w:rsidRPr="00A2407B">
              <w:rPr>
                <w:rFonts w:cs="Arial"/>
                <w:color w:val="000000"/>
                <w:szCs w:val="20"/>
              </w:rPr>
              <w:t>change in absorbance at 604 nm i</w:t>
            </w:r>
            <w:r>
              <w:rPr>
                <w:rFonts w:cs="Arial"/>
                <w:color w:val="000000"/>
                <w:szCs w:val="20"/>
              </w:rPr>
              <w:t xml:space="preserve">s proportional to the uric acid </w:t>
            </w:r>
            <w:r w:rsidRPr="00A2407B">
              <w:rPr>
                <w:rFonts w:cs="Arial"/>
                <w:color w:val="000000"/>
                <w:szCs w:val="20"/>
              </w:rPr>
              <w:t>concent</w:t>
            </w:r>
            <w:r>
              <w:rPr>
                <w:rFonts w:cs="Arial"/>
                <w:color w:val="000000"/>
                <w:szCs w:val="20"/>
              </w:rPr>
              <w:t xml:space="preserve">ration in the sample. </w:t>
            </w:r>
            <w:r w:rsidRPr="00A2407B">
              <w:rPr>
                <w:rFonts w:cs="Arial"/>
                <w:color w:val="000000"/>
                <w:szCs w:val="20"/>
              </w:rPr>
              <w:t>The two-part (</w:t>
            </w:r>
            <w:r>
              <w:rPr>
                <w:rFonts w:cs="Arial"/>
                <w:color w:val="000000"/>
                <w:szCs w:val="20"/>
              </w:rPr>
              <w:t>R1</w:t>
            </w:r>
            <w:r w:rsidRPr="00A2407B">
              <w:rPr>
                <w:rFonts w:cs="Arial"/>
                <w:color w:val="000000"/>
                <w:szCs w:val="20"/>
              </w:rPr>
              <w:t>/</w:t>
            </w:r>
            <w:r w:rsidR="00253E95">
              <w:rPr>
                <w:rFonts w:cs="Arial"/>
                <w:color w:val="000000"/>
                <w:szCs w:val="20"/>
              </w:rPr>
              <w:t>R2</w:t>
            </w:r>
            <w:r w:rsidRPr="00A2407B">
              <w:rPr>
                <w:rFonts w:cs="Arial"/>
                <w:color w:val="000000"/>
                <w:szCs w:val="20"/>
              </w:rPr>
              <w:t>) configuration of</w:t>
            </w:r>
            <w:r>
              <w:rPr>
                <w:rFonts w:cs="Arial"/>
                <w:color w:val="000000"/>
                <w:szCs w:val="20"/>
              </w:rPr>
              <w:t xml:space="preserve"> this assay allows reduction of interference from ascorbic acid </w:t>
            </w:r>
            <w:r w:rsidRPr="00A2407B">
              <w:rPr>
                <w:rFonts w:cs="Arial"/>
                <w:color w:val="000000"/>
                <w:szCs w:val="20"/>
              </w:rPr>
              <w:t>by i</w:t>
            </w:r>
            <w:r>
              <w:rPr>
                <w:rFonts w:cs="Arial"/>
                <w:color w:val="000000"/>
                <w:szCs w:val="20"/>
              </w:rPr>
              <w:t xml:space="preserve">nclusion of ascorbic oxidase in </w:t>
            </w:r>
            <w:r w:rsidRPr="00A2407B">
              <w:rPr>
                <w:rFonts w:cs="Arial"/>
                <w:color w:val="000000"/>
                <w:szCs w:val="20"/>
              </w:rPr>
              <w:t>the portion of the assay.</w:t>
            </w:r>
          </w:p>
          <w:p w14:paraId="0A3CC84B" w14:textId="62E520FD" w:rsidR="00D75391" w:rsidRDefault="00D75391" w:rsidP="00A2407B">
            <w:pPr>
              <w:pStyle w:val="Header"/>
              <w:rPr>
                <w:rFonts w:cs="Arial"/>
                <w:color w:val="000000"/>
                <w:szCs w:val="20"/>
              </w:rPr>
            </w:pPr>
            <w:r>
              <w:rPr>
                <w:noProof/>
              </w:rPr>
              <w:drawing>
                <wp:inline distT="0" distB="0" distL="0" distR="0" wp14:anchorId="120A554C" wp14:editId="59EFE305">
                  <wp:extent cx="3005455" cy="890270"/>
                  <wp:effectExtent l="0" t="0" r="4445" b="5080"/>
                  <wp:docPr id="1" name="Picture 1" descr="C:\Users\CE154502\AppData\Local\Temp\SNAGHTML2a5a27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154502\AppData\Local\Temp\SNAGHTML2a5a27b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5455" cy="890270"/>
                          </a:xfrm>
                          <a:prstGeom prst="rect">
                            <a:avLst/>
                          </a:prstGeom>
                          <a:noFill/>
                          <a:ln>
                            <a:noFill/>
                          </a:ln>
                        </pic:spPr>
                      </pic:pic>
                    </a:graphicData>
                  </a:graphic>
                </wp:inline>
              </w:drawing>
            </w:r>
          </w:p>
          <w:p w14:paraId="3648D4F2" w14:textId="77777777" w:rsidR="00D75391" w:rsidRDefault="00D75391" w:rsidP="00A2407B">
            <w:pPr>
              <w:pStyle w:val="Header"/>
              <w:rPr>
                <w:rFonts w:cs="Arial"/>
                <w:color w:val="000000"/>
                <w:szCs w:val="20"/>
              </w:rPr>
            </w:pPr>
          </w:p>
          <w:p w14:paraId="3CE1C7E4" w14:textId="77777777" w:rsidR="00D75391" w:rsidRDefault="00D75391" w:rsidP="00D75391">
            <w:pPr>
              <w:pStyle w:val="Header"/>
              <w:rPr>
                <w:rFonts w:cs="Arial"/>
                <w:color w:val="000000"/>
                <w:szCs w:val="20"/>
              </w:rPr>
            </w:pPr>
            <w:r w:rsidRPr="00D75391">
              <w:rPr>
                <w:rFonts w:cs="Arial"/>
                <w:b/>
                <w:color w:val="000000"/>
                <w:szCs w:val="20"/>
              </w:rPr>
              <w:t>Methodology</w:t>
            </w:r>
            <w:r w:rsidRPr="00D75391">
              <w:rPr>
                <w:rFonts w:cs="Arial"/>
                <w:color w:val="000000"/>
                <w:szCs w:val="20"/>
              </w:rPr>
              <w:t xml:space="preserve">: </w:t>
            </w:r>
            <w:proofErr w:type="spellStart"/>
            <w:r w:rsidRPr="00D75391">
              <w:rPr>
                <w:rFonts w:cs="Arial"/>
                <w:color w:val="000000"/>
                <w:szCs w:val="20"/>
              </w:rPr>
              <w:t>Uricase</w:t>
            </w:r>
            <w:proofErr w:type="spellEnd"/>
          </w:p>
          <w:p w14:paraId="2B2F83F9" w14:textId="77777777" w:rsidR="0018384A" w:rsidRPr="00D75391" w:rsidRDefault="0018384A" w:rsidP="00D75391">
            <w:pPr>
              <w:pStyle w:val="Header"/>
              <w:rPr>
                <w:rFonts w:cs="Arial"/>
                <w:color w:val="000000"/>
                <w:szCs w:val="20"/>
              </w:rPr>
            </w:pPr>
          </w:p>
          <w:p w14:paraId="05995C0D" w14:textId="56E0D449" w:rsidR="00D75391" w:rsidRDefault="00D75391" w:rsidP="00D75391">
            <w:pPr>
              <w:pStyle w:val="Header"/>
              <w:rPr>
                <w:rFonts w:cs="Arial"/>
                <w:color w:val="000000"/>
                <w:szCs w:val="20"/>
              </w:rPr>
            </w:pPr>
            <w:r w:rsidRPr="00D75391">
              <w:rPr>
                <w:rFonts w:cs="Arial"/>
                <w:color w:val="000000"/>
                <w:szCs w:val="20"/>
              </w:rPr>
              <w:t>For additional information on system</w:t>
            </w:r>
            <w:r>
              <w:rPr>
                <w:rFonts w:cs="Arial"/>
                <w:color w:val="000000"/>
                <w:szCs w:val="20"/>
              </w:rPr>
              <w:t xml:space="preserve"> and assay technology, refer to </w:t>
            </w:r>
            <w:r w:rsidRPr="00D75391">
              <w:rPr>
                <w:rFonts w:cs="Arial"/>
                <w:color w:val="000000"/>
                <w:szCs w:val="20"/>
              </w:rPr>
              <w:t>the Alinity ci-series Operations Manual, Section 3.</w:t>
            </w:r>
          </w:p>
          <w:p w14:paraId="5CCFFF81" w14:textId="1810C3D3" w:rsidR="00A2407B" w:rsidRPr="00DC7421" w:rsidRDefault="00A2407B" w:rsidP="00A2407B">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8E6C02C" w14:textId="77777777" w:rsidR="002462C0" w:rsidRDefault="00A2407B" w:rsidP="00A2407B">
            <w:r w:rsidRPr="00A2407B">
              <w:t>Uric acid is a metabolite of purines, nucleic acids, and</w:t>
            </w:r>
            <w:r>
              <w:t xml:space="preserve"> </w:t>
            </w:r>
            <w:r w:rsidRPr="00A2407B">
              <w:t>nucleoproteins. Consequently, abnormal levels may be indicative of</w:t>
            </w:r>
            <w:r>
              <w:t xml:space="preserve"> </w:t>
            </w:r>
            <w:r w:rsidRPr="00A2407B">
              <w:t>a disorder in the metabolism of these substances. Hyperuricemia</w:t>
            </w:r>
            <w:r>
              <w:t xml:space="preserve"> </w:t>
            </w:r>
            <w:r w:rsidRPr="00A2407B">
              <w:t>may be observed in renal dysfunction, gout, leukemia, polycythemia,</w:t>
            </w:r>
            <w:r>
              <w:t xml:space="preserve"> </w:t>
            </w:r>
            <w:r w:rsidRPr="00A2407B">
              <w:t>atherosclerosis, diabetes, hypothyroidism, or in some genetic</w:t>
            </w:r>
            <w:r>
              <w:t xml:space="preserve"> </w:t>
            </w:r>
            <w:r w:rsidRPr="00A2407B">
              <w:t>diseases. Decreased levels are present in patients with Wilson</w:t>
            </w:r>
            <w:r w:rsidRPr="00A2407B">
              <w:rPr>
                <w:rFonts w:hint="eastAsia"/>
              </w:rPr>
              <w:t>’</w:t>
            </w:r>
            <w:r w:rsidRPr="00A2407B">
              <w:t>s</w:t>
            </w:r>
            <w:r>
              <w:t xml:space="preserve"> </w:t>
            </w:r>
            <w:r w:rsidRPr="00A2407B">
              <w:t>disease.</w:t>
            </w:r>
          </w:p>
          <w:p w14:paraId="5CCFFF86" w14:textId="3F269E79" w:rsidR="0018384A" w:rsidRPr="00370B0F" w:rsidRDefault="0018384A" w:rsidP="00A2407B"/>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09DDAF0C"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18384A">
              <w:rPr>
                <w:rFonts w:cs="Arial"/>
                <w:b/>
                <w:bCs/>
                <w:color w:val="7030A0"/>
                <w:szCs w:val="20"/>
              </w:rPr>
              <w:t>i (Sunquest method code: MAC</w:t>
            </w:r>
            <w:r>
              <w:rPr>
                <w:rFonts w:cs="Arial"/>
                <w:b/>
                <w:bCs/>
                <w:color w:val="7030A0"/>
                <w:szCs w:val="20"/>
              </w:rPr>
              <w:t>C)</w:t>
            </w:r>
          </w:p>
          <w:p w14:paraId="18911336" w14:textId="77777777" w:rsidR="006200C0" w:rsidRDefault="007F5B07" w:rsidP="006B78CE">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F34A3D">
              <w:rPr>
                <w:rFonts w:cs="Arial"/>
                <w:b/>
                <w:bCs/>
                <w:color w:val="984806" w:themeColor="accent6" w:themeShade="80"/>
                <w:szCs w:val="20"/>
              </w:rPr>
              <w:t>SALIC</w:t>
            </w:r>
            <w:r w:rsidRPr="00DC7421">
              <w:rPr>
                <w:rFonts w:cs="Arial"/>
                <w:b/>
                <w:bCs/>
                <w:color w:val="984806" w:themeColor="accent6" w:themeShade="80"/>
                <w:szCs w:val="20"/>
              </w:rPr>
              <w:t>)</w:t>
            </w:r>
          </w:p>
          <w:p w14:paraId="1DAE665A" w14:textId="77777777" w:rsidR="0018384A" w:rsidRDefault="0018384A" w:rsidP="006B78CE">
            <w:pPr>
              <w:pStyle w:val="BodyText2"/>
              <w:spacing w:after="60" w:line="240" w:lineRule="auto"/>
              <w:rPr>
                <w:rFonts w:cs="Arial"/>
                <w:b/>
                <w:bCs/>
                <w:szCs w:val="20"/>
              </w:rPr>
            </w:pPr>
            <w:r>
              <w:rPr>
                <w:rFonts w:cs="Arial"/>
                <w:b/>
                <w:bCs/>
                <w:szCs w:val="20"/>
              </w:rPr>
              <w:t>Backup: Opposite campus</w:t>
            </w:r>
          </w:p>
          <w:p w14:paraId="5CCFFF89" w14:textId="109ACCC5" w:rsidR="0018384A" w:rsidRPr="0018384A" w:rsidRDefault="0018384A" w:rsidP="006B78CE">
            <w:pPr>
              <w:pStyle w:val="BodyText2"/>
              <w:spacing w:after="60" w:line="240" w:lineRule="auto"/>
              <w:rPr>
                <w:rFonts w:cs="Arial"/>
                <w:b/>
                <w:bCs/>
                <w:szCs w:val="20"/>
              </w:rPr>
            </w:pPr>
          </w:p>
        </w:tc>
      </w:tr>
      <w:tr w:rsidR="00E3253B" w14:paraId="5CCFFF8D" w14:textId="77777777" w:rsidTr="0018384A">
        <w:trPr>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23593A8" w14:textId="77777777" w:rsidR="00A2407B" w:rsidRPr="00A2407B" w:rsidRDefault="00A2407B" w:rsidP="00A2407B">
            <w:pPr>
              <w:autoSpaceDE w:val="0"/>
              <w:autoSpaceDN w:val="0"/>
              <w:adjustRightInd w:val="0"/>
              <w:rPr>
                <w:rFonts w:cs="Arial"/>
                <w:color w:val="000000"/>
                <w:sz w:val="24"/>
              </w:rPr>
            </w:pPr>
          </w:p>
          <w:tbl>
            <w:tblPr>
              <w:tblW w:w="0" w:type="auto"/>
              <w:tblBorders>
                <w:top w:val="nil"/>
                <w:left w:val="nil"/>
                <w:bottom w:val="nil"/>
                <w:right w:val="nil"/>
              </w:tblBorders>
              <w:tblLayout w:type="fixed"/>
              <w:tblLook w:val="0000" w:firstRow="0" w:lastRow="0" w:firstColumn="0" w:lastColumn="0" w:noHBand="0" w:noVBand="0"/>
            </w:tblPr>
            <w:tblGrid>
              <w:gridCol w:w="6534"/>
            </w:tblGrid>
            <w:tr w:rsidR="00A2407B" w:rsidRPr="00A2407B" w14:paraId="2FA10BED" w14:textId="77777777" w:rsidTr="0018384A">
              <w:trPr>
                <w:trHeight w:val="438"/>
              </w:trPr>
              <w:tc>
                <w:tcPr>
                  <w:tcW w:w="6534" w:type="dxa"/>
                </w:tcPr>
                <w:p w14:paraId="6C6E62C7" w14:textId="5328860C" w:rsidR="00A2407B" w:rsidRPr="0018384A" w:rsidRDefault="00A2407B" w:rsidP="00A2407B">
                  <w:pPr>
                    <w:autoSpaceDE w:val="0"/>
                    <w:autoSpaceDN w:val="0"/>
                    <w:adjustRightInd w:val="0"/>
                    <w:rPr>
                      <w:rFonts w:cs="Arial"/>
                      <w:color w:val="000000"/>
                      <w:szCs w:val="20"/>
                    </w:rPr>
                  </w:pPr>
                  <w:r w:rsidRPr="0018384A">
                    <w:rPr>
                      <w:rFonts w:cs="Arial"/>
                      <w:b/>
                      <w:bCs/>
                      <w:color w:val="000000"/>
                      <w:szCs w:val="20"/>
                    </w:rPr>
                    <w:t xml:space="preserve">URIC        </w:t>
                  </w:r>
                  <w:proofErr w:type="spellStart"/>
                  <w:r w:rsidRPr="0018384A">
                    <w:rPr>
                      <w:rFonts w:cs="Arial"/>
                      <w:bCs/>
                      <w:color w:val="000000"/>
                      <w:szCs w:val="20"/>
                    </w:rPr>
                    <w:t>Uric</w:t>
                  </w:r>
                  <w:proofErr w:type="spellEnd"/>
                  <w:r w:rsidRPr="0018384A">
                    <w:rPr>
                      <w:rFonts w:cs="Arial"/>
                      <w:bCs/>
                      <w:color w:val="000000"/>
                      <w:szCs w:val="20"/>
                    </w:rPr>
                    <w:t xml:space="preserve"> acid in plasma or serum in mg/dL</w:t>
                  </w:r>
                  <w:r w:rsidRPr="0018384A">
                    <w:rPr>
                      <w:rFonts w:cs="Arial"/>
                      <w:b/>
                      <w:bCs/>
                      <w:color w:val="000000"/>
                      <w:szCs w:val="20"/>
                    </w:rPr>
                    <w:t xml:space="preserve"> </w:t>
                  </w:r>
                </w:p>
                <w:p w14:paraId="61D068D2" w14:textId="25238EE5" w:rsidR="00A2407B" w:rsidRPr="0018384A" w:rsidRDefault="00A2407B" w:rsidP="00A2407B">
                  <w:pPr>
                    <w:autoSpaceDE w:val="0"/>
                    <w:autoSpaceDN w:val="0"/>
                    <w:adjustRightInd w:val="0"/>
                    <w:rPr>
                      <w:rFonts w:cs="Arial"/>
                      <w:color w:val="000000"/>
                      <w:szCs w:val="20"/>
                    </w:rPr>
                  </w:pPr>
                  <w:r w:rsidRPr="0018384A">
                    <w:rPr>
                      <w:rFonts w:cs="Arial"/>
                      <w:b/>
                      <w:bCs/>
                      <w:color w:val="000000"/>
                      <w:szCs w:val="20"/>
                    </w:rPr>
                    <w:t xml:space="preserve">URICR     </w:t>
                  </w:r>
                  <w:r w:rsidRPr="0018384A">
                    <w:rPr>
                      <w:rFonts w:cs="Arial"/>
                      <w:color w:val="000000"/>
                      <w:szCs w:val="20"/>
                    </w:rPr>
                    <w:t xml:space="preserve">Uric acid in plasma for patients given </w:t>
                  </w:r>
                  <w:proofErr w:type="spellStart"/>
                  <w:r w:rsidRPr="0018384A">
                    <w:rPr>
                      <w:rFonts w:cs="Arial"/>
                      <w:color w:val="000000"/>
                      <w:szCs w:val="20"/>
                    </w:rPr>
                    <w:t>Rasburicase</w:t>
                  </w:r>
                  <w:proofErr w:type="spellEnd"/>
                  <w:r w:rsidRPr="0018384A">
                    <w:rPr>
                      <w:rFonts w:cs="Arial"/>
                      <w:color w:val="000000"/>
                      <w:szCs w:val="20"/>
                    </w:rPr>
                    <w:t xml:space="preserve"> </w:t>
                  </w:r>
                </w:p>
                <w:p w14:paraId="54DFFAB0" w14:textId="54AB5EFD" w:rsidR="0018384A" w:rsidRPr="00A2407B" w:rsidRDefault="0018384A" w:rsidP="0018384A">
                  <w:pPr>
                    <w:autoSpaceDE w:val="0"/>
                    <w:autoSpaceDN w:val="0"/>
                    <w:adjustRightInd w:val="0"/>
                    <w:rPr>
                      <w:rFonts w:cs="Arial"/>
                      <w:color w:val="000000"/>
                      <w:szCs w:val="20"/>
                    </w:rPr>
                  </w:pPr>
                </w:p>
              </w:tc>
            </w:tr>
          </w:tbl>
          <w:p w14:paraId="5CCFFF8C" w14:textId="7D26CB96" w:rsidR="00370B0F" w:rsidRPr="00504F3B" w:rsidRDefault="00370B0F" w:rsidP="00504F3B"/>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D22E65B" w14:textId="190E5FE2" w:rsidR="00E01AE3"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57811314" w14:textId="774AB343" w:rsidR="0018384A" w:rsidRDefault="0018384A">
            <w:pPr>
              <w:rPr>
                <w:rStyle w:val="BoldBodyText"/>
                <w:rFonts w:ascii="Arial" w:hAnsi="Arial" w:cs="Arial"/>
                <w:b w:val="0"/>
                <w:bCs w:val="0"/>
                <w:sz w:val="20"/>
                <w:szCs w:val="20"/>
              </w:rPr>
            </w:pPr>
            <w:r w:rsidRPr="0018384A">
              <w:rPr>
                <w:rStyle w:val="BoldBodyText"/>
                <w:rFonts w:ascii="Arial" w:hAnsi="Arial" w:cs="Arial"/>
                <w:bCs w:val="0"/>
                <w:sz w:val="20"/>
                <w:szCs w:val="20"/>
              </w:rPr>
              <w:t>Preferred</w:t>
            </w:r>
            <w:r>
              <w:rPr>
                <w:rStyle w:val="BoldBodyText"/>
                <w:rFonts w:ascii="Arial" w:hAnsi="Arial" w:cs="Arial"/>
                <w:b w:val="0"/>
                <w:bCs w:val="0"/>
                <w:sz w:val="20"/>
                <w:szCs w:val="20"/>
              </w:rPr>
              <w:t>: Heparinized Plasma, with or without gel.</w:t>
            </w:r>
          </w:p>
          <w:p w14:paraId="07CBFE70" w14:textId="1B6B479D" w:rsidR="0018384A" w:rsidRPr="0018384A" w:rsidRDefault="0018384A">
            <w:pPr>
              <w:rPr>
                <w:rFonts w:cs="Arial"/>
                <w:color w:val="000000"/>
                <w:szCs w:val="20"/>
              </w:rPr>
            </w:pPr>
            <w:r>
              <w:rPr>
                <w:rStyle w:val="BoldBodyText"/>
                <w:rFonts w:ascii="Arial" w:hAnsi="Arial" w:cs="Arial"/>
                <w:b w:val="0"/>
                <w:bCs w:val="0"/>
                <w:sz w:val="20"/>
                <w:szCs w:val="20"/>
              </w:rPr>
              <w:t>Alternate sample types: Serum with or without gel, Sodium Heparin</w:t>
            </w:r>
          </w:p>
          <w:p w14:paraId="63C9446D" w14:textId="77777777" w:rsidR="00E01AE3" w:rsidRDefault="00E01AE3">
            <w:pPr>
              <w:rPr>
                <w:rFonts w:cs="Arial"/>
                <w:szCs w:val="20"/>
              </w:rPr>
            </w:pPr>
          </w:p>
          <w:p w14:paraId="06CB8C73" w14:textId="7871D934" w:rsidR="00935E13" w:rsidRDefault="00935E13">
            <w:pPr>
              <w:rPr>
                <w:rFonts w:cs="Arial"/>
                <w:szCs w:val="20"/>
              </w:rPr>
            </w:pPr>
            <w:r>
              <w:rPr>
                <w:rFonts w:cs="Arial"/>
                <w:szCs w:val="20"/>
              </w:rPr>
              <w:t xml:space="preserve">Note: Test code </w:t>
            </w:r>
            <w:r w:rsidRPr="006828F0">
              <w:rPr>
                <w:rFonts w:cs="Arial"/>
                <w:b/>
                <w:szCs w:val="20"/>
              </w:rPr>
              <w:t>URICR</w:t>
            </w:r>
            <w:r>
              <w:rPr>
                <w:rFonts w:cs="Arial"/>
                <w:szCs w:val="20"/>
              </w:rPr>
              <w:t xml:space="preserve"> must be collected on ICE</w:t>
            </w:r>
          </w:p>
          <w:p w14:paraId="441B2B3F" w14:textId="494EF713" w:rsidR="006828F0" w:rsidRDefault="006828F0">
            <w:pPr>
              <w:rPr>
                <w:rFonts w:cs="Arial"/>
                <w:szCs w:val="20"/>
              </w:rPr>
            </w:pPr>
            <w:r w:rsidRPr="006828F0">
              <w:rPr>
                <w:rFonts w:cs="Arial"/>
                <w:b/>
                <w:szCs w:val="20"/>
              </w:rPr>
              <w:t xml:space="preserve">Stability of samples for patients on </w:t>
            </w:r>
            <w:proofErr w:type="spellStart"/>
            <w:r w:rsidRPr="006828F0">
              <w:rPr>
                <w:rFonts w:cs="Arial"/>
                <w:b/>
                <w:szCs w:val="20"/>
              </w:rPr>
              <w:t>Rasburicase</w:t>
            </w:r>
            <w:proofErr w:type="spellEnd"/>
            <w:r>
              <w:rPr>
                <w:rFonts w:cs="Arial"/>
                <w:szCs w:val="20"/>
              </w:rPr>
              <w:t xml:space="preserve">: </w:t>
            </w:r>
            <w:r w:rsidRPr="006828F0">
              <w:rPr>
                <w:rFonts w:cs="Arial"/>
                <w:szCs w:val="20"/>
              </w:rPr>
              <w:t>2 to 8°C / 4 hours</w:t>
            </w:r>
          </w:p>
          <w:p w14:paraId="42A68C16" w14:textId="77777777" w:rsidR="00935E13" w:rsidRPr="00DC7421" w:rsidRDefault="00935E13">
            <w:pPr>
              <w:rPr>
                <w:rFonts w:cs="Arial"/>
                <w:szCs w:val="20"/>
              </w:rPr>
            </w:pPr>
          </w:p>
          <w:p w14:paraId="5CCFFF96" w14:textId="0BC7A18D"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9D0576" w:rsidRPr="0018384A">
              <w:rPr>
                <w:rFonts w:ascii="Arial" w:hAnsi="Arial" w:cs="Arial"/>
                <w:bCs/>
                <w:sz w:val="20"/>
                <w:szCs w:val="20"/>
              </w:rPr>
              <w:t xml:space="preserve">0.6 </w:t>
            </w:r>
            <w:r w:rsidR="00AE2334" w:rsidRPr="0018384A">
              <w:rPr>
                <w:rFonts w:ascii="Arial" w:hAnsi="Arial" w:cs="Arial"/>
                <w:sz w:val="20"/>
                <w:szCs w:val="20"/>
              </w:rPr>
              <w:t xml:space="preserve">mL blood, </w:t>
            </w:r>
            <w:r w:rsidR="009D0576" w:rsidRPr="0018384A">
              <w:rPr>
                <w:rFonts w:ascii="Arial" w:hAnsi="Arial" w:cs="Arial"/>
                <w:bCs/>
                <w:sz w:val="20"/>
                <w:szCs w:val="20"/>
              </w:rPr>
              <w:t xml:space="preserve">0.2 </w:t>
            </w:r>
            <w:r w:rsidR="009475C8" w:rsidRPr="0018384A">
              <w:rPr>
                <w:rFonts w:ascii="Arial" w:hAnsi="Arial" w:cs="Arial"/>
                <w:sz w:val="20"/>
                <w:szCs w:val="20"/>
              </w:rPr>
              <w:t>mL</w:t>
            </w:r>
            <w:r w:rsidR="00AE2334" w:rsidRPr="0018384A">
              <w:rPr>
                <w:rFonts w:ascii="Arial" w:hAnsi="Arial" w:cs="Arial"/>
                <w:sz w:val="20"/>
                <w:szCs w:val="20"/>
              </w:rPr>
              <w:t xml:space="preserve"> serum/plasma</w:t>
            </w:r>
          </w:p>
          <w:p w14:paraId="5CCFFF97" w14:textId="77777777" w:rsidR="00E3253B" w:rsidRPr="00DC7421" w:rsidRDefault="00E3253B">
            <w:pPr>
              <w:rPr>
                <w:rFonts w:cs="Arial"/>
                <w:szCs w:val="20"/>
              </w:rPr>
            </w:pPr>
          </w:p>
          <w:p w14:paraId="594E4A3A" w14:textId="5E6C81B9"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r w:rsidR="00437425">
              <w:rPr>
                <w:rFonts w:cs="Arial"/>
                <w:szCs w:val="20"/>
              </w:rPr>
              <w:tab/>
            </w:r>
          </w:p>
          <w:p w14:paraId="34F107A5" w14:textId="77777777" w:rsidR="00C40403" w:rsidRPr="00C40403" w:rsidRDefault="00C40403" w:rsidP="00C40403">
            <w:pPr>
              <w:pStyle w:val="Header"/>
              <w:rPr>
                <w:rFonts w:cs="Arial"/>
                <w:szCs w:val="20"/>
                <w:u w:val="single"/>
              </w:rPr>
            </w:pPr>
            <w:r w:rsidRPr="00C40403">
              <w:rPr>
                <w:rFonts w:cs="Arial"/>
                <w:szCs w:val="20"/>
                <w:u w:val="single"/>
              </w:rPr>
              <w:t xml:space="preserve">Serum/Plasma </w:t>
            </w:r>
          </w:p>
          <w:p w14:paraId="208B27EA" w14:textId="03B97CF0" w:rsidR="00C40403" w:rsidRPr="00C40403" w:rsidRDefault="00C40403" w:rsidP="00C40403">
            <w:pPr>
              <w:pStyle w:val="Header"/>
              <w:rPr>
                <w:rFonts w:cs="Arial"/>
                <w:szCs w:val="20"/>
              </w:rPr>
            </w:pPr>
            <w:r>
              <w:rPr>
                <w:rFonts w:cs="Arial"/>
                <w:b/>
                <w:szCs w:val="20"/>
              </w:rPr>
              <w:t xml:space="preserve">     </w:t>
            </w:r>
            <w:r w:rsidRPr="00C40403">
              <w:rPr>
                <w:rFonts w:cs="Arial"/>
                <w:b/>
                <w:szCs w:val="20"/>
              </w:rPr>
              <w:t>20 to 25°C</w:t>
            </w:r>
            <w:r>
              <w:rPr>
                <w:rFonts w:cs="Arial"/>
                <w:b/>
                <w:szCs w:val="20"/>
              </w:rPr>
              <w:t>:</w:t>
            </w:r>
            <w:r w:rsidRPr="00C40403">
              <w:rPr>
                <w:rFonts w:cs="Arial"/>
                <w:szCs w:val="20"/>
              </w:rPr>
              <w:t xml:space="preserve"> 3 days</w:t>
            </w:r>
          </w:p>
          <w:p w14:paraId="1586F1E2" w14:textId="7DFAB7C9" w:rsidR="00C40403" w:rsidRPr="00C40403" w:rsidRDefault="00C40403" w:rsidP="00C40403">
            <w:pPr>
              <w:pStyle w:val="Header"/>
              <w:rPr>
                <w:rFonts w:cs="Arial"/>
                <w:szCs w:val="20"/>
              </w:rPr>
            </w:pPr>
            <w:r>
              <w:rPr>
                <w:rFonts w:cs="Arial"/>
                <w:b/>
                <w:szCs w:val="20"/>
              </w:rPr>
              <w:t xml:space="preserve">     2 to 8°C : </w:t>
            </w:r>
            <w:r w:rsidRPr="00C40403">
              <w:rPr>
                <w:rFonts w:cs="Arial"/>
                <w:szCs w:val="20"/>
              </w:rPr>
              <w:t>7 days</w:t>
            </w:r>
          </w:p>
          <w:p w14:paraId="74FA3594" w14:textId="1669877E" w:rsidR="00C40403" w:rsidRDefault="00C40403" w:rsidP="00C40403">
            <w:pPr>
              <w:pStyle w:val="Header"/>
              <w:rPr>
                <w:rFonts w:cs="Arial"/>
                <w:szCs w:val="20"/>
              </w:rPr>
            </w:pPr>
            <w:r>
              <w:rPr>
                <w:rFonts w:cs="Arial"/>
                <w:szCs w:val="20"/>
              </w:rPr>
              <w:t xml:space="preserve">     </w:t>
            </w:r>
            <w:r w:rsidRPr="00C40403">
              <w:rPr>
                <w:rFonts w:cs="Arial"/>
                <w:b/>
                <w:szCs w:val="20"/>
              </w:rPr>
              <w:t>-20°C</w:t>
            </w:r>
            <w:r>
              <w:rPr>
                <w:rFonts w:cs="Arial"/>
                <w:b/>
                <w:szCs w:val="20"/>
              </w:rPr>
              <w:t>:</w:t>
            </w:r>
            <w:r w:rsidRPr="00C40403">
              <w:rPr>
                <w:rFonts w:cs="Arial"/>
                <w:szCs w:val="20"/>
              </w:rPr>
              <w:t xml:space="preserve"> 6 months</w:t>
            </w:r>
          </w:p>
          <w:p w14:paraId="0198958A" w14:textId="77777777" w:rsidR="00C40403" w:rsidRPr="00DC7421" w:rsidRDefault="00C40403" w:rsidP="00C40403">
            <w:pPr>
              <w:pStyle w:val="Header"/>
              <w:tabs>
                <w:tab w:val="clear" w:pos="4320"/>
                <w:tab w:val="clear" w:pos="8640"/>
              </w:tabs>
              <w:rPr>
                <w:rFonts w:cs="Arial"/>
                <w:szCs w:val="20"/>
              </w:rPr>
            </w:pPr>
          </w:p>
          <w:p w14:paraId="5CCFFF9A" w14:textId="13DBC51E" w:rsidR="00E3253B" w:rsidRPr="0018384A" w:rsidRDefault="00E3253B">
            <w:pPr>
              <w:rPr>
                <w:rFonts w:cs="Arial"/>
                <w:szCs w:val="20"/>
              </w:rPr>
            </w:pPr>
            <w:r w:rsidRPr="0018384A">
              <w:rPr>
                <w:rFonts w:cs="Arial"/>
                <w:b/>
                <w:bCs/>
                <w:szCs w:val="20"/>
              </w:rPr>
              <w:t>Rejection criteria:</w:t>
            </w:r>
            <w:r w:rsidRPr="0018384A">
              <w:rPr>
                <w:rFonts w:cs="Arial"/>
                <w:szCs w:val="20"/>
              </w:rPr>
              <w:t xml:space="preserve"> Unlabeled tube, </w:t>
            </w:r>
            <w:r w:rsidR="00C40403" w:rsidRPr="0018384A">
              <w:rPr>
                <w:rFonts w:cs="Arial"/>
                <w:szCs w:val="20"/>
              </w:rPr>
              <w:t xml:space="preserve">incorrect sample </w:t>
            </w:r>
            <w:r w:rsidR="0018384A">
              <w:rPr>
                <w:rFonts w:cs="Arial"/>
                <w:szCs w:val="20"/>
              </w:rPr>
              <w:t>type</w:t>
            </w:r>
            <w:r w:rsidR="006828F0">
              <w:rPr>
                <w:rFonts w:cs="Arial"/>
                <w:szCs w:val="20"/>
              </w:rPr>
              <w:t xml:space="preserve">, samples not collected or stored on ice for patients on </w:t>
            </w:r>
            <w:proofErr w:type="spellStart"/>
            <w:r w:rsidR="006828F0">
              <w:rPr>
                <w:rFonts w:cs="Arial"/>
                <w:szCs w:val="20"/>
              </w:rPr>
              <w:t>Rasburicase</w:t>
            </w:r>
            <w:proofErr w:type="spellEnd"/>
          </w:p>
          <w:p w14:paraId="5CCFFF9B" w14:textId="77777777" w:rsidR="00B11633" w:rsidRPr="0018384A" w:rsidRDefault="00B11633" w:rsidP="00B11633">
            <w:pPr>
              <w:autoSpaceDE w:val="0"/>
              <w:autoSpaceDN w:val="0"/>
              <w:adjustRightInd w:val="0"/>
              <w:rPr>
                <w:rFonts w:eastAsia="HelenPro-Regular" w:cs="Arial"/>
                <w:szCs w:val="20"/>
              </w:rPr>
            </w:pPr>
          </w:p>
          <w:p w14:paraId="5CCFFF9C" w14:textId="77777777" w:rsidR="00E93074" w:rsidRPr="0018384A" w:rsidRDefault="00E93074" w:rsidP="00E93074">
            <w:pPr>
              <w:jc w:val="both"/>
              <w:rPr>
                <w:rFonts w:cs="Arial"/>
                <w:szCs w:val="20"/>
              </w:rPr>
            </w:pPr>
            <w:r w:rsidRPr="0018384A">
              <w:rPr>
                <w:rFonts w:cs="Arial"/>
                <w:b/>
                <w:bCs/>
                <w:szCs w:val="20"/>
              </w:rPr>
              <w:t>Preparation:</w:t>
            </w:r>
            <w:r w:rsidRPr="0018384A">
              <w:rPr>
                <w:rFonts w:cs="Arial"/>
                <w:szCs w:val="20"/>
              </w:rPr>
              <w:t xml:space="preserve"> </w:t>
            </w:r>
          </w:p>
          <w:p w14:paraId="7B6E1B7F" w14:textId="77777777" w:rsidR="0018384A" w:rsidRPr="0018384A" w:rsidRDefault="0018384A" w:rsidP="0018384A">
            <w:pPr>
              <w:numPr>
                <w:ilvl w:val="0"/>
                <w:numId w:val="26"/>
              </w:numPr>
              <w:jc w:val="both"/>
              <w:rPr>
                <w:rFonts w:cs="Arial"/>
                <w:szCs w:val="20"/>
              </w:rPr>
            </w:pPr>
            <w:r w:rsidRPr="0018384A">
              <w:rPr>
                <w:rFonts w:cs="Arial"/>
                <w:szCs w:val="20"/>
              </w:rPr>
              <w:t>Whole blood specimens should be centrifuged following complete clot formation, according to Specimen Processing procedures prior to analysis.</w:t>
            </w:r>
          </w:p>
          <w:p w14:paraId="4A21D70A" w14:textId="77777777" w:rsidR="0018384A" w:rsidRPr="0018384A" w:rsidRDefault="0018384A" w:rsidP="0018384A">
            <w:pPr>
              <w:numPr>
                <w:ilvl w:val="0"/>
                <w:numId w:val="26"/>
              </w:numPr>
              <w:jc w:val="both"/>
              <w:rPr>
                <w:rFonts w:cs="Arial"/>
                <w:szCs w:val="20"/>
              </w:rPr>
            </w:pPr>
            <w:r w:rsidRPr="0018384A">
              <w:rPr>
                <w:rFonts w:cs="Arial"/>
                <w:szCs w:val="20"/>
              </w:rPr>
              <w:t>Serum or plasma should be physically separated from cells as soon as possible with a maximum limit of two hours from the time of collection.</w:t>
            </w:r>
          </w:p>
          <w:p w14:paraId="0F4376DF" w14:textId="77777777" w:rsidR="0018384A" w:rsidRPr="0018384A" w:rsidRDefault="0018384A" w:rsidP="0018384A">
            <w:pPr>
              <w:numPr>
                <w:ilvl w:val="0"/>
                <w:numId w:val="26"/>
              </w:numPr>
              <w:jc w:val="both"/>
              <w:rPr>
                <w:rFonts w:cs="Arial"/>
                <w:szCs w:val="20"/>
              </w:rPr>
            </w:pPr>
            <w:r w:rsidRPr="0018384A">
              <w:rPr>
                <w:rFonts w:cs="Arial"/>
                <w:szCs w:val="20"/>
              </w:rPr>
              <w:t xml:space="preserve">Specimens should be free of particulate matter. </w:t>
            </w:r>
          </w:p>
          <w:p w14:paraId="2A34137E" w14:textId="77777777" w:rsidR="0018384A" w:rsidRPr="0018384A" w:rsidRDefault="0018384A" w:rsidP="0018384A">
            <w:pPr>
              <w:numPr>
                <w:ilvl w:val="0"/>
                <w:numId w:val="26"/>
              </w:numPr>
              <w:jc w:val="both"/>
              <w:rPr>
                <w:rFonts w:cs="Arial"/>
                <w:szCs w:val="20"/>
              </w:rPr>
            </w:pPr>
            <w:r w:rsidRPr="0018384A">
              <w:rPr>
                <w:rFonts w:cs="Arial"/>
                <w:szCs w:val="20"/>
              </w:rPr>
              <w:t xml:space="preserve">Transfer serum or plasma directly to a properly labeled pilot tube.  </w:t>
            </w:r>
          </w:p>
          <w:p w14:paraId="2ADC9161" w14:textId="77777777" w:rsidR="0018384A" w:rsidRPr="0018384A" w:rsidRDefault="0018384A" w:rsidP="0018384A">
            <w:pPr>
              <w:numPr>
                <w:ilvl w:val="0"/>
                <w:numId w:val="26"/>
              </w:numPr>
              <w:jc w:val="both"/>
              <w:rPr>
                <w:rFonts w:cs="Arial"/>
                <w:szCs w:val="20"/>
              </w:rPr>
            </w:pPr>
            <w:r w:rsidRPr="0018384A">
              <w:rPr>
                <w:rFonts w:cs="Arial"/>
                <w:szCs w:val="20"/>
              </w:rPr>
              <w:t xml:space="preserve">Architect and Alinity systems utilize a specimen level detect mechanism, so special racks specific to tube-type are not required.  </w:t>
            </w:r>
          </w:p>
          <w:p w14:paraId="6AC21073" w14:textId="77777777" w:rsidR="0018384A" w:rsidRPr="0018384A" w:rsidRDefault="0018384A" w:rsidP="0018384A">
            <w:pPr>
              <w:numPr>
                <w:ilvl w:val="0"/>
                <w:numId w:val="26"/>
              </w:numPr>
              <w:jc w:val="both"/>
              <w:rPr>
                <w:rFonts w:cs="Arial"/>
                <w:szCs w:val="20"/>
              </w:rPr>
            </w:pPr>
            <w:r w:rsidRPr="0018384A">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0A590CED"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4980BD01" w:rsidR="007B410A" w:rsidRPr="0018384A"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34A1E20D"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sidR="00D75391">
              <w:rPr>
                <w:rFonts w:cs="Arial"/>
                <w:color w:val="000000"/>
                <w:szCs w:val="20"/>
              </w:rPr>
              <w:t>ges in an upright position for 8</w:t>
            </w:r>
            <w:r>
              <w:rPr>
                <w:rFonts w:cs="Arial"/>
                <w:color w:val="000000"/>
                <w:szCs w:val="20"/>
              </w:rPr>
              <w:t xml:space="preserve"> hour</w:t>
            </w:r>
            <w:r w:rsidR="00D75391">
              <w:rPr>
                <w:rFonts w:cs="Arial"/>
                <w:color w:val="000000"/>
                <w:szCs w:val="20"/>
              </w:rPr>
              <w:t>s</w:t>
            </w:r>
            <w:r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290C39">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0BF4B6AE"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21205933" w:rsidR="0081197E" w:rsidRPr="00DC7421" w:rsidRDefault="00290C39" w:rsidP="00D75391">
                  <w:pPr>
                    <w:autoSpaceDE w:val="0"/>
                    <w:autoSpaceDN w:val="0"/>
                    <w:adjustRightInd w:val="0"/>
                    <w:rPr>
                      <w:rFonts w:cs="Arial"/>
                      <w:szCs w:val="20"/>
                    </w:rPr>
                  </w:pPr>
                  <w:r>
                    <w:rPr>
                      <w:rFonts w:cs="Arial"/>
                      <w:szCs w:val="20"/>
                    </w:rPr>
                    <w:t xml:space="preserve">Abbott </w:t>
                  </w:r>
                  <w:r w:rsidR="00D75391" w:rsidRPr="00D75391">
                    <w:rPr>
                      <w:rFonts w:cs="Arial"/>
                      <w:szCs w:val="20"/>
                    </w:rPr>
                    <w:t>A</w:t>
                  </w:r>
                  <w:r w:rsidR="00D75391">
                    <w:rPr>
                      <w:rFonts w:cs="Arial"/>
                      <w:szCs w:val="20"/>
                    </w:rPr>
                    <w:t xml:space="preserve">linity c Uric Acid Reagent Kit </w:t>
                  </w:r>
                </w:p>
              </w:tc>
              <w:tc>
                <w:tcPr>
                  <w:tcW w:w="1710" w:type="dxa"/>
                  <w:vAlign w:val="center"/>
                </w:tcPr>
                <w:p w14:paraId="78062055" w14:textId="08A80FAC" w:rsidR="0081197E" w:rsidRPr="00DC7421" w:rsidRDefault="00290C39" w:rsidP="0081197E">
                  <w:pPr>
                    <w:pStyle w:val="BodyText"/>
                    <w:tabs>
                      <w:tab w:val="left" w:pos="3240"/>
                    </w:tabs>
                    <w:rPr>
                      <w:rFonts w:cs="Arial"/>
                      <w:szCs w:val="20"/>
                    </w:rPr>
                  </w:pPr>
                  <w:r w:rsidRPr="00290C39">
                    <w:rPr>
                      <w:rFonts w:cs="Arial"/>
                      <w:szCs w:val="20"/>
                    </w:rPr>
                    <w:t>08P5620</w:t>
                  </w:r>
                </w:p>
              </w:tc>
              <w:tc>
                <w:tcPr>
                  <w:tcW w:w="4533" w:type="dxa"/>
                  <w:vAlign w:val="center"/>
                </w:tcPr>
                <w:p w14:paraId="1E13427C" w14:textId="5DF691E2"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D75391" w:rsidRPr="00D75391">
                    <w:rPr>
                      <w:rFonts w:ascii="Arial" w:hAnsi="Arial" w:cs="Arial"/>
                      <w:bCs/>
                    </w:rPr>
                    <w:t>2 to 8°C</w:t>
                  </w:r>
                </w:p>
                <w:p w14:paraId="188F00FD" w14:textId="4E7397E7" w:rsidR="00115DD6" w:rsidRPr="00D75391" w:rsidRDefault="0081197E" w:rsidP="0081197E">
                  <w:pPr>
                    <w:pStyle w:val="Reagents"/>
                    <w:spacing w:after="80"/>
                    <w:rPr>
                      <w:rFonts w:ascii="Arial" w:hAnsi="Arial" w:cs="Arial"/>
                      <w:bCs/>
                    </w:rPr>
                  </w:pPr>
                  <w:r w:rsidRPr="00DC7421">
                    <w:rPr>
                      <w:rFonts w:ascii="Arial" w:hAnsi="Arial" w:cs="Arial"/>
                      <w:b/>
                      <w:bCs/>
                    </w:rPr>
                    <w:t xml:space="preserve">Unopened: </w:t>
                  </w:r>
                  <w:r w:rsidR="00115DD6" w:rsidRPr="00D75391">
                    <w:rPr>
                      <w:rFonts w:ascii="Arial" w:hAnsi="Arial" w:cs="Arial"/>
                      <w:bCs/>
                    </w:rPr>
                    <w:t xml:space="preserve">Until </w:t>
                  </w:r>
                  <w:r w:rsidR="00290C39">
                    <w:rPr>
                      <w:rFonts w:ascii="Arial" w:hAnsi="Arial" w:cs="Arial"/>
                      <w:bCs/>
                    </w:rPr>
                    <w:t>printed manufacturer’s expiration d</w:t>
                  </w:r>
                  <w:r w:rsidR="00115DD6" w:rsidRPr="00D75391">
                    <w:rPr>
                      <w:rFonts w:ascii="Arial" w:hAnsi="Arial" w:cs="Arial"/>
                      <w:bCs/>
                    </w:rPr>
                    <w:t>ate</w:t>
                  </w:r>
                </w:p>
                <w:p w14:paraId="2EC23D08" w14:textId="43975EE5" w:rsidR="0081197E" w:rsidRPr="003F688A" w:rsidRDefault="0081197E" w:rsidP="00115DD6">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D75391">
                    <w:rPr>
                      <w:rFonts w:ascii="Arial" w:hAnsi="Arial" w:cs="Arial"/>
                      <w:bCs/>
                    </w:rPr>
                    <w:t>60 days</w:t>
                  </w:r>
                </w:p>
              </w:tc>
            </w:tr>
            <w:tr w:rsidR="0081197E" w:rsidRPr="00DC7421" w14:paraId="2A1E45AA" w14:textId="77777777" w:rsidTr="00413A69">
              <w:tc>
                <w:tcPr>
                  <w:tcW w:w="2857" w:type="dxa"/>
                  <w:vAlign w:val="center"/>
                </w:tcPr>
                <w:p w14:paraId="417AB88A" w14:textId="710AC37B" w:rsidR="0081197E" w:rsidRPr="00DC7421" w:rsidRDefault="00290C39" w:rsidP="0081197E">
                  <w:pPr>
                    <w:pStyle w:val="BodyText"/>
                    <w:spacing w:after="0"/>
                    <w:rPr>
                      <w:rFonts w:cs="Arial"/>
                      <w:szCs w:val="20"/>
                    </w:rPr>
                  </w:pPr>
                  <w:r>
                    <w:rPr>
                      <w:rFonts w:cs="Arial"/>
                      <w:szCs w:val="20"/>
                    </w:rPr>
                    <w:t xml:space="preserve">Abbott Alinity c </w:t>
                  </w:r>
                  <w:r w:rsidR="00764E69" w:rsidRPr="00764E69">
                    <w:rPr>
                      <w:rFonts w:cs="Arial"/>
                      <w:szCs w:val="20"/>
                    </w:rPr>
                    <w:t>Multiconstituent Calibrator</w:t>
                  </w:r>
                </w:p>
              </w:tc>
              <w:tc>
                <w:tcPr>
                  <w:tcW w:w="1710" w:type="dxa"/>
                  <w:vAlign w:val="center"/>
                </w:tcPr>
                <w:p w14:paraId="1C065F4D" w14:textId="4296D208" w:rsidR="0081197E" w:rsidRPr="00290C39" w:rsidRDefault="00764E69" w:rsidP="0081197E">
                  <w:pPr>
                    <w:rPr>
                      <w:rFonts w:cs="Arial"/>
                      <w:szCs w:val="20"/>
                    </w:rPr>
                  </w:pPr>
                  <w:r w:rsidRPr="00290C39">
                    <w:rPr>
                      <w:rFonts w:cs="Arial"/>
                      <w:bCs/>
                      <w:szCs w:val="20"/>
                    </w:rPr>
                    <w:t>08P6001</w:t>
                  </w:r>
                </w:p>
              </w:tc>
              <w:tc>
                <w:tcPr>
                  <w:tcW w:w="4533" w:type="dxa"/>
                  <w:vAlign w:val="center"/>
                </w:tcPr>
                <w:p w14:paraId="1D82051F" w14:textId="77777777" w:rsidR="00764E69" w:rsidRPr="00115DD6" w:rsidRDefault="0081197E" w:rsidP="00764E69">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764E69" w:rsidRPr="00D75391">
                    <w:rPr>
                      <w:rFonts w:ascii="Arial" w:hAnsi="Arial" w:cs="Arial"/>
                      <w:bCs/>
                    </w:rPr>
                    <w:t>2 to 8°C</w:t>
                  </w:r>
                </w:p>
                <w:p w14:paraId="200B2E4F" w14:textId="231023B1" w:rsidR="00764E69" w:rsidRPr="00D75391" w:rsidRDefault="00764E69" w:rsidP="00764E69">
                  <w:pPr>
                    <w:pStyle w:val="Reagents"/>
                    <w:spacing w:after="80"/>
                    <w:rPr>
                      <w:rFonts w:ascii="Arial" w:hAnsi="Arial" w:cs="Arial"/>
                      <w:bCs/>
                    </w:rPr>
                  </w:pPr>
                  <w:r w:rsidRPr="00DC7421">
                    <w:rPr>
                      <w:rFonts w:ascii="Arial" w:hAnsi="Arial" w:cs="Arial"/>
                      <w:b/>
                      <w:bCs/>
                    </w:rPr>
                    <w:t xml:space="preserve">Unopened: </w:t>
                  </w:r>
                  <w:r w:rsidRPr="00D75391">
                    <w:rPr>
                      <w:rFonts w:ascii="Arial" w:hAnsi="Arial" w:cs="Arial"/>
                      <w:bCs/>
                    </w:rPr>
                    <w:t xml:space="preserve">Until </w:t>
                  </w:r>
                  <w:r w:rsidR="00290C39">
                    <w:rPr>
                      <w:rFonts w:ascii="Arial" w:hAnsi="Arial" w:cs="Arial"/>
                      <w:bCs/>
                    </w:rPr>
                    <w:t>printed manufacturer’s expiration d</w:t>
                  </w:r>
                  <w:r w:rsidRPr="00D75391">
                    <w:rPr>
                      <w:rFonts w:ascii="Arial" w:hAnsi="Arial" w:cs="Arial"/>
                      <w:bCs/>
                    </w:rPr>
                    <w:t>ate</w:t>
                  </w:r>
                </w:p>
                <w:p w14:paraId="05D3D1A4" w14:textId="67FC6171" w:rsidR="0081197E" w:rsidRPr="00DC7421" w:rsidRDefault="0081197E" w:rsidP="00D75391">
                  <w:pPr>
                    <w:pStyle w:val="BodyText"/>
                    <w:spacing w:after="80"/>
                    <w:rPr>
                      <w:rFonts w:cs="Arial"/>
                      <w:szCs w:val="20"/>
                    </w:rPr>
                  </w:pPr>
                  <w:r w:rsidRPr="00DC7421">
                    <w:rPr>
                      <w:rFonts w:cs="Arial"/>
                      <w:b/>
                      <w:bCs/>
                      <w:szCs w:val="20"/>
                    </w:rPr>
                    <w:t>Opened expiration:</w:t>
                  </w:r>
                  <w:r w:rsidR="00764E69">
                    <w:rPr>
                      <w:rFonts w:cs="Arial"/>
                      <w:b/>
                      <w:bCs/>
                      <w:szCs w:val="20"/>
                    </w:rPr>
                    <w:t xml:space="preserve"> 7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08F447A8" w:rsidR="009475C8" w:rsidRDefault="00D75391" w:rsidP="00D75391">
            <w:pPr>
              <w:rPr>
                <w:szCs w:val="20"/>
              </w:rPr>
            </w:pPr>
            <w:r w:rsidRPr="00D75391">
              <w:rPr>
                <w:szCs w:val="20"/>
              </w:rPr>
              <w:t>This product requires the handling of human specimens.</w:t>
            </w:r>
            <w:r>
              <w:rPr>
                <w:szCs w:val="20"/>
              </w:rPr>
              <w:t xml:space="preserve"> </w:t>
            </w:r>
            <w:r w:rsidRPr="00D75391">
              <w:rPr>
                <w:szCs w:val="20"/>
              </w:rPr>
              <w:t>It is recommended that all human-sourced materials be considered</w:t>
            </w:r>
            <w:r>
              <w:rPr>
                <w:szCs w:val="20"/>
              </w:rPr>
              <w:t xml:space="preserve"> </w:t>
            </w:r>
            <w:r w:rsidRPr="00D75391">
              <w:rPr>
                <w:szCs w:val="20"/>
              </w:rPr>
              <w:t>potentially infectious and handled in accordance with the OSHA</w:t>
            </w:r>
            <w:r>
              <w:rPr>
                <w:szCs w:val="20"/>
              </w:rPr>
              <w:t xml:space="preserve"> </w:t>
            </w:r>
            <w:r w:rsidRPr="00D75391">
              <w:rPr>
                <w:szCs w:val="20"/>
              </w:rPr>
              <w:t>Standard on Bloodborne Pathogens. Biosafety Level 2 or other</w:t>
            </w:r>
            <w:r>
              <w:rPr>
                <w:szCs w:val="20"/>
              </w:rPr>
              <w:t xml:space="preserve"> </w:t>
            </w:r>
            <w:r w:rsidRPr="00D75391">
              <w:rPr>
                <w:szCs w:val="20"/>
              </w:rPr>
              <w:t>appropriate biosafety practices should be used for materials that</w:t>
            </w:r>
            <w:r>
              <w:rPr>
                <w:szCs w:val="20"/>
              </w:rPr>
              <w:t xml:space="preserve"> </w:t>
            </w:r>
            <w:r w:rsidRPr="00D75391">
              <w:rPr>
                <w:szCs w:val="20"/>
              </w:rPr>
              <w:t>contain or are suspected of containing infectious agents.</w:t>
            </w:r>
          </w:p>
          <w:p w14:paraId="1E6DB985" w14:textId="77777777" w:rsidR="00D75391" w:rsidRPr="00D75391" w:rsidRDefault="00D75391" w:rsidP="00D75391">
            <w:pPr>
              <w:rPr>
                <w:i/>
                <w:szCs w:val="20"/>
              </w:rPr>
            </w:pPr>
          </w:p>
          <w:p w14:paraId="7272F3B6" w14:textId="28D24871" w:rsidR="00D75391" w:rsidRDefault="00D75391" w:rsidP="00D75391">
            <w:pPr>
              <w:rPr>
                <w:szCs w:val="20"/>
              </w:rPr>
            </w:pPr>
            <w:r w:rsidRPr="00D75391">
              <w:rPr>
                <w:i/>
                <w:szCs w:val="20"/>
              </w:rPr>
              <w:t>The following warnings and precautions apply to:</w:t>
            </w:r>
            <w:r>
              <w:rPr>
                <w:szCs w:val="20"/>
              </w:rPr>
              <w:t xml:space="preserve"> </w:t>
            </w:r>
            <w:r w:rsidRPr="00D75391">
              <w:rPr>
                <w:b/>
                <w:szCs w:val="20"/>
              </w:rPr>
              <w:t>R1</w:t>
            </w:r>
          </w:p>
          <w:p w14:paraId="730C0575" w14:textId="6A6DE134" w:rsidR="00D75391" w:rsidRPr="00D75391" w:rsidRDefault="00D75391" w:rsidP="00D75391">
            <w:pPr>
              <w:rPr>
                <w:szCs w:val="20"/>
              </w:rPr>
            </w:pPr>
            <w:r>
              <w:rPr>
                <w:noProof/>
              </w:rPr>
              <w:drawing>
                <wp:inline distT="0" distB="0" distL="0" distR="0" wp14:anchorId="1697F888" wp14:editId="5F262670">
                  <wp:extent cx="857143" cy="42857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57143" cy="428571"/>
                          </a:xfrm>
                          <a:prstGeom prst="rect">
                            <a:avLst/>
                          </a:prstGeom>
                        </pic:spPr>
                      </pic:pic>
                    </a:graphicData>
                  </a:graphic>
                </wp:inline>
              </w:drawing>
            </w:r>
            <w:r w:rsidRPr="00D75391">
              <w:rPr>
                <w:b/>
                <w:bCs/>
                <w:szCs w:val="20"/>
              </w:rPr>
              <w:t xml:space="preserve">DANGER </w:t>
            </w:r>
            <w:r>
              <w:rPr>
                <w:szCs w:val="20"/>
              </w:rPr>
              <w:t xml:space="preserve">Contains boric acid and </w:t>
            </w:r>
            <w:proofErr w:type="spellStart"/>
            <w:r w:rsidRPr="00D75391">
              <w:rPr>
                <w:szCs w:val="20"/>
              </w:rPr>
              <w:t>methylchloroisothiazolinone</w:t>
            </w:r>
            <w:proofErr w:type="spellEnd"/>
            <w:r w:rsidRPr="00D75391">
              <w:rPr>
                <w:szCs w:val="20"/>
              </w:rPr>
              <w:t>.</w:t>
            </w:r>
          </w:p>
          <w:p w14:paraId="2F3A3D16" w14:textId="67CB5634" w:rsidR="00D75391" w:rsidRPr="00D75391" w:rsidRDefault="00D75391" w:rsidP="00D75391">
            <w:pPr>
              <w:rPr>
                <w:szCs w:val="20"/>
              </w:rPr>
            </w:pPr>
            <w:r>
              <w:rPr>
                <w:szCs w:val="20"/>
              </w:rPr>
              <w:t xml:space="preserve">     </w:t>
            </w:r>
            <w:r w:rsidRPr="00D75391">
              <w:rPr>
                <w:szCs w:val="20"/>
              </w:rPr>
              <w:t>May cause an allergic skin reaction.</w:t>
            </w:r>
          </w:p>
          <w:p w14:paraId="684637E7" w14:textId="7EB70498" w:rsidR="00D75391" w:rsidRPr="00D75391" w:rsidRDefault="00D75391" w:rsidP="00D75391">
            <w:pPr>
              <w:rPr>
                <w:szCs w:val="20"/>
              </w:rPr>
            </w:pPr>
            <w:r>
              <w:rPr>
                <w:szCs w:val="20"/>
              </w:rPr>
              <w:t xml:space="preserve">     </w:t>
            </w:r>
            <w:r w:rsidRPr="00D75391">
              <w:rPr>
                <w:szCs w:val="20"/>
              </w:rPr>
              <w:t>May damage fertility or the unborn child.</w:t>
            </w:r>
          </w:p>
          <w:p w14:paraId="6360BE9B" w14:textId="4E383726" w:rsidR="00D75391" w:rsidRDefault="00D75391" w:rsidP="00D75391">
            <w:pPr>
              <w:rPr>
                <w:szCs w:val="20"/>
              </w:rPr>
            </w:pPr>
            <w:r>
              <w:rPr>
                <w:szCs w:val="20"/>
              </w:rPr>
              <w:t xml:space="preserve">     </w:t>
            </w:r>
            <w:r w:rsidRPr="00D75391">
              <w:rPr>
                <w:szCs w:val="20"/>
              </w:rPr>
              <w:t>Causes mild skin irritation.</w:t>
            </w:r>
          </w:p>
          <w:p w14:paraId="5DA8976D" w14:textId="77777777" w:rsidR="00D75391" w:rsidRPr="00D75391" w:rsidRDefault="00D75391" w:rsidP="00D75391">
            <w:pPr>
              <w:rPr>
                <w:i/>
                <w:szCs w:val="20"/>
              </w:rPr>
            </w:pPr>
          </w:p>
          <w:p w14:paraId="27C61CA5" w14:textId="17E252E1" w:rsidR="00D75391" w:rsidRDefault="00D75391" w:rsidP="00D75391">
            <w:pPr>
              <w:rPr>
                <w:szCs w:val="20"/>
              </w:rPr>
            </w:pPr>
            <w:r w:rsidRPr="00D75391">
              <w:rPr>
                <w:i/>
                <w:szCs w:val="20"/>
              </w:rPr>
              <w:t>The following warnings and precautions apply to:</w:t>
            </w:r>
            <w:r>
              <w:rPr>
                <w:szCs w:val="20"/>
              </w:rPr>
              <w:t xml:space="preserve"> </w:t>
            </w:r>
            <w:r w:rsidRPr="00D75391">
              <w:rPr>
                <w:b/>
                <w:szCs w:val="20"/>
              </w:rPr>
              <w:t>R2</w:t>
            </w:r>
          </w:p>
          <w:p w14:paraId="18302718" w14:textId="023184B0" w:rsidR="00D75391" w:rsidRPr="00D75391" w:rsidRDefault="00D75391" w:rsidP="00D75391">
            <w:pPr>
              <w:rPr>
                <w:szCs w:val="20"/>
              </w:rPr>
            </w:pPr>
            <w:r>
              <w:rPr>
                <w:noProof/>
              </w:rPr>
              <w:drawing>
                <wp:inline distT="0" distB="0" distL="0" distR="0" wp14:anchorId="27D601D1" wp14:editId="287F078F">
                  <wp:extent cx="429260" cy="445135"/>
                  <wp:effectExtent l="0" t="0" r="8890" b="0"/>
                  <wp:docPr id="5" name="Picture 5" descr="C:\Users\CE154502\AppData\Local\Temp\SNAGHTML2a5f77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154502\AppData\Local\Temp\SNAGHTML2a5f77a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r w:rsidRPr="00D75391">
              <w:rPr>
                <w:rFonts w:ascii="HelenPro-Bold" w:eastAsia="HelenPro-Bold" w:hAnsi="Times New Roman" w:cs="HelenPro-Bold"/>
                <w:b/>
                <w:bCs/>
                <w:sz w:val="17"/>
                <w:szCs w:val="17"/>
              </w:rPr>
              <w:t xml:space="preserve"> </w:t>
            </w:r>
            <w:r w:rsidRPr="00D75391">
              <w:rPr>
                <w:b/>
                <w:bCs/>
                <w:szCs w:val="20"/>
              </w:rPr>
              <w:t xml:space="preserve">WARNING </w:t>
            </w:r>
            <w:r w:rsidRPr="00D75391">
              <w:rPr>
                <w:szCs w:val="20"/>
              </w:rPr>
              <w:t xml:space="preserve">Contains </w:t>
            </w:r>
            <w:proofErr w:type="spellStart"/>
            <w:r w:rsidRPr="00D75391">
              <w:rPr>
                <w:szCs w:val="20"/>
              </w:rPr>
              <w:t>methylchloroisothiazolinone</w:t>
            </w:r>
            <w:proofErr w:type="spellEnd"/>
            <w:r w:rsidRPr="00D75391">
              <w:rPr>
                <w:szCs w:val="20"/>
              </w:rPr>
              <w:t>.</w:t>
            </w:r>
          </w:p>
          <w:p w14:paraId="609240D4" w14:textId="101097FE" w:rsidR="00D75391" w:rsidRDefault="00D75391" w:rsidP="00D75391">
            <w:pPr>
              <w:rPr>
                <w:szCs w:val="20"/>
              </w:rPr>
            </w:pPr>
            <w:r>
              <w:rPr>
                <w:szCs w:val="20"/>
              </w:rPr>
              <w:t xml:space="preserve">        </w:t>
            </w:r>
            <w:r w:rsidRPr="00D75391">
              <w:rPr>
                <w:szCs w:val="20"/>
              </w:rPr>
              <w:t>May cause an allergic skin reaction.</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5"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290C39">
        <w:trPr>
          <w:tblHeader/>
        </w:trPr>
        <w:tc>
          <w:tcPr>
            <w:tcW w:w="1800" w:type="dxa"/>
            <w:tcBorders>
              <w:top w:val="nil"/>
              <w:left w:val="nil"/>
              <w:bottom w:val="nil"/>
              <w:right w:val="nil"/>
            </w:tcBorders>
          </w:tcPr>
          <w:p w14:paraId="5CCFFFD2" w14:textId="65CDDC9B"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3C4E2061"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78CAC86D" w:rsidR="00626FF9" w:rsidRPr="00626FF9" w:rsidRDefault="00626FF9" w:rsidP="00626FF9">
                  <w:pPr>
                    <w:pStyle w:val="CalVerTable"/>
                    <w:rPr>
                      <w:rFonts w:ascii="Arial" w:hAnsi="Arial" w:cs="Arial"/>
                    </w:rPr>
                  </w:pPr>
                  <w:r>
                    <w:rPr>
                      <w:rFonts w:ascii="Arial" w:hAnsi="Arial" w:cs="Arial"/>
                    </w:rPr>
                    <w:t>Serum/</w:t>
                  </w:r>
                  <w:r w:rsidRPr="00290C39">
                    <w:rPr>
                      <w:rFonts w:ascii="Arial" w:hAnsi="Arial" w:cs="Arial"/>
                    </w:rPr>
                    <w:t xml:space="preserve">plasma: </w:t>
                  </w:r>
                  <w:r w:rsidR="00290C39">
                    <w:rPr>
                      <w:rFonts w:ascii="Arial" w:hAnsi="Arial" w:cs="Arial"/>
                    </w:rPr>
                    <w:t>1 to 33</w:t>
                  </w:r>
                  <w:r w:rsidRPr="00290C39">
                    <w:rPr>
                      <w:rFonts w:ascii="Arial" w:hAnsi="Arial" w:cs="Arial"/>
                    </w:rPr>
                    <w:t xml:space="preserve"> mg/dL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54205AC2" w:rsidR="00F50200" w:rsidRPr="00DC7421" w:rsidRDefault="00764E69" w:rsidP="00440E37">
                  <w:pPr>
                    <w:pStyle w:val="BodyText"/>
                    <w:rPr>
                      <w:rFonts w:cs="Arial"/>
                      <w:szCs w:val="20"/>
                    </w:rPr>
                  </w:pPr>
                  <w:r w:rsidRPr="00764E69">
                    <w:rPr>
                      <w:rFonts w:cs="Arial"/>
                      <w:szCs w:val="20"/>
                    </w:rPr>
                    <w:t>Multiconstituent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7D90ECE5" w:rsidR="005B66A7" w:rsidRPr="00DC7421" w:rsidRDefault="00626FF9" w:rsidP="001D1786">
                  <w:pPr>
                    <w:pStyle w:val="CalVerTable"/>
                    <w:ind w:left="0" w:firstLine="0"/>
                    <w:rPr>
                      <w:rFonts w:ascii="Arial" w:hAnsi="Arial" w:cs="Arial"/>
                    </w:rPr>
                  </w:pPr>
                  <w:r>
                    <w:rPr>
                      <w:rFonts w:ascii="Arial" w:hAnsi="Arial" w:cs="Arial"/>
                    </w:rPr>
                    <w:t>2 levels</w:t>
                  </w:r>
                </w:p>
              </w:tc>
            </w:tr>
            <w:tr w:rsidR="00F50200" w:rsidRPr="00DC7421" w14:paraId="5CCFFFE4" w14:textId="77777777" w:rsidTr="001C1CFA">
              <w:tc>
                <w:tcPr>
                  <w:tcW w:w="2947" w:type="dxa"/>
                </w:tcPr>
                <w:p w14:paraId="5CCFFFE2" w14:textId="77777777" w:rsidR="00F50200" w:rsidRPr="00290C39" w:rsidRDefault="00F50200" w:rsidP="00A32948">
                  <w:pPr>
                    <w:pStyle w:val="CalVerTable"/>
                    <w:ind w:left="0" w:firstLine="0"/>
                    <w:rPr>
                      <w:rFonts w:ascii="Arial" w:hAnsi="Arial" w:cs="Arial"/>
                    </w:rPr>
                  </w:pPr>
                  <w:r w:rsidRPr="00290C39">
                    <w:rPr>
                      <w:rFonts w:ascii="Arial" w:hAnsi="Arial" w:cs="Arial"/>
                    </w:rPr>
                    <w:t>Calibration Scheme:</w:t>
                  </w:r>
                </w:p>
              </w:tc>
              <w:tc>
                <w:tcPr>
                  <w:tcW w:w="6269" w:type="dxa"/>
                </w:tcPr>
                <w:p w14:paraId="5CCFFFE3" w14:textId="6D9C3481" w:rsidR="00F50200" w:rsidRPr="00290C39" w:rsidRDefault="00626FF9" w:rsidP="00626FF9">
                  <w:pPr>
                    <w:pStyle w:val="CalVerTable"/>
                    <w:rPr>
                      <w:rFonts w:ascii="Arial" w:hAnsi="Arial" w:cs="Arial"/>
                    </w:rPr>
                  </w:pPr>
                  <w:r w:rsidRPr="00290C39">
                    <w:rPr>
                      <w:rFonts w:ascii="Arial" w:hAnsi="Arial" w:cs="Arial"/>
                    </w:rPr>
                    <w:t>Linear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CF97A4F" w:rsidR="00F50200" w:rsidRPr="00DC7421" w:rsidRDefault="00626FF9" w:rsidP="004A698D">
                  <w:pPr>
                    <w:pStyle w:val="Pa10"/>
                    <w:rPr>
                      <w:rFonts w:ascii="Arial" w:hAnsi="Arial" w:cs="Arial"/>
                      <w:sz w:val="20"/>
                      <w:szCs w:val="20"/>
                    </w:rPr>
                  </w:pPr>
                  <w:r>
                    <w:rPr>
                      <w:rFonts w:ascii="Arial" w:hAnsi="Arial" w:cs="Arial"/>
                      <w:sz w:val="20"/>
                      <w:szCs w:val="20"/>
                    </w:rPr>
                    <w:t>60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15D481D7" w:rsidR="00F50200" w:rsidRPr="00DC7421" w:rsidRDefault="009475C8" w:rsidP="00A166AA">
                  <w:pPr>
                    <w:autoSpaceDE w:val="0"/>
                    <w:autoSpaceDN w:val="0"/>
                    <w:adjustRightInd w:val="0"/>
                    <w:rPr>
                      <w:rFonts w:cs="Arial"/>
                      <w:szCs w:val="20"/>
                    </w:rPr>
                  </w:pPr>
                  <w:r w:rsidRPr="00DC7421">
                    <w:rPr>
                      <w:rFonts w:cs="Arial"/>
                      <w:szCs w:val="20"/>
                    </w:rPr>
                    <w:t xml:space="preserve">AMR </w:t>
                  </w:r>
                  <w:r w:rsidRPr="00290C39">
                    <w:rPr>
                      <w:rFonts w:cs="Arial"/>
                      <w:szCs w:val="20"/>
                    </w:rPr>
                    <w:t xml:space="preserve">is verified twice annually using the Maine Standards </w:t>
                  </w:r>
                  <w:r w:rsidR="00290C39">
                    <w:rPr>
                      <w:rFonts w:cs="Arial"/>
                      <w:szCs w:val="20"/>
                    </w:rPr>
                    <w:t>GC2 Product # 1200ab</w:t>
                  </w:r>
                  <w:r w:rsidRPr="00290C39">
                    <w:rPr>
                      <w:rFonts w:cs="Arial"/>
                      <w:szCs w:val="20"/>
                    </w:rPr>
                    <w:t xml:space="preserve"> by running all applicable levels in triplicate.  Assay results are submitted to Maine Standards for compilation and comparison to peers.  Results are reviewed and approved by the Technical Specialist.  Questionable results are investigated and corrective actions documented.</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7CC4627D" w14:textId="17DA7CD4" w:rsidR="00764E69" w:rsidRDefault="00290C39" w:rsidP="00764E69">
            <w:pPr>
              <w:autoSpaceDE w:val="0"/>
              <w:autoSpaceDN w:val="0"/>
              <w:adjustRightInd w:val="0"/>
              <w:jc w:val="both"/>
              <w:rPr>
                <w:rFonts w:cs="Arial"/>
                <w:b/>
                <w:szCs w:val="20"/>
              </w:rPr>
            </w:pPr>
            <w:r>
              <w:rPr>
                <w:rFonts w:cs="Arial"/>
                <w:b/>
                <w:szCs w:val="20"/>
              </w:rPr>
              <w:t>QC</w:t>
            </w:r>
            <w:r w:rsidR="00764E69" w:rsidRPr="00E47DE5">
              <w:rPr>
                <w:rFonts w:cs="Arial"/>
                <w:b/>
                <w:szCs w:val="20"/>
              </w:rPr>
              <w:t xml:space="preserve"> Material</w:t>
            </w:r>
            <w:r w:rsidR="00764E69" w:rsidRPr="00C6560E">
              <w:rPr>
                <w:rFonts w:cs="Arial"/>
                <w:szCs w:val="20"/>
              </w:rPr>
              <w:t>:</w:t>
            </w:r>
            <w:r>
              <w:rPr>
                <w:rFonts w:cs="Arial"/>
                <w:szCs w:val="20"/>
              </w:rPr>
              <w:t xml:space="preserve"> </w:t>
            </w:r>
            <w:r w:rsidR="00764E69">
              <w:rPr>
                <w:rFonts w:cs="Arial"/>
                <w:szCs w:val="20"/>
              </w:rPr>
              <w:t>Bio-Rad</w:t>
            </w:r>
            <w:r>
              <w:rPr>
                <w:rFonts w:cs="Arial"/>
                <w:szCs w:val="20"/>
              </w:rPr>
              <w:t xml:space="preserve"> Liquichek</w:t>
            </w:r>
            <w:r w:rsidR="00764E69" w:rsidRPr="00C6560E">
              <w:rPr>
                <w:rFonts w:cs="Arial"/>
                <w:szCs w:val="20"/>
              </w:rPr>
              <w:t xml:space="preserve"> Unassayed Multiqual</w:t>
            </w:r>
            <w:r>
              <w:rPr>
                <w:rFonts w:cs="Arial"/>
                <w:szCs w:val="20"/>
              </w:rPr>
              <w:t xml:space="preserve"> 1,2,3 Level 1 and 3</w:t>
            </w:r>
          </w:p>
          <w:p w14:paraId="150347D4" w14:textId="77777777" w:rsidR="00764E69" w:rsidRPr="00E47DE5" w:rsidRDefault="00764E69" w:rsidP="00764E69">
            <w:pPr>
              <w:autoSpaceDE w:val="0"/>
              <w:autoSpaceDN w:val="0"/>
              <w:adjustRightInd w:val="0"/>
              <w:jc w:val="both"/>
              <w:rPr>
                <w:rFonts w:cs="Arial"/>
                <w:b/>
                <w:szCs w:val="20"/>
              </w:rPr>
            </w:pPr>
          </w:p>
          <w:p w14:paraId="39E75194" w14:textId="21ACF63F" w:rsidR="00764E69" w:rsidRDefault="00764E69" w:rsidP="00764E69">
            <w:pPr>
              <w:autoSpaceDE w:val="0"/>
              <w:autoSpaceDN w:val="0"/>
              <w:adjustRightInd w:val="0"/>
              <w:jc w:val="both"/>
              <w:rPr>
                <w:szCs w:val="20"/>
              </w:rPr>
            </w:pPr>
            <w:r w:rsidRPr="00DC7421">
              <w:rPr>
                <w:rFonts w:cs="Arial"/>
                <w:b/>
                <w:bCs/>
                <w:szCs w:val="20"/>
              </w:rPr>
              <w:t xml:space="preserve">Frequency: </w:t>
            </w:r>
            <w:r>
              <w:rPr>
                <w:szCs w:val="20"/>
              </w:rPr>
              <w:t>Two le</w:t>
            </w:r>
            <w:r w:rsidR="00290C39">
              <w:rPr>
                <w:szCs w:val="20"/>
              </w:rPr>
              <w:t>vels</w:t>
            </w:r>
            <w:r>
              <w:rPr>
                <w:szCs w:val="20"/>
              </w:rPr>
              <w:t xml:space="preserve"> each day of use </w:t>
            </w:r>
          </w:p>
          <w:p w14:paraId="7A317221" w14:textId="77777777" w:rsidR="00764E69" w:rsidRPr="00DC7421" w:rsidRDefault="00764E69" w:rsidP="00764E69">
            <w:pPr>
              <w:autoSpaceDE w:val="0"/>
              <w:autoSpaceDN w:val="0"/>
              <w:adjustRightInd w:val="0"/>
              <w:jc w:val="both"/>
              <w:rPr>
                <w:rFonts w:cs="Arial"/>
                <w:szCs w:val="20"/>
              </w:rPr>
            </w:pPr>
          </w:p>
          <w:p w14:paraId="55F4543F" w14:textId="497F2D18" w:rsidR="00764E69" w:rsidRDefault="00764E69" w:rsidP="00764E69">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Once thawed, opened, and sto</w:t>
            </w:r>
            <w:r w:rsidR="00290C39">
              <w:rPr>
                <w:szCs w:val="20"/>
              </w:rPr>
              <w:t>red tightly capped at 2 to 8°C,</w:t>
            </w:r>
            <w:r>
              <w:rPr>
                <w:b/>
                <w:bCs/>
                <w:szCs w:val="20"/>
              </w:rPr>
              <w:t xml:space="preserve"> </w:t>
            </w:r>
            <w:r>
              <w:rPr>
                <w:szCs w:val="20"/>
              </w:rPr>
              <w:t xml:space="preserve">product will be labeled with an expiration date equal to the shortest stability of the included analytes, which is </w:t>
            </w:r>
            <w:r>
              <w:rPr>
                <w:b/>
                <w:bCs/>
                <w:szCs w:val="20"/>
              </w:rPr>
              <w:t xml:space="preserve">7 days. </w:t>
            </w:r>
          </w:p>
          <w:p w14:paraId="1950E342" w14:textId="77777777" w:rsidR="00764E69" w:rsidRPr="00DC7421" w:rsidRDefault="00764E69" w:rsidP="00764E69">
            <w:pPr>
              <w:autoSpaceDE w:val="0"/>
              <w:autoSpaceDN w:val="0"/>
              <w:adjustRightInd w:val="0"/>
              <w:rPr>
                <w:rFonts w:cs="Arial"/>
                <w:szCs w:val="20"/>
              </w:rPr>
            </w:pPr>
          </w:p>
          <w:p w14:paraId="4F2B23CE" w14:textId="77777777" w:rsidR="00764E69" w:rsidRDefault="00764E69" w:rsidP="00764E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450984F4" w14:textId="77777777" w:rsidR="00764E69" w:rsidRDefault="00764E69" w:rsidP="00764E69">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193E6CCB" w14:textId="735E1ABC" w:rsidR="00764E69" w:rsidRDefault="00764E69" w:rsidP="00764E69">
            <w:pPr>
              <w:pStyle w:val="Default"/>
              <w:numPr>
                <w:ilvl w:val="0"/>
                <w:numId w:val="41"/>
              </w:numPr>
              <w:rPr>
                <w:sz w:val="20"/>
                <w:szCs w:val="20"/>
              </w:rPr>
            </w:pPr>
            <w:r>
              <w:rPr>
                <w:sz w:val="20"/>
                <w:szCs w:val="20"/>
              </w:rPr>
              <w:t>To thaw the product, allow it to stand at room temperature (18° to 25°C) until completely thawed but no longer than on</w:t>
            </w:r>
            <w:r w:rsidR="00290C39">
              <w:rPr>
                <w:sz w:val="20"/>
                <w:szCs w:val="20"/>
              </w:rPr>
              <w:t>e (1) hour</w:t>
            </w:r>
          </w:p>
          <w:p w14:paraId="0AE06DA8" w14:textId="77777777" w:rsidR="00764E69" w:rsidRDefault="00764E69" w:rsidP="00764E69">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5EDB8B90" w14:textId="77777777" w:rsidR="00764E69" w:rsidRDefault="00764E69" w:rsidP="00764E69">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278602BC" w14:textId="77777777" w:rsidR="00764E69" w:rsidRDefault="00764E69" w:rsidP="00764E69">
            <w:pPr>
              <w:pStyle w:val="Default"/>
              <w:numPr>
                <w:ilvl w:val="0"/>
                <w:numId w:val="41"/>
              </w:numPr>
              <w:rPr>
                <w:sz w:val="20"/>
                <w:szCs w:val="20"/>
              </w:rPr>
            </w:pPr>
            <w:r>
              <w:rPr>
                <w:b/>
                <w:bCs/>
                <w:sz w:val="20"/>
                <w:szCs w:val="20"/>
              </w:rPr>
              <w:t>Before each use</w:t>
            </w:r>
            <w:r>
              <w:rPr>
                <w:sz w:val="20"/>
                <w:szCs w:val="20"/>
              </w:rPr>
              <w:t xml:space="preserve">, gently swirl the contents until homogeneous with no visible signs of precipitate.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795628FF" w:rsidR="00420763" w:rsidRPr="00DC7421" w:rsidRDefault="00420763" w:rsidP="00420763">
            <w:pPr>
              <w:pStyle w:val="ListParagraph"/>
              <w:numPr>
                <w:ilvl w:val="0"/>
                <w:numId w:val="19"/>
              </w:numPr>
              <w:jc w:val="both"/>
              <w:rPr>
                <w:rFonts w:cs="Arial"/>
                <w:szCs w:val="20"/>
              </w:rPr>
            </w:pPr>
            <w:r w:rsidRPr="00DC7421">
              <w:rPr>
                <w:rFonts w:cs="Arial"/>
                <w:szCs w:val="20"/>
              </w:rPr>
              <w:t>Refer to the Westgard Rules in Chemis</w:t>
            </w:r>
            <w:r w:rsidR="00491D12">
              <w:rPr>
                <w:rFonts w:cs="Arial"/>
                <w:szCs w:val="20"/>
              </w:rPr>
              <w:t>try procedure</w:t>
            </w:r>
            <w:r w:rsidRPr="00DC7421">
              <w:rPr>
                <w:rFonts w:cs="Arial"/>
                <w:szCs w:val="20"/>
              </w:rPr>
              <w:t xml:space="preserv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6"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18824258" w14:textId="77777777" w:rsidR="00290C39" w:rsidRPr="00234207" w:rsidRDefault="00290C39" w:rsidP="00290C39">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290C39" w:rsidRPr="006A26B2" w14:paraId="0DEF4EA1" w14:textId="77777777" w:rsidTr="00817F9E">
              <w:tc>
                <w:tcPr>
                  <w:tcW w:w="472" w:type="dxa"/>
                </w:tcPr>
                <w:p w14:paraId="5837DD5E" w14:textId="77777777" w:rsidR="00290C39" w:rsidRPr="006A26B2" w:rsidRDefault="00290C39" w:rsidP="00290C39">
                  <w:pPr>
                    <w:autoSpaceDE w:val="0"/>
                    <w:autoSpaceDN w:val="0"/>
                    <w:adjustRightInd w:val="0"/>
                    <w:jc w:val="both"/>
                    <w:rPr>
                      <w:rFonts w:cs="Arial"/>
                      <w:b/>
                      <w:szCs w:val="20"/>
                    </w:rPr>
                  </w:pPr>
                  <w:r w:rsidRPr="006A26B2">
                    <w:rPr>
                      <w:rFonts w:cs="Arial"/>
                      <w:b/>
                      <w:szCs w:val="20"/>
                    </w:rPr>
                    <w:t>H</w:t>
                  </w:r>
                </w:p>
              </w:tc>
              <w:tc>
                <w:tcPr>
                  <w:tcW w:w="394" w:type="dxa"/>
                </w:tcPr>
                <w:p w14:paraId="72345036" w14:textId="77777777" w:rsidR="00290C39" w:rsidRPr="006A26B2" w:rsidRDefault="00290C39" w:rsidP="00290C39">
                  <w:pPr>
                    <w:autoSpaceDE w:val="0"/>
                    <w:autoSpaceDN w:val="0"/>
                    <w:adjustRightInd w:val="0"/>
                    <w:jc w:val="both"/>
                    <w:rPr>
                      <w:rFonts w:cs="Arial"/>
                      <w:b/>
                      <w:szCs w:val="20"/>
                    </w:rPr>
                  </w:pPr>
                  <w:r w:rsidRPr="006A26B2">
                    <w:rPr>
                      <w:rFonts w:cs="Arial"/>
                      <w:b/>
                      <w:szCs w:val="20"/>
                    </w:rPr>
                    <w:t>I</w:t>
                  </w:r>
                </w:p>
              </w:tc>
              <w:tc>
                <w:tcPr>
                  <w:tcW w:w="443" w:type="dxa"/>
                </w:tcPr>
                <w:p w14:paraId="5BF62B7D" w14:textId="77777777" w:rsidR="00290C39" w:rsidRPr="006A26B2" w:rsidRDefault="00290C39" w:rsidP="00290C39">
                  <w:pPr>
                    <w:autoSpaceDE w:val="0"/>
                    <w:autoSpaceDN w:val="0"/>
                    <w:adjustRightInd w:val="0"/>
                    <w:jc w:val="both"/>
                    <w:rPr>
                      <w:rFonts w:cs="Arial"/>
                      <w:b/>
                      <w:szCs w:val="20"/>
                    </w:rPr>
                  </w:pPr>
                  <w:r w:rsidRPr="006A26B2">
                    <w:rPr>
                      <w:rFonts w:cs="Arial"/>
                      <w:b/>
                      <w:szCs w:val="20"/>
                    </w:rPr>
                    <w:t>L</w:t>
                  </w:r>
                </w:p>
              </w:tc>
            </w:tr>
            <w:tr w:rsidR="00290C39" w:rsidRPr="006A26B2" w14:paraId="03CBD8D7" w14:textId="77777777" w:rsidTr="00817F9E">
              <w:tc>
                <w:tcPr>
                  <w:tcW w:w="472" w:type="dxa"/>
                </w:tcPr>
                <w:p w14:paraId="30A81F67" w14:textId="12F61836" w:rsidR="00290C39" w:rsidRPr="006A26B2" w:rsidRDefault="00290C39" w:rsidP="00290C39">
                  <w:pPr>
                    <w:autoSpaceDE w:val="0"/>
                    <w:autoSpaceDN w:val="0"/>
                    <w:adjustRightInd w:val="0"/>
                    <w:jc w:val="both"/>
                    <w:rPr>
                      <w:rFonts w:cs="Arial"/>
                      <w:b/>
                      <w:szCs w:val="20"/>
                    </w:rPr>
                  </w:pPr>
                  <w:r>
                    <w:rPr>
                      <w:rFonts w:cs="Arial"/>
                      <w:b/>
                      <w:szCs w:val="20"/>
                    </w:rPr>
                    <w:t>-</w:t>
                  </w:r>
                </w:p>
              </w:tc>
              <w:tc>
                <w:tcPr>
                  <w:tcW w:w="394" w:type="dxa"/>
                </w:tcPr>
                <w:p w14:paraId="3CC96CA3" w14:textId="4E8B72F7" w:rsidR="00290C39" w:rsidRPr="006A26B2" w:rsidRDefault="00290C39" w:rsidP="00290C39">
                  <w:pPr>
                    <w:autoSpaceDE w:val="0"/>
                    <w:autoSpaceDN w:val="0"/>
                    <w:adjustRightInd w:val="0"/>
                    <w:jc w:val="both"/>
                    <w:rPr>
                      <w:rFonts w:cs="Arial"/>
                      <w:b/>
                      <w:szCs w:val="20"/>
                    </w:rPr>
                  </w:pPr>
                  <w:r>
                    <w:rPr>
                      <w:rFonts w:cs="Arial"/>
                      <w:b/>
                      <w:szCs w:val="20"/>
                    </w:rPr>
                    <w:t>-</w:t>
                  </w:r>
                </w:p>
              </w:tc>
              <w:tc>
                <w:tcPr>
                  <w:tcW w:w="443" w:type="dxa"/>
                </w:tcPr>
                <w:p w14:paraId="1659883A" w14:textId="77777777" w:rsidR="00290C39" w:rsidRPr="006A26B2" w:rsidRDefault="00290C39" w:rsidP="00290C39">
                  <w:pPr>
                    <w:autoSpaceDE w:val="0"/>
                    <w:autoSpaceDN w:val="0"/>
                    <w:adjustRightInd w:val="0"/>
                    <w:jc w:val="both"/>
                    <w:rPr>
                      <w:rFonts w:cs="Arial"/>
                      <w:b/>
                      <w:szCs w:val="20"/>
                    </w:rPr>
                  </w:pPr>
                  <w:r>
                    <w:rPr>
                      <w:rFonts w:cs="Arial"/>
                      <w:b/>
                      <w:szCs w:val="20"/>
                    </w:rPr>
                    <w:t>-</w:t>
                  </w:r>
                </w:p>
              </w:tc>
            </w:tr>
          </w:tbl>
          <w:p w14:paraId="3E4A5352" w14:textId="77777777" w:rsidR="00290C39" w:rsidRPr="00DC7421" w:rsidRDefault="00290C39" w:rsidP="00290C39">
            <w:pPr>
              <w:autoSpaceDE w:val="0"/>
              <w:autoSpaceDN w:val="0"/>
              <w:adjustRightInd w:val="0"/>
              <w:rPr>
                <w:rFonts w:cs="Arial"/>
                <w:b/>
                <w:bCs/>
                <w:color w:val="5F497A"/>
                <w:szCs w:val="20"/>
              </w:rPr>
            </w:pPr>
          </w:p>
          <w:p w14:paraId="446B58DD" w14:textId="77777777" w:rsidR="00290C39" w:rsidRDefault="00290C39" w:rsidP="00290C39">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653CFB96" w14:textId="77777777" w:rsidR="00290C39" w:rsidRDefault="00290C39" w:rsidP="00290C39">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6F8C9982" w14:textId="77777777" w:rsidR="00290C39" w:rsidRDefault="00290C39" w:rsidP="00290C39">
            <w:pPr>
              <w:autoSpaceDE w:val="0"/>
              <w:autoSpaceDN w:val="0"/>
              <w:adjustRightInd w:val="0"/>
              <w:rPr>
                <w:rFonts w:eastAsia="HelenPro-Regular" w:cs="Arial"/>
                <w:szCs w:val="20"/>
              </w:rPr>
            </w:pPr>
            <w:r>
              <w:rPr>
                <w:rFonts w:eastAsia="HelenPro-Regular" w:cs="Arial"/>
                <w:szCs w:val="20"/>
              </w:rPr>
              <w:t>-BIN for “Bilirubin Interference”</w:t>
            </w:r>
          </w:p>
          <w:p w14:paraId="5CD00006" w14:textId="4EF2DB66" w:rsidR="002F5C68" w:rsidRPr="00290C39" w:rsidRDefault="00290C39" w:rsidP="00824C10">
            <w:pPr>
              <w:autoSpaceDE w:val="0"/>
              <w:autoSpaceDN w:val="0"/>
              <w:adjustRightInd w:val="0"/>
              <w:rPr>
                <w:rFonts w:eastAsia="HelenPro-Regular" w:cs="Arial"/>
                <w:szCs w:val="20"/>
              </w:rPr>
            </w:pPr>
            <w:r>
              <w:rPr>
                <w:rFonts w:eastAsia="HelenPro-Regular" w:cs="Arial"/>
                <w:szCs w:val="20"/>
              </w:rPr>
              <w:t>-LINT for “Lipid Interference”</w:t>
            </w:r>
          </w:p>
          <w:p w14:paraId="5CD00011" w14:textId="53F6C617" w:rsidR="000244AC" w:rsidRPr="00DC7421" w:rsidRDefault="000244AC" w:rsidP="00290C39">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74AE4893" w14:textId="77777777" w:rsidR="00290C39" w:rsidRDefault="00290C39" w:rsidP="00290C39">
            <w:pPr>
              <w:rPr>
                <w:rFonts w:cs="Arial"/>
                <w:szCs w:val="20"/>
              </w:rPr>
            </w:pPr>
            <w:r w:rsidRPr="00491D12">
              <w:rPr>
                <w:rFonts w:cs="Arial"/>
                <w:b/>
                <w:szCs w:val="20"/>
              </w:rPr>
              <w:t>Male and Female</w:t>
            </w:r>
            <w:r>
              <w:rPr>
                <w:rFonts w:cs="Arial"/>
                <w:szCs w:val="20"/>
              </w:rPr>
              <w:t>:</w:t>
            </w:r>
          </w:p>
          <w:p w14:paraId="5C812836" w14:textId="77777777" w:rsidR="00290C39" w:rsidRDefault="00290C39" w:rsidP="00290C39">
            <w:pPr>
              <w:rPr>
                <w:rFonts w:cs="Arial"/>
                <w:szCs w:val="20"/>
              </w:rPr>
            </w:pPr>
            <w:r>
              <w:rPr>
                <w:rFonts w:cs="Arial"/>
                <w:szCs w:val="20"/>
              </w:rPr>
              <w:t xml:space="preserve"> 0 to &lt; 15 Days:    2.8-12.7</w:t>
            </w:r>
            <w:r w:rsidRPr="00290C39">
              <w:rPr>
                <w:rFonts w:cs="Arial"/>
                <w:szCs w:val="20"/>
              </w:rPr>
              <w:t xml:space="preserve"> </w:t>
            </w:r>
          </w:p>
          <w:p w14:paraId="0B4FAAC7" w14:textId="77777777" w:rsidR="00290C39" w:rsidRDefault="00290C39" w:rsidP="00290C39">
            <w:pPr>
              <w:rPr>
                <w:rFonts w:cs="Arial"/>
                <w:szCs w:val="20"/>
              </w:rPr>
            </w:pPr>
            <w:r>
              <w:rPr>
                <w:rFonts w:cs="Arial"/>
                <w:szCs w:val="20"/>
              </w:rPr>
              <w:t>15 Days to &lt; 1 Year:  1.6-6.3</w:t>
            </w:r>
          </w:p>
          <w:p w14:paraId="11E7DC56" w14:textId="77777777" w:rsidR="00290C39" w:rsidRDefault="00290C39" w:rsidP="00290C39">
            <w:pPr>
              <w:rPr>
                <w:rFonts w:cs="Arial"/>
                <w:szCs w:val="20"/>
              </w:rPr>
            </w:pPr>
            <w:r w:rsidRPr="00290C39">
              <w:rPr>
                <w:rFonts w:cs="Arial"/>
                <w:szCs w:val="20"/>
              </w:rPr>
              <w:t>1 to &lt; 12 Years</w:t>
            </w:r>
            <w:r>
              <w:rPr>
                <w:rFonts w:cs="Arial"/>
                <w:szCs w:val="20"/>
              </w:rPr>
              <w:t xml:space="preserve">:  </w:t>
            </w:r>
            <w:r w:rsidRPr="00290C39">
              <w:rPr>
                <w:rFonts w:cs="Arial"/>
                <w:szCs w:val="20"/>
              </w:rPr>
              <w:t xml:space="preserve">1.8-4.9.       </w:t>
            </w:r>
          </w:p>
          <w:p w14:paraId="1FE7C1C0" w14:textId="77777777" w:rsidR="00290C39" w:rsidRDefault="00290C39" w:rsidP="00290C39">
            <w:pPr>
              <w:rPr>
                <w:rFonts w:cs="Arial"/>
                <w:szCs w:val="20"/>
              </w:rPr>
            </w:pPr>
            <w:r w:rsidRPr="00491D12">
              <w:rPr>
                <w:rFonts w:cs="Arial"/>
                <w:b/>
                <w:szCs w:val="20"/>
              </w:rPr>
              <w:t>Female</w:t>
            </w:r>
            <w:r w:rsidRPr="00290C39">
              <w:rPr>
                <w:rFonts w:cs="Arial"/>
                <w:szCs w:val="20"/>
              </w:rPr>
              <w:t xml:space="preserve">:               </w:t>
            </w:r>
          </w:p>
          <w:p w14:paraId="5875CB6C" w14:textId="77777777" w:rsidR="00290C39" w:rsidRDefault="00290C39" w:rsidP="00290C39">
            <w:pPr>
              <w:rPr>
                <w:rFonts w:cs="Arial"/>
                <w:szCs w:val="20"/>
              </w:rPr>
            </w:pPr>
            <w:r>
              <w:rPr>
                <w:rFonts w:cs="Arial"/>
                <w:szCs w:val="20"/>
              </w:rPr>
              <w:t>12 to &lt; 19 Years: 2.6-5.9</w:t>
            </w:r>
            <w:r w:rsidRPr="00290C39">
              <w:rPr>
                <w:rFonts w:cs="Arial"/>
                <w:szCs w:val="20"/>
              </w:rPr>
              <w:t xml:space="preserve">             </w:t>
            </w:r>
          </w:p>
          <w:p w14:paraId="19CEAF04" w14:textId="2456DC0C" w:rsidR="00290C39" w:rsidRDefault="00F8047E" w:rsidP="00290C39">
            <w:pPr>
              <w:rPr>
                <w:rFonts w:cs="Arial"/>
                <w:szCs w:val="20"/>
              </w:rPr>
            </w:pPr>
            <w:r>
              <w:rPr>
                <w:rFonts w:cs="Arial"/>
                <w:szCs w:val="20"/>
              </w:rPr>
              <w:t xml:space="preserve">Adult:      </w:t>
            </w:r>
            <w:r w:rsidR="00290C39">
              <w:rPr>
                <w:rFonts w:cs="Arial"/>
                <w:szCs w:val="20"/>
              </w:rPr>
              <w:t xml:space="preserve"> </w:t>
            </w:r>
            <w:r w:rsidR="00290C39" w:rsidRPr="00290C39">
              <w:rPr>
                <w:rFonts w:cs="Arial"/>
                <w:szCs w:val="20"/>
              </w:rPr>
              <w:t xml:space="preserve">2.6 to 6.0        </w:t>
            </w:r>
          </w:p>
          <w:p w14:paraId="1BE695D0" w14:textId="77777777" w:rsidR="00290C39" w:rsidRPr="00491D12" w:rsidRDefault="00290C39" w:rsidP="00290C39">
            <w:pPr>
              <w:rPr>
                <w:rFonts w:cs="Arial"/>
                <w:b/>
                <w:szCs w:val="20"/>
              </w:rPr>
            </w:pPr>
            <w:r w:rsidRPr="00491D12">
              <w:rPr>
                <w:rFonts w:cs="Arial"/>
                <w:b/>
                <w:szCs w:val="20"/>
              </w:rPr>
              <w:t xml:space="preserve">Male: </w:t>
            </w:r>
          </w:p>
          <w:p w14:paraId="37B26A83" w14:textId="77777777" w:rsidR="00290C39" w:rsidRDefault="00290C39" w:rsidP="00290C39">
            <w:pPr>
              <w:rPr>
                <w:rFonts w:cs="Arial"/>
                <w:szCs w:val="20"/>
              </w:rPr>
            </w:pPr>
            <w:r>
              <w:rPr>
                <w:rFonts w:cs="Arial"/>
                <w:szCs w:val="20"/>
              </w:rPr>
              <w:t>12 to &lt; 19 Years:   2.6-7.6</w:t>
            </w:r>
            <w:bookmarkStart w:id="0" w:name="_GoBack"/>
            <w:bookmarkEnd w:id="0"/>
          </w:p>
          <w:p w14:paraId="796FBA31" w14:textId="77777777" w:rsidR="0039587D" w:rsidRDefault="00290C39" w:rsidP="00290C39">
            <w:pPr>
              <w:rPr>
                <w:rFonts w:cs="Arial"/>
                <w:szCs w:val="20"/>
              </w:rPr>
            </w:pPr>
            <w:r>
              <w:rPr>
                <w:rFonts w:cs="Arial"/>
                <w:szCs w:val="20"/>
              </w:rPr>
              <w:t xml:space="preserve">Adult: </w:t>
            </w:r>
            <w:r w:rsidR="00F8047E">
              <w:rPr>
                <w:rFonts w:cs="Arial"/>
                <w:szCs w:val="20"/>
              </w:rPr>
              <w:t xml:space="preserve">     </w:t>
            </w:r>
            <w:r>
              <w:rPr>
                <w:rFonts w:cs="Arial"/>
                <w:szCs w:val="20"/>
              </w:rPr>
              <w:t>3.5 to 7.2</w:t>
            </w:r>
          </w:p>
          <w:p w14:paraId="5CD00018" w14:textId="33446CA9" w:rsidR="00491D12" w:rsidRPr="00DC7421" w:rsidRDefault="00491D12" w:rsidP="00290C39">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52ACEE5E"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060398FF" w14:textId="77777777" w:rsidR="00F8047E" w:rsidRDefault="00F8047E" w:rsidP="001C641E">
            <w:pPr>
              <w:pStyle w:val="Header"/>
              <w:tabs>
                <w:tab w:val="clear" w:pos="4320"/>
                <w:tab w:val="clear" w:pos="8640"/>
              </w:tabs>
              <w:rPr>
                <w:rFonts w:cs="Arial"/>
                <w:szCs w:val="20"/>
              </w:rPr>
            </w:pPr>
            <w:r>
              <w:rPr>
                <w:rFonts w:cs="Arial"/>
                <w:szCs w:val="20"/>
              </w:rPr>
              <w:t>&gt;10 mg/dL</w:t>
            </w:r>
          </w:p>
          <w:p w14:paraId="514E3B9D" w14:textId="77777777" w:rsidR="00F8047E" w:rsidRDefault="00F8047E" w:rsidP="001C641E">
            <w:pPr>
              <w:pStyle w:val="Header"/>
              <w:tabs>
                <w:tab w:val="clear" w:pos="4320"/>
                <w:tab w:val="clear" w:pos="8640"/>
              </w:tabs>
              <w:rPr>
                <w:rFonts w:cs="Arial"/>
                <w:szCs w:val="20"/>
              </w:rPr>
            </w:pPr>
          </w:p>
          <w:p w14:paraId="4151E06F" w14:textId="77777777" w:rsidR="00E3253B" w:rsidRDefault="00F8047E" w:rsidP="001C641E">
            <w:pPr>
              <w:pStyle w:val="Header"/>
              <w:tabs>
                <w:tab w:val="clear" w:pos="4320"/>
                <w:tab w:val="clear" w:pos="8640"/>
              </w:tabs>
              <w:rPr>
                <w:rFonts w:cs="Arial"/>
                <w:szCs w:val="20"/>
              </w:rPr>
            </w:pPr>
            <w:r w:rsidRPr="00F8047E">
              <w:rPr>
                <w:rFonts w:cs="Arial"/>
                <w:szCs w:val="20"/>
              </w:rPr>
              <w:t>Critical values must be called according to the Critical Limit Test Value Policy.</w:t>
            </w:r>
          </w:p>
          <w:p w14:paraId="5CD0001B" w14:textId="23A4D81D" w:rsidR="00F8047E" w:rsidRPr="00DC7421" w:rsidRDefault="00F8047E" w:rsidP="001C641E">
            <w:pPr>
              <w:pStyle w:val="Header"/>
              <w:tabs>
                <w:tab w:val="clear" w:pos="4320"/>
                <w:tab w:val="clear" w:pos="8640"/>
              </w:tabs>
              <w:rPr>
                <w:rFonts w:cs="Arial"/>
                <w:szCs w:val="20"/>
              </w:rPr>
            </w:pPr>
          </w:p>
        </w:tc>
      </w:tr>
      <w:tr w:rsidR="00E3253B" w14:paraId="5CD00022" w14:textId="77777777" w:rsidTr="007132A9">
        <w:trPr>
          <w:tblHeader/>
        </w:trPr>
        <w:tc>
          <w:tcPr>
            <w:tcW w:w="1800" w:type="dxa"/>
            <w:tcBorders>
              <w:top w:val="nil"/>
              <w:left w:val="nil"/>
              <w:bottom w:val="nil"/>
              <w:right w:val="nil"/>
            </w:tcBorders>
          </w:tcPr>
          <w:p w14:paraId="5CD0001D" w14:textId="5311148D"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7D1BD976" w14:textId="77777777" w:rsidR="00DC7421" w:rsidRDefault="00290C39" w:rsidP="00290C39">
            <w:pPr>
              <w:autoSpaceDE w:val="0"/>
              <w:autoSpaceDN w:val="0"/>
              <w:adjustRightInd w:val="0"/>
              <w:rPr>
                <w:rFonts w:cs="Arial"/>
                <w:bCs/>
                <w:szCs w:val="20"/>
              </w:rPr>
            </w:pPr>
            <w:r w:rsidRPr="00290C39">
              <w:rPr>
                <w:rFonts w:cs="Arial"/>
                <w:bCs/>
                <w:szCs w:val="20"/>
              </w:rPr>
              <w:t>N-Acetyl-4-benzoquinone</w:t>
            </w:r>
            <w:r>
              <w:rPr>
                <w:rFonts w:cs="Arial"/>
                <w:bCs/>
                <w:szCs w:val="20"/>
              </w:rPr>
              <w:t xml:space="preserve"> Imine (NAPQI), a metabolite of </w:t>
            </w:r>
            <w:r w:rsidRPr="00290C39">
              <w:rPr>
                <w:rFonts w:cs="Arial"/>
                <w:bCs/>
                <w:szCs w:val="20"/>
              </w:rPr>
              <w:t>Acetaminophen at very high levels m</w:t>
            </w:r>
            <w:r>
              <w:rPr>
                <w:rFonts w:cs="Arial"/>
                <w:bCs/>
                <w:szCs w:val="20"/>
              </w:rPr>
              <w:t xml:space="preserve">ay lead to falsely low results. </w:t>
            </w:r>
            <w:r w:rsidRPr="00290C39">
              <w:rPr>
                <w:rFonts w:cs="Arial"/>
                <w:bCs/>
                <w:szCs w:val="20"/>
              </w:rPr>
              <w:t>N-Acetyl-L-Cysteine at therapeutica</w:t>
            </w:r>
            <w:r>
              <w:rPr>
                <w:rFonts w:cs="Arial"/>
                <w:bCs/>
                <w:szCs w:val="20"/>
              </w:rPr>
              <w:t xml:space="preserve">lly achieved concentrations may </w:t>
            </w:r>
            <w:r w:rsidRPr="00290C39">
              <w:rPr>
                <w:rFonts w:cs="Arial"/>
                <w:bCs/>
                <w:szCs w:val="20"/>
              </w:rPr>
              <w:t>lead to falsely low results.</w:t>
            </w:r>
          </w:p>
          <w:p w14:paraId="5CD00021" w14:textId="6FA8D4C0" w:rsidR="00F8047E" w:rsidRPr="00DC7421" w:rsidRDefault="00F8047E" w:rsidP="00290C39">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03A1D0DE" w14:textId="77777777" w:rsidR="009D0576" w:rsidRDefault="00F8047E" w:rsidP="009D0576">
            <w:pPr>
              <w:autoSpaceDE w:val="0"/>
              <w:autoSpaceDN w:val="0"/>
              <w:adjustRightInd w:val="0"/>
              <w:rPr>
                <w:rFonts w:cs="Arial"/>
                <w:bCs/>
                <w:szCs w:val="20"/>
              </w:rPr>
            </w:pPr>
            <w:r>
              <w:rPr>
                <w:rFonts w:cs="Arial"/>
                <w:bCs/>
                <w:szCs w:val="20"/>
              </w:rPr>
              <w:t>Do not dilute</w:t>
            </w:r>
          </w:p>
          <w:p w14:paraId="6811B3C2" w14:textId="30728D96" w:rsidR="00F8047E" w:rsidRPr="00DC7421" w:rsidRDefault="00F8047E" w:rsidP="009D0576">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1D67D7B"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1E965187" w:rsidR="00EA580E" w:rsidRDefault="00EA580E" w:rsidP="00EA580E">
            <w:pPr>
              <w:rPr>
                <w:rFonts w:cs="Arial"/>
                <w:b/>
                <w:bCs/>
                <w:color w:val="7030A0"/>
                <w:szCs w:val="20"/>
              </w:rPr>
            </w:pPr>
          </w:p>
          <w:p w14:paraId="7EEC7ABE" w14:textId="7ABE19A1"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F8047E">
              <w:rPr>
                <w:rFonts w:cs="Arial"/>
                <w:szCs w:val="20"/>
              </w:rPr>
              <w:t>1</w:t>
            </w:r>
            <w:r w:rsidR="00E47DE5">
              <w:rPr>
                <w:rFonts w:cs="Arial"/>
                <w:szCs w:val="20"/>
              </w:rPr>
              <w:t xml:space="preserve"> </w:t>
            </w:r>
            <w:r>
              <w:rPr>
                <w:rFonts w:cs="Arial"/>
                <w:szCs w:val="20"/>
              </w:rPr>
              <w:t xml:space="preserve">and </w:t>
            </w:r>
            <w:r w:rsidR="00F8047E">
              <w:rPr>
                <w:rFonts w:cs="Arial"/>
                <w:szCs w:val="20"/>
              </w:rPr>
              <w:t>33</w:t>
            </w:r>
            <w:r w:rsidR="00E47DE5" w:rsidRPr="00DC7421">
              <w:rPr>
                <w:rFonts w:cs="Arial"/>
                <w:szCs w:val="20"/>
              </w:rPr>
              <w:t xml:space="preserve"> </w:t>
            </w:r>
            <w:r w:rsidRPr="00DC7421">
              <w:rPr>
                <w:rFonts w:cs="Arial"/>
                <w:szCs w:val="20"/>
              </w:rPr>
              <w:t>without error messages are released</w:t>
            </w:r>
          </w:p>
          <w:p w14:paraId="512DB6C5" w14:textId="43E0B616" w:rsidR="00F84C8E" w:rsidRPr="00DC7421" w:rsidRDefault="00F84C8E" w:rsidP="00F84C8E">
            <w:pPr>
              <w:numPr>
                <w:ilvl w:val="0"/>
                <w:numId w:val="40"/>
              </w:numPr>
              <w:rPr>
                <w:rFonts w:cs="Arial"/>
                <w:szCs w:val="20"/>
              </w:rPr>
            </w:pPr>
            <w:r>
              <w:rPr>
                <w:rFonts w:cs="Arial"/>
                <w:szCs w:val="20"/>
              </w:rPr>
              <w:t xml:space="preserve">Results below </w:t>
            </w:r>
            <w:r w:rsidR="00F8047E">
              <w:rPr>
                <w:rFonts w:cs="Arial"/>
                <w:szCs w:val="20"/>
              </w:rPr>
              <w:t>1</w:t>
            </w:r>
            <w:r w:rsidR="00E47DE5">
              <w:rPr>
                <w:rFonts w:cs="Arial"/>
                <w:szCs w:val="20"/>
              </w:rPr>
              <w:t xml:space="preserve"> </w:t>
            </w:r>
            <w:r>
              <w:rPr>
                <w:rFonts w:cs="Arial"/>
                <w:szCs w:val="20"/>
              </w:rPr>
              <w:t xml:space="preserve">without error messages are reported as &lt; </w:t>
            </w:r>
            <w:r w:rsidR="00F8047E">
              <w:rPr>
                <w:rFonts w:cs="Arial"/>
                <w:szCs w:val="20"/>
              </w:rPr>
              <w:t>1 mg/dL</w:t>
            </w:r>
            <w:r>
              <w:rPr>
                <w:rFonts w:cs="Arial"/>
                <w:szCs w:val="20"/>
              </w:rPr>
              <w:t>.</w:t>
            </w:r>
          </w:p>
          <w:p w14:paraId="6DF7CE03" w14:textId="77777777" w:rsidR="00F83DB0" w:rsidRDefault="00F84C8E" w:rsidP="00F8047E">
            <w:pPr>
              <w:numPr>
                <w:ilvl w:val="0"/>
                <w:numId w:val="40"/>
              </w:numPr>
              <w:rPr>
                <w:rFonts w:cs="Arial"/>
                <w:szCs w:val="20"/>
              </w:rPr>
            </w:pPr>
            <w:r>
              <w:rPr>
                <w:rFonts w:cs="Arial"/>
                <w:szCs w:val="20"/>
              </w:rPr>
              <w:t xml:space="preserve">Results &gt; </w:t>
            </w:r>
            <w:r w:rsidR="00F8047E">
              <w:rPr>
                <w:rFonts w:cs="Arial"/>
                <w:szCs w:val="20"/>
              </w:rPr>
              <w:t>33</w:t>
            </w:r>
            <w:r>
              <w:rPr>
                <w:rFonts w:cs="Arial"/>
                <w:szCs w:val="20"/>
              </w:rPr>
              <w:t xml:space="preserve"> are reported as &gt; </w:t>
            </w:r>
            <w:r w:rsidR="00F8047E">
              <w:rPr>
                <w:rFonts w:cs="Arial"/>
                <w:szCs w:val="20"/>
              </w:rPr>
              <w:t>33 mg/dL</w:t>
            </w:r>
          </w:p>
          <w:p w14:paraId="5CD0003C" w14:textId="44375242" w:rsidR="005A5EB5" w:rsidRPr="00F8047E" w:rsidRDefault="005A5EB5" w:rsidP="00F8047E">
            <w:pPr>
              <w:numPr>
                <w:ilvl w:val="0"/>
                <w:numId w:val="40"/>
              </w:num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5F94886" w14:textId="3DFD9AB0" w:rsidR="00F8047E" w:rsidRPr="00F8047E" w:rsidRDefault="00491D12" w:rsidP="00F8047E">
            <w:pPr>
              <w:numPr>
                <w:ilvl w:val="0"/>
                <w:numId w:val="33"/>
              </w:numPr>
              <w:rPr>
                <w:rFonts w:cs="Arial"/>
                <w:szCs w:val="20"/>
              </w:rPr>
            </w:pPr>
            <w:hyperlink r:id="rId17" w:anchor="/login;next=search;queryParams=%7B%7D" w:history="1">
              <w:r w:rsidR="00F8047E" w:rsidRPr="00F8047E">
                <w:rPr>
                  <w:rStyle w:val="Hyperlink"/>
                  <w:rFonts w:cs="Arial"/>
                  <w:szCs w:val="20"/>
                </w:rPr>
                <w:t>CALIPER Reference Interval Studies</w:t>
              </w:r>
            </w:hyperlink>
            <w:r w:rsidR="00F8047E">
              <w:rPr>
                <w:rFonts w:cs="Arial"/>
                <w:szCs w:val="20"/>
              </w:rPr>
              <w:t>, accessed October 27 2020</w:t>
            </w:r>
          </w:p>
          <w:p w14:paraId="17600BF5" w14:textId="16BECDD5" w:rsidR="00F8047E" w:rsidRPr="00F8047E" w:rsidRDefault="00F8047E" w:rsidP="00F8047E">
            <w:pPr>
              <w:numPr>
                <w:ilvl w:val="0"/>
                <w:numId w:val="33"/>
              </w:numPr>
              <w:rPr>
                <w:rFonts w:cs="Arial"/>
                <w:szCs w:val="20"/>
              </w:rPr>
            </w:pPr>
            <w:r>
              <w:rPr>
                <w:rFonts w:cs="Arial"/>
                <w:szCs w:val="20"/>
              </w:rPr>
              <w:t>Abbott Alinity c Uric Acid</w:t>
            </w:r>
            <w:r w:rsidRPr="00F8047E">
              <w:rPr>
                <w:rFonts w:cs="Arial"/>
                <w:szCs w:val="20"/>
              </w:rPr>
              <w:t xml:space="preserve"> Reagent Kit Instructions for Use, Abbott Diagnostics Division, Abbott Park, IL USA.  December 2017</w:t>
            </w:r>
          </w:p>
          <w:p w14:paraId="5AB77039" w14:textId="77777777" w:rsidR="00F8047E" w:rsidRPr="00F8047E" w:rsidRDefault="00F8047E" w:rsidP="00F8047E">
            <w:pPr>
              <w:numPr>
                <w:ilvl w:val="0"/>
                <w:numId w:val="33"/>
              </w:numPr>
              <w:rPr>
                <w:rFonts w:cs="Arial"/>
                <w:szCs w:val="20"/>
              </w:rPr>
            </w:pPr>
            <w:r w:rsidRPr="00F8047E">
              <w:rPr>
                <w:rFonts w:cs="Arial"/>
                <w:szCs w:val="20"/>
              </w:rPr>
              <w:t>Abbott Alinity c Multiconstituent Calibrator Package Insert, Abbott Diagnostics Division, Abbott Park, IL USA.  December 2017</w:t>
            </w:r>
          </w:p>
          <w:p w14:paraId="16854C18" w14:textId="77777777" w:rsidR="005A5EB5" w:rsidRPr="005A5EB5" w:rsidRDefault="005A5EB5" w:rsidP="005A5EB5">
            <w:pPr>
              <w:pStyle w:val="ListParagraph"/>
              <w:numPr>
                <w:ilvl w:val="0"/>
                <w:numId w:val="33"/>
              </w:numPr>
              <w:rPr>
                <w:rFonts w:cs="Arial"/>
                <w:szCs w:val="20"/>
              </w:rPr>
            </w:pPr>
            <w:r w:rsidRPr="005A5EB5">
              <w:rPr>
                <w:rFonts w:cs="Arial"/>
                <w:szCs w:val="20"/>
              </w:rPr>
              <w:t>Bio-Rad Liquichek Unassayed Multiqual 1</w:t>
            </w:r>
            <w:proofErr w:type="gramStart"/>
            <w:r w:rsidRPr="005A5EB5">
              <w:rPr>
                <w:rFonts w:cs="Arial"/>
                <w:szCs w:val="20"/>
              </w:rPr>
              <w:t>,2,3</w:t>
            </w:r>
            <w:proofErr w:type="gramEnd"/>
            <w:r w:rsidRPr="005A5EB5">
              <w:rPr>
                <w:rFonts w:cs="Arial"/>
                <w:szCs w:val="20"/>
              </w:rPr>
              <w:t>, Package Insert, Bio-Rad Laboratories, Irvine CA USA.</w:t>
            </w:r>
          </w:p>
          <w:p w14:paraId="5CD00046" w14:textId="77777777" w:rsidR="00E3253B" w:rsidRPr="00DC7421" w:rsidRDefault="00E3253B" w:rsidP="005A5EB5">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56A74A6A"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6766C6B2" w:rsidR="00F50200" w:rsidRPr="00DC7421" w:rsidRDefault="009D0576">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4B1A7C14" w:rsidR="00F50200" w:rsidRPr="00DC7421" w:rsidRDefault="009D0576">
            <w:pPr>
              <w:rPr>
                <w:rFonts w:cs="Arial"/>
                <w:iCs/>
                <w:szCs w:val="20"/>
              </w:rPr>
            </w:pPr>
            <w:r>
              <w:rPr>
                <w:rFonts w:cs="Arial"/>
                <w:iCs/>
                <w:szCs w:val="20"/>
              </w:rPr>
              <w:t>April 24,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7C646BDC" w:rsidR="00F50200" w:rsidRPr="00F84C8E" w:rsidRDefault="005A5EB5">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338AC90A" w:rsidR="00F50200" w:rsidRPr="00F84C8E" w:rsidRDefault="005A5EB5">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6E4F50AF" w:rsidR="00F50200" w:rsidRPr="00F84C8E" w:rsidRDefault="005A5EB5">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3D7316C" w:rsidR="00F50200" w:rsidRPr="00F84C8E" w:rsidRDefault="005A5EB5">
            <w:pPr>
              <w:rPr>
                <w:rFonts w:cs="Arial"/>
                <w:iCs/>
                <w:szCs w:val="20"/>
              </w:rPr>
            </w:pPr>
            <w:r>
              <w:rPr>
                <w:rFonts w:cs="Arial"/>
                <w:iCs/>
                <w:szCs w:val="20"/>
              </w:rPr>
              <w:t>Added references, corrected Mpls Alinity, AMR, cal ver materials, interferences, dilutions, etc</w:t>
            </w:r>
          </w:p>
        </w:tc>
      </w:tr>
    </w:tbl>
    <w:p w14:paraId="5CD0005A" w14:textId="77777777" w:rsidR="00E3253B" w:rsidRPr="00BC1DCC" w:rsidRDefault="00E3253B" w:rsidP="007132A9">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41308038" w:rsidR="00B13C1A" w:rsidRPr="002E718D" w:rsidRDefault="00B13C1A" w:rsidP="002E718D">
    <w:pPr>
      <w:ind w:left="-1260" w:right="-1260"/>
      <w:rPr>
        <w:rFonts w:cs="Arial"/>
        <w:sz w:val="16"/>
      </w:rPr>
    </w:pPr>
    <w:r>
      <w:rPr>
        <w:rFonts w:cs="Arial"/>
        <w:sz w:val="16"/>
      </w:rPr>
      <w:t>Laboratory, Chil</w:t>
    </w:r>
    <w:r w:rsidR="0018384A">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491D12">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491D12">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0375AF39"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18384A">
      <w:rPr>
        <w:rFonts w:cs="Arial"/>
      </w:rPr>
      <w:t>6.921 U</w:t>
    </w:r>
    <w:r w:rsidR="00764E69">
      <w:rPr>
        <w:rFonts w:cs="Arial"/>
      </w:rPr>
      <w:t>ric Acid</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54CFD707" w:rsidR="00B13C1A" w:rsidRDefault="00B13C1A">
    <w:pPr>
      <w:ind w:left="-1260" w:right="-1260"/>
      <w:rPr>
        <w:rFonts w:cs="Arial"/>
      </w:rPr>
    </w:pPr>
    <w:r>
      <w:rPr>
        <w:rFonts w:cs="Arial"/>
      </w:rPr>
      <w:t xml:space="preserve">Effective Date: </w:t>
    </w:r>
    <w:r w:rsidR="0018384A">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1102B2"/>
    <w:rsid w:val="00115DD6"/>
    <w:rsid w:val="001241E4"/>
    <w:rsid w:val="0017089C"/>
    <w:rsid w:val="0018384A"/>
    <w:rsid w:val="001A1584"/>
    <w:rsid w:val="001B58ED"/>
    <w:rsid w:val="001C1CFA"/>
    <w:rsid w:val="001C641E"/>
    <w:rsid w:val="001D1786"/>
    <w:rsid w:val="001D284B"/>
    <w:rsid w:val="001F5D12"/>
    <w:rsid w:val="00233AA0"/>
    <w:rsid w:val="00234774"/>
    <w:rsid w:val="002462C0"/>
    <w:rsid w:val="00250A09"/>
    <w:rsid w:val="00252F1D"/>
    <w:rsid w:val="00253E95"/>
    <w:rsid w:val="00290C39"/>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1E12"/>
    <w:rsid w:val="003C2130"/>
    <w:rsid w:val="003D5BD7"/>
    <w:rsid w:val="003D713F"/>
    <w:rsid w:val="003E0A08"/>
    <w:rsid w:val="003E168B"/>
    <w:rsid w:val="00416B6C"/>
    <w:rsid w:val="00420763"/>
    <w:rsid w:val="0042435C"/>
    <w:rsid w:val="00437425"/>
    <w:rsid w:val="00440E37"/>
    <w:rsid w:val="004735E9"/>
    <w:rsid w:val="00486653"/>
    <w:rsid w:val="00491D12"/>
    <w:rsid w:val="004A698D"/>
    <w:rsid w:val="004B5D63"/>
    <w:rsid w:val="004C14CE"/>
    <w:rsid w:val="004C6A64"/>
    <w:rsid w:val="00504F3B"/>
    <w:rsid w:val="005125A4"/>
    <w:rsid w:val="005130E3"/>
    <w:rsid w:val="005665A7"/>
    <w:rsid w:val="00575F3F"/>
    <w:rsid w:val="005A5EB5"/>
    <w:rsid w:val="005A7373"/>
    <w:rsid w:val="005B66A7"/>
    <w:rsid w:val="005C6F36"/>
    <w:rsid w:val="006200C0"/>
    <w:rsid w:val="00626FF9"/>
    <w:rsid w:val="00646E63"/>
    <w:rsid w:val="00655B61"/>
    <w:rsid w:val="006828F0"/>
    <w:rsid w:val="00685D61"/>
    <w:rsid w:val="00693888"/>
    <w:rsid w:val="006A26B2"/>
    <w:rsid w:val="006A2770"/>
    <w:rsid w:val="006A41B1"/>
    <w:rsid w:val="006A5A84"/>
    <w:rsid w:val="006B78CE"/>
    <w:rsid w:val="006C5661"/>
    <w:rsid w:val="006C7814"/>
    <w:rsid w:val="007132A9"/>
    <w:rsid w:val="00747868"/>
    <w:rsid w:val="00764E69"/>
    <w:rsid w:val="007B1809"/>
    <w:rsid w:val="007B2A3E"/>
    <w:rsid w:val="007B410A"/>
    <w:rsid w:val="007F5B07"/>
    <w:rsid w:val="008044BA"/>
    <w:rsid w:val="0081197E"/>
    <w:rsid w:val="0081598A"/>
    <w:rsid w:val="00824C10"/>
    <w:rsid w:val="008A71A5"/>
    <w:rsid w:val="008A7CDA"/>
    <w:rsid w:val="008B53E5"/>
    <w:rsid w:val="008D3369"/>
    <w:rsid w:val="008D7EF5"/>
    <w:rsid w:val="008F2C66"/>
    <w:rsid w:val="00914DEC"/>
    <w:rsid w:val="00935E13"/>
    <w:rsid w:val="00944DFA"/>
    <w:rsid w:val="009475C8"/>
    <w:rsid w:val="00950E15"/>
    <w:rsid w:val="00981A4A"/>
    <w:rsid w:val="00984816"/>
    <w:rsid w:val="009A1A3D"/>
    <w:rsid w:val="009C08FA"/>
    <w:rsid w:val="009C4BDA"/>
    <w:rsid w:val="009C5A69"/>
    <w:rsid w:val="009D0576"/>
    <w:rsid w:val="009D085B"/>
    <w:rsid w:val="009F5F31"/>
    <w:rsid w:val="00A002D3"/>
    <w:rsid w:val="00A062E1"/>
    <w:rsid w:val="00A166AA"/>
    <w:rsid w:val="00A23086"/>
    <w:rsid w:val="00A23FFE"/>
    <w:rsid w:val="00A2407B"/>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40403"/>
    <w:rsid w:val="00CD06C7"/>
    <w:rsid w:val="00CE07E8"/>
    <w:rsid w:val="00CE16FB"/>
    <w:rsid w:val="00CF08A6"/>
    <w:rsid w:val="00D271B1"/>
    <w:rsid w:val="00D302B9"/>
    <w:rsid w:val="00D63C07"/>
    <w:rsid w:val="00D75391"/>
    <w:rsid w:val="00D75850"/>
    <w:rsid w:val="00D955F6"/>
    <w:rsid w:val="00DC24D6"/>
    <w:rsid w:val="00DC7091"/>
    <w:rsid w:val="00DC7421"/>
    <w:rsid w:val="00DF5549"/>
    <w:rsid w:val="00DF6343"/>
    <w:rsid w:val="00E01AE3"/>
    <w:rsid w:val="00E049CF"/>
    <w:rsid w:val="00E05595"/>
    <w:rsid w:val="00E246BA"/>
    <w:rsid w:val="00E3253B"/>
    <w:rsid w:val="00E47DE5"/>
    <w:rsid w:val="00E55C7B"/>
    <w:rsid w:val="00E93074"/>
    <w:rsid w:val="00EA2B3F"/>
    <w:rsid w:val="00EA580E"/>
    <w:rsid w:val="00EB4B6C"/>
    <w:rsid w:val="00EE145B"/>
    <w:rsid w:val="00EF1741"/>
    <w:rsid w:val="00F0405E"/>
    <w:rsid w:val="00F236AF"/>
    <w:rsid w:val="00F34A3D"/>
    <w:rsid w:val="00F50200"/>
    <w:rsid w:val="00F52BBA"/>
    <w:rsid w:val="00F6060A"/>
    <w:rsid w:val="00F63DA5"/>
    <w:rsid w:val="00F8047E"/>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liper.research.sickkids.ca/"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quality/ch-2.17-unity-real-time-qc-review-general-us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emergency-and-safet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486088E5-01B6-45A3-B360-8B0A61C6A90A}">
  <ds:schemaRefs>
    <ds:schemaRef ds:uri="http://purl.org/dc/elements/1.1/"/>
    <ds:schemaRef ds:uri="http://purl.org/dc/terms/"/>
    <ds:schemaRef ds:uri="http://schemas.microsoft.com/sharepoint/v3"/>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 ds:uri="c1848e11-9cf6-4ce4-877e-6837d2c2fa23"/>
    <ds:schemaRef ds:uri="199f0838-75a6-4f0c-9be1-f2c07140bccc"/>
    <ds:schemaRef ds:uri="http://purl.org/dc/dcmitype/"/>
  </ds:schemaRefs>
</ds:datastoreItem>
</file>

<file path=customXml/itemProps5.xml><?xml version="1.0" encoding="utf-8"?>
<ds:datastoreItem xmlns:ds="http://schemas.openxmlformats.org/officeDocument/2006/customXml" ds:itemID="{C4372159-C0BA-47B4-AEDE-B1EB8AE5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1405</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9690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4</cp:revision>
  <cp:lastPrinted>2020-11-19T14:32:00Z</cp:lastPrinted>
  <dcterms:created xsi:type="dcterms:W3CDTF">2020-11-19T15:25:00Z</dcterms:created>
  <dcterms:modified xsi:type="dcterms:W3CDTF">2020-12-21T19:13:00Z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