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
        <w:gridCol w:w="1638"/>
        <w:gridCol w:w="990"/>
        <w:gridCol w:w="2430"/>
        <w:gridCol w:w="1530"/>
        <w:gridCol w:w="4410"/>
      </w:tblGrid>
      <w:tr w:rsidR="00E3253B" w14:paraId="5CCFFF73" w14:textId="77777777" w:rsidTr="007132A9">
        <w:trPr>
          <w:tblHeader/>
        </w:trPr>
        <w:tc>
          <w:tcPr>
            <w:tcW w:w="11160" w:type="dxa"/>
            <w:gridSpan w:val="6"/>
            <w:tcBorders>
              <w:top w:val="nil"/>
              <w:left w:val="nil"/>
              <w:bottom w:val="nil"/>
              <w:right w:val="nil"/>
            </w:tcBorders>
          </w:tcPr>
          <w:p w14:paraId="5CCFFF72" w14:textId="55723377" w:rsidR="006C5661" w:rsidRDefault="00510387">
            <w:pPr>
              <w:rPr>
                <w:rFonts w:cs="Arial"/>
                <w:b/>
                <w:bCs/>
                <w:color w:val="0000FF"/>
              </w:rPr>
            </w:pPr>
            <w:r>
              <w:rPr>
                <w:rFonts w:cs="Arial"/>
                <w:b/>
                <w:bCs/>
                <w:color w:val="0000FF"/>
                <w:sz w:val="36"/>
              </w:rPr>
              <w:t>Ethanol</w:t>
            </w:r>
          </w:p>
        </w:tc>
      </w:tr>
      <w:tr w:rsidR="00E3253B" w14:paraId="5CCFFF77" w14:textId="77777777" w:rsidTr="007132A9">
        <w:trPr>
          <w:tblHeader/>
        </w:trPr>
        <w:tc>
          <w:tcPr>
            <w:tcW w:w="1800" w:type="dxa"/>
            <w:gridSpan w:val="2"/>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5CCFFF76" w14:textId="39EB6444" w:rsidR="00CD06C7" w:rsidRPr="00CD06C7" w:rsidRDefault="00A34EE2" w:rsidP="00CD06C7">
            <w:pPr>
              <w:autoSpaceDE w:val="0"/>
              <w:autoSpaceDN w:val="0"/>
              <w:adjustRightInd w:val="0"/>
              <w:rPr>
                <w:rFonts w:cs="Arial"/>
                <w:color w:val="000000"/>
                <w:szCs w:val="20"/>
              </w:rPr>
            </w:pPr>
            <w:r w:rsidRPr="00DC7421">
              <w:rPr>
                <w:rStyle w:val="A7"/>
                <w:rFonts w:cs="Arial"/>
                <w:b w:val="0"/>
                <w:bCs w:val="0"/>
                <w:sz w:val="20"/>
                <w:szCs w:val="20"/>
              </w:rPr>
              <w:t>This procedure provides instructions</w:t>
            </w:r>
            <w:r w:rsidR="00152791">
              <w:rPr>
                <w:rStyle w:val="A7"/>
                <w:rFonts w:cs="Arial"/>
                <w:b w:val="0"/>
                <w:bCs w:val="0"/>
                <w:sz w:val="20"/>
                <w:szCs w:val="20"/>
              </w:rPr>
              <w:t xml:space="preserve"> for performing ETHANOL</w:t>
            </w:r>
            <w:r w:rsidR="009B3C24">
              <w:rPr>
                <w:rStyle w:val="A7"/>
                <w:rFonts w:cs="Arial"/>
                <w:b w:val="0"/>
                <w:bCs w:val="0"/>
                <w:sz w:val="2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9B3C24" w:rsidRPr="009B3C24">
              <w:rPr>
                <w:rFonts w:cs="Arial"/>
                <w:color w:val="000000"/>
                <w:szCs w:val="20"/>
              </w:rPr>
              <w:t>The Alinity c Ethanol assay is used for the quantitative determina</w:t>
            </w:r>
            <w:r w:rsidR="009B3C24">
              <w:rPr>
                <w:rFonts w:cs="Arial"/>
                <w:color w:val="000000"/>
                <w:szCs w:val="20"/>
              </w:rPr>
              <w:t xml:space="preserve">tion of ethanol in human serum </w:t>
            </w:r>
            <w:r w:rsidR="009B3C24" w:rsidRPr="009B3C24">
              <w:rPr>
                <w:rFonts w:cs="Arial"/>
                <w:color w:val="000000"/>
                <w:szCs w:val="20"/>
              </w:rPr>
              <w:t>or plasma on the Alinity c analyzer.</w:t>
            </w:r>
          </w:p>
        </w:tc>
      </w:tr>
      <w:tr w:rsidR="00E3253B" w14:paraId="5CCFFF7B" w14:textId="77777777" w:rsidTr="007132A9">
        <w:trPr>
          <w:tblHeader/>
        </w:trPr>
        <w:tc>
          <w:tcPr>
            <w:tcW w:w="1800" w:type="dxa"/>
            <w:gridSpan w:val="2"/>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294A3BF1" w:rsidR="001A1584" w:rsidRPr="001A1584" w:rsidRDefault="001A1584" w:rsidP="001A1584">
            <w:pPr>
              <w:rPr>
                <w:rFonts w:cs="Arial"/>
                <w:szCs w:val="20"/>
              </w:rPr>
            </w:pPr>
            <w:r w:rsidRPr="001A1584">
              <w:rPr>
                <w:rFonts w:cs="Arial"/>
                <w:szCs w:val="20"/>
              </w:rPr>
              <w:t>This procedure applies to all personnel responsible for operating the Abbott Alinity c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gridSpan w:val="2"/>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66D02444" w14:textId="72B4A6F1" w:rsidR="00510387" w:rsidRDefault="008164F9" w:rsidP="00571435">
            <w:pPr>
              <w:pStyle w:val="Header"/>
              <w:rPr>
                <w:rFonts w:cs="Arial"/>
                <w:color w:val="000000"/>
                <w:szCs w:val="20"/>
              </w:rPr>
            </w:pPr>
            <w:r w:rsidRPr="008164F9">
              <w:rPr>
                <w:rFonts w:cs="Arial"/>
                <w:color w:val="000000"/>
                <w:szCs w:val="20"/>
              </w:rPr>
              <w:t xml:space="preserve">The Alinity c Ethanol Reagent Kit is a liquid, ready-to-use, kinetic assay based on the high specificity of alcohol dehydrogenase (ADH) for ethyl alcohol. In the presence of ADH and nicotinamide adenine dinucleotide (NAD), ethanol is readily oxidized to acetaldehyde and NADH. </w:t>
            </w:r>
          </w:p>
          <w:p w14:paraId="17754FE2" w14:textId="77777777" w:rsidR="00571435" w:rsidRDefault="00571435" w:rsidP="00571435">
            <w:pPr>
              <w:pStyle w:val="Header"/>
              <w:rPr>
                <w:rFonts w:cs="Arial"/>
                <w:color w:val="000000"/>
                <w:szCs w:val="20"/>
              </w:rPr>
            </w:pPr>
          </w:p>
          <w:p w14:paraId="64495B21" w14:textId="3EE3EB3A" w:rsidR="00571435" w:rsidRDefault="00571435" w:rsidP="00571435">
            <w:pPr>
              <w:pStyle w:val="Header"/>
              <w:rPr>
                <w:rFonts w:cs="Arial"/>
                <w:color w:val="000000"/>
                <w:szCs w:val="20"/>
              </w:rPr>
            </w:pPr>
            <w:r>
              <w:rPr>
                <w:noProof/>
              </w:rPr>
              <w:drawing>
                <wp:inline distT="0" distB="0" distL="0" distR="0" wp14:anchorId="48C3F0A7" wp14:editId="1FF415AE">
                  <wp:extent cx="3000000" cy="57142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00000" cy="571429"/>
                          </a:xfrm>
                          <a:prstGeom prst="rect">
                            <a:avLst/>
                          </a:prstGeom>
                        </pic:spPr>
                      </pic:pic>
                    </a:graphicData>
                  </a:graphic>
                </wp:inline>
              </w:drawing>
            </w:r>
          </w:p>
          <w:p w14:paraId="5D43A4F4" w14:textId="77777777" w:rsidR="00571435" w:rsidRDefault="00571435" w:rsidP="00571435">
            <w:pPr>
              <w:pStyle w:val="Header"/>
              <w:rPr>
                <w:rFonts w:cs="Arial"/>
                <w:color w:val="000000"/>
                <w:szCs w:val="20"/>
              </w:rPr>
            </w:pPr>
          </w:p>
          <w:p w14:paraId="477D875E" w14:textId="668F1BA6" w:rsidR="00571435" w:rsidRPr="00571435" w:rsidRDefault="00571435" w:rsidP="00571435">
            <w:pPr>
              <w:pStyle w:val="Header"/>
              <w:rPr>
                <w:rFonts w:cs="Arial"/>
                <w:color w:val="000000"/>
                <w:szCs w:val="20"/>
              </w:rPr>
            </w:pPr>
            <w:r w:rsidRPr="00571435">
              <w:rPr>
                <w:rFonts w:cs="Arial"/>
                <w:color w:val="000000"/>
                <w:szCs w:val="20"/>
              </w:rPr>
              <w:t>The enzymatic reaction can be moni</w:t>
            </w:r>
            <w:r>
              <w:rPr>
                <w:rFonts w:cs="Arial"/>
                <w:color w:val="000000"/>
                <w:szCs w:val="20"/>
              </w:rPr>
              <w:t xml:space="preserve">tored spectrophotometrically at </w:t>
            </w:r>
            <w:r w:rsidRPr="00571435">
              <w:rPr>
                <w:rFonts w:cs="Arial"/>
                <w:color w:val="000000"/>
                <w:szCs w:val="20"/>
              </w:rPr>
              <w:t>340/416 nm.</w:t>
            </w:r>
          </w:p>
          <w:p w14:paraId="1B248D31" w14:textId="77777777" w:rsidR="00571435" w:rsidRDefault="00571435" w:rsidP="00571435">
            <w:pPr>
              <w:pStyle w:val="Header"/>
              <w:tabs>
                <w:tab w:val="clear" w:pos="4320"/>
                <w:tab w:val="clear" w:pos="8640"/>
              </w:tabs>
              <w:rPr>
                <w:rFonts w:cs="Arial"/>
                <w:b/>
                <w:color w:val="000000"/>
                <w:szCs w:val="20"/>
              </w:rPr>
            </w:pPr>
          </w:p>
          <w:p w14:paraId="4B4D129E" w14:textId="35BF0148" w:rsidR="00510387" w:rsidRDefault="00571435" w:rsidP="00571435">
            <w:pPr>
              <w:pStyle w:val="Header"/>
              <w:tabs>
                <w:tab w:val="clear" w:pos="4320"/>
                <w:tab w:val="clear" w:pos="8640"/>
              </w:tabs>
              <w:rPr>
                <w:rFonts w:cs="Arial"/>
                <w:color w:val="000000"/>
                <w:szCs w:val="20"/>
              </w:rPr>
            </w:pPr>
            <w:r w:rsidRPr="00571435">
              <w:rPr>
                <w:rFonts w:cs="Arial"/>
                <w:b/>
                <w:color w:val="000000"/>
                <w:szCs w:val="20"/>
              </w:rPr>
              <w:t>Methodology</w:t>
            </w:r>
            <w:r w:rsidRPr="00571435">
              <w:rPr>
                <w:rFonts w:cs="Arial"/>
                <w:color w:val="000000"/>
                <w:szCs w:val="20"/>
              </w:rPr>
              <w:t>: Enzymatic (Alcohol Dehydrogenase)</w:t>
            </w:r>
          </w:p>
          <w:p w14:paraId="5CCFFF81" w14:textId="09AFCB46" w:rsidR="006C5661" w:rsidRPr="00DC7421" w:rsidRDefault="006C5661" w:rsidP="00510387">
            <w:pPr>
              <w:pStyle w:val="Header"/>
              <w:rPr>
                <w:rFonts w:cs="Arial"/>
                <w:color w:val="000000"/>
                <w:szCs w:val="20"/>
              </w:rPr>
            </w:pPr>
          </w:p>
        </w:tc>
      </w:tr>
      <w:tr w:rsidR="00E3253B" w14:paraId="5CCFFF87" w14:textId="77777777" w:rsidTr="007132A9">
        <w:trPr>
          <w:tblHeader/>
        </w:trPr>
        <w:tc>
          <w:tcPr>
            <w:tcW w:w="1800" w:type="dxa"/>
            <w:gridSpan w:val="2"/>
            <w:tcBorders>
              <w:top w:val="nil"/>
              <w:left w:val="nil"/>
              <w:bottom w:val="nil"/>
              <w:right w:val="nil"/>
            </w:tcBorders>
          </w:tcPr>
          <w:p w14:paraId="5CCFFF83" w14:textId="58D79C39"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0E3E63BA" w14:textId="77777777" w:rsidR="002462C0" w:rsidRDefault="00510387" w:rsidP="00510387">
            <w:r w:rsidRPr="00510387">
              <w:t xml:space="preserve">In addition to beverages, ethanol (ethyl alcohol or alcohol) can also be found in high concentrations in a variety of products such as mouthwashes, colognes, candies, and medicinal preparations. When alcohol is ingested, it will permeate all tissues of the body within one hour. About 95% of the alcohol is metabolized in the liver, and the remainder is excreted unchanged. Alcohol intoxication can lead to birth defects (e.g., fetal alcohol syndrome), loss of alertness, stupor, coma, and death. Determination of ethyl alcohol concentration is commonly used for measuring legal impairment, investigating forensic evidence, diagnosing and/or treating alcohol dependency, as well as detecting alcohol poisoning. </w:t>
            </w:r>
          </w:p>
          <w:p w14:paraId="5CCFFF86" w14:textId="2D396758" w:rsidR="00510387" w:rsidRPr="00370B0F" w:rsidRDefault="00510387" w:rsidP="00510387"/>
        </w:tc>
      </w:tr>
      <w:tr w:rsidR="00E3253B" w14:paraId="5CCFFF8A" w14:textId="77777777" w:rsidTr="00504F3B">
        <w:trPr>
          <w:trHeight w:val="450"/>
          <w:tblHeader/>
        </w:trPr>
        <w:tc>
          <w:tcPr>
            <w:tcW w:w="1800" w:type="dxa"/>
            <w:gridSpan w:val="2"/>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60551CF5"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Alinity c</w:t>
            </w:r>
            <w:r w:rsidR="00152791">
              <w:rPr>
                <w:rFonts w:cs="Arial"/>
                <w:b/>
                <w:bCs/>
                <w:color w:val="7030A0"/>
                <w:szCs w:val="20"/>
              </w:rPr>
              <w:t>i</w:t>
            </w:r>
            <w:r>
              <w:rPr>
                <w:rFonts w:cs="Arial"/>
                <w:b/>
                <w:bCs/>
                <w:color w:val="7030A0"/>
                <w:szCs w:val="20"/>
              </w:rPr>
              <w:t xml:space="preserve"> (Sunquest</w:t>
            </w:r>
            <w:r w:rsidR="00152791">
              <w:rPr>
                <w:rFonts w:cs="Arial"/>
                <w:b/>
                <w:bCs/>
                <w:color w:val="7030A0"/>
                <w:szCs w:val="20"/>
              </w:rPr>
              <w:t xml:space="preserve"> method code: MAC</w:t>
            </w:r>
            <w:r>
              <w:rPr>
                <w:rFonts w:cs="Arial"/>
                <w:b/>
                <w:bCs/>
                <w:color w:val="7030A0"/>
                <w:szCs w:val="20"/>
              </w:rPr>
              <w:t>C)</w:t>
            </w:r>
          </w:p>
          <w:p w14:paraId="5CCFFF89" w14:textId="18EF77AC" w:rsidR="006200C0" w:rsidRPr="00DC7421" w:rsidRDefault="007F5B07" w:rsidP="00015146">
            <w:pPr>
              <w:pStyle w:val="BodyText2"/>
              <w:spacing w:after="60" w:line="240" w:lineRule="auto"/>
              <w:rPr>
                <w:rFonts w:cs="Arial"/>
                <w:b/>
                <w:bCs/>
                <w:color w:val="7030A0"/>
                <w:szCs w:val="20"/>
              </w:rPr>
            </w:pPr>
            <w:r w:rsidRPr="00DC7421">
              <w:rPr>
                <w:rFonts w:cs="Arial"/>
                <w:b/>
                <w:bCs/>
                <w:color w:val="984806" w:themeColor="accent6" w:themeShade="80"/>
                <w:szCs w:val="20"/>
              </w:rPr>
              <w:t xml:space="preserve">St. Paul: Abbott </w:t>
            </w:r>
            <w:r w:rsidR="009C5A69">
              <w:rPr>
                <w:rFonts w:cs="Arial"/>
                <w:b/>
                <w:bCs/>
                <w:color w:val="984806" w:themeColor="accent6" w:themeShade="80"/>
                <w:szCs w:val="20"/>
              </w:rPr>
              <w:t>Alinity c</w:t>
            </w:r>
            <w:r w:rsidRPr="00DC7421">
              <w:rPr>
                <w:rFonts w:cs="Arial"/>
                <w:b/>
                <w:bCs/>
                <w:color w:val="984806" w:themeColor="accent6" w:themeShade="80"/>
                <w:szCs w:val="20"/>
              </w:rPr>
              <w:t xml:space="preserve"> (Sunquest method code:</w:t>
            </w:r>
            <w:r w:rsidR="00CA1DA3">
              <w:rPr>
                <w:rFonts w:cs="Arial"/>
                <w:b/>
                <w:bCs/>
                <w:color w:val="984806" w:themeColor="accent6" w:themeShade="80"/>
                <w:szCs w:val="20"/>
              </w:rPr>
              <w:t xml:space="preserve"> SALIC</w:t>
            </w:r>
            <w:r w:rsidRPr="00DC7421">
              <w:rPr>
                <w:rFonts w:cs="Arial"/>
                <w:b/>
                <w:bCs/>
                <w:color w:val="984806" w:themeColor="accent6" w:themeShade="80"/>
                <w:szCs w:val="20"/>
              </w:rPr>
              <w:t>)</w:t>
            </w:r>
          </w:p>
        </w:tc>
      </w:tr>
      <w:tr w:rsidR="00E3253B" w14:paraId="5CCFFF8D" w14:textId="77777777" w:rsidTr="007132A9">
        <w:trPr>
          <w:trHeight w:val="692"/>
          <w:tblHeader/>
        </w:trPr>
        <w:tc>
          <w:tcPr>
            <w:tcW w:w="1800" w:type="dxa"/>
            <w:gridSpan w:val="2"/>
            <w:tcBorders>
              <w:top w:val="nil"/>
              <w:left w:val="nil"/>
              <w:bottom w:val="nil"/>
              <w:right w:val="nil"/>
            </w:tcBorders>
            <w:vAlign w:val="center"/>
          </w:tcPr>
          <w:p w14:paraId="38921D22" w14:textId="61EB1C14" w:rsidR="00E10A37" w:rsidRPr="00E10A37" w:rsidRDefault="00370B0F" w:rsidP="00E10A37">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p w14:paraId="2A6F74C0" w14:textId="4B4F3431" w:rsidR="00E3253B" w:rsidRPr="00E10A37" w:rsidRDefault="00E3253B" w:rsidP="00E10A37">
            <w:pPr>
              <w:rPr>
                <w:rFonts w:cs="Arial"/>
                <w:szCs w:val="20"/>
              </w:rPr>
            </w:pPr>
          </w:p>
        </w:tc>
        <w:tc>
          <w:tcPr>
            <w:tcW w:w="9360" w:type="dxa"/>
            <w:gridSpan w:val="4"/>
            <w:tcBorders>
              <w:top w:val="single" w:sz="18" w:space="0" w:color="BFBFBF"/>
              <w:left w:val="nil"/>
              <w:bottom w:val="single" w:sz="18" w:space="0" w:color="BFBFBF"/>
              <w:right w:val="nil"/>
            </w:tcBorders>
            <w:vAlign w:val="center"/>
          </w:tcPr>
          <w:p w14:paraId="5CCFFF8C" w14:textId="30F342CB" w:rsidR="00370B0F" w:rsidRPr="00152791" w:rsidRDefault="00152791" w:rsidP="00504F3B">
            <w:pPr>
              <w:rPr>
                <w:b/>
              </w:rPr>
            </w:pPr>
            <w:r w:rsidRPr="00152791">
              <w:rPr>
                <w:b/>
              </w:rPr>
              <w:t>ALCO</w:t>
            </w:r>
          </w:p>
        </w:tc>
      </w:tr>
      <w:tr w:rsidR="00E3253B" w14:paraId="5CCFFFA3" w14:textId="77777777" w:rsidTr="00E10A37">
        <w:trPr>
          <w:gridBefore w:val="1"/>
          <w:wBefore w:w="162" w:type="dxa"/>
          <w:tblHeader/>
        </w:trPr>
        <w:tc>
          <w:tcPr>
            <w:tcW w:w="1638"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6FF4250E" w14:textId="77777777" w:rsidR="00017CB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500"/>
            </w:tblGrid>
            <w:tr w:rsidR="00017CB4" w:rsidRPr="00017CB4" w14:paraId="6DA2722F" w14:textId="77777777">
              <w:trPr>
                <w:trHeight w:val="208"/>
              </w:trPr>
              <w:tc>
                <w:tcPr>
                  <w:tcW w:w="8500" w:type="dxa"/>
                </w:tcPr>
                <w:p w14:paraId="043E85DF" w14:textId="0FA77457" w:rsidR="00017CB4" w:rsidRPr="00017CB4" w:rsidRDefault="00152791" w:rsidP="00152791">
                  <w:pPr>
                    <w:rPr>
                      <w:rFonts w:cs="Arial"/>
                      <w:color w:val="000000"/>
                      <w:szCs w:val="20"/>
                    </w:rPr>
                  </w:pPr>
                  <w:proofErr w:type="spellStart"/>
                  <w:r>
                    <w:rPr>
                      <w:rFonts w:cs="Arial"/>
                      <w:color w:val="000000"/>
                      <w:szCs w:val="20"/>
                    </w:rPr>
                    <w:t>LiHep</w:t>
                  </w:r>
                  <w:proofErr w:type="spellEnd"/>
                  <w:r>
                    <w:rPr>
                      <w:rFonts w:cs="Arial"/>
                      <w:color w:val="000000"/>
                      <w:szCs w:val="20"/>
                    </w:rPr>
                    <w:t xml:space="preserve"> </w:t>
                  </w:r>
                  <w:r w:rsidR="00017CB4" w:rsidRPr="00017CB4">
                    <w:rPr>
                      <w:rFonts w:cs="Arial"/>
                      <w:color w:val="000000"/>
                      <w:szCs w:val="20"/>
                    </w:rPr>
                    <w:t>Plasma (</w:t>
                  </w:r>
                  <w:r>
                    <w:rPr>
                      <w:rFonts w:cs="Arial"/>
                      <w:color w:val="000000"/>
                      <w:szCs w:val="20"/>
                    </w:rPr>
                    <w:t>NO GEL)</w:t>
                  </w:r>
                  <w:r w:rsidR="00017CB4" w:rsidRPr="00017CB4">
                    <w:rPr>
                      <w:rFonts w:cs="Arial"/>
                      <w:color w:val="000000"/>
                      <w:szCs w:val="20"/>
                    </w:rPr>
                    <w:t xml:space="preserve"> prefe</w:t>
                  </w:r>
                  <w:r>
                    <w:rPr>
                      <w:rFonts w:cs="Arial"/>
                      <w:color w:val="000000"/>
                      <w:szCs w:val="20"/>
                    </w:rPr>
                    <w:t>rred. S</w:t>
                  </w:r>
                  <w:r w:rsidR="00017CB4" w:rsidRPr="00017CB4">
                    <w:rPr>
                      <w:rFonts w:cs="Arial"/>
                      <w:color w:val="000000"/>
                      <w:szCs w:val="20"/>
                    </w:rPr>
                    <w:t>erum (</w:t>
                  </w:r>
                  <w:r>
                    <w:rPr>
                      <w:rFonts w:cs="Arial"/>
                      <w:color w:val="000000"/>
                      <w:szCs w:val="20"/>
                    </w:rPr>
                    <w:t xml:space="preserve">NO GEL), </w:t>
                  </w:r>
                  <w:r>
                    <w:t>citrate (blue top), and oxalate (grey top) tubes are also acceptable.  Skin must not be cleaned with alcohol or betadine.  Do not use alcohol as a disinfectant when collected or storing blood specimens.</w:t>
                  </w:r>
                </w:p>
              </w:tc>
            </w:tr>
          </w:tbl>
          <w:p w14:paraId="34F12611" w14:textId="77777777" w:rsidR="0017089C" w:rsidRPr="00DC7421" w:rsidRDefault="0017089C">
            <w:pPr>
              <w:rPr>
                <w:rFonts w:cs="Arial"/>
                <w:szCs w:val="20"/>
              </w:rPr>
            </w:pPr>
          </w:p>
          <w:p w14:paraId="3177EE04" w14:textId="05A69908" w:rsidR="003E07CF" w:rsidRDefault="00EE145B" w:rsidP="003E07CF">
            <w:pPr>
              <w:pStyle w:val="Pa10"/>
              <w:rPr>
                <w:rFonts w:ascii="Arial" w:hAnsi="Arial" w:cs="Arial"/>
                <w:bCs/>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F5BDF">
              <w:rPr>
                <w:rFonts w:ascii="Arial" w:hAnsi="Arial" w:cs="Arial"/>
                <w:b/>
                <w:bCs/>
                <w:sz w:val="20"/>
                <w:szCs w:val="20"/>
              </w:rPr>
              <w:t xml:space="preserve">: </w:t>
            </w:r>
            <w:r w:rsidR="001F5BDF">
              <w:rPr>
                <w:rFonts w:ascii="Arial" w:hAnsi="Arial" w:cs="Arial"/>
                <w:bCs/>
                <w:sz w:val="20"/>
                <w:szCs w:val="20"/>
              </w:rPr>
              <w:t>200 µl preferred, 150 µL minimum.</w:t>
            </w:r>
          </w:p>
          <w:p w14:paraId="4E9A503A" w14:textId="77777777" w:rsidR="00883202" w:rsidRPr="00883202" w:rsidRDefault="00883202" w:rsidP="00883202"/>
          <w:p w14:paraId="3DC60522" w14:textId="7C1502D4" w:rsidR="00BD0AE4" w:rsidRDefault="001F5BDF">
            <w:pPr>
              <w:pStyle w:val="Header"/>
              <w:tabs>
                <w:tab w:val="clear" w:pos="4320"/>
                <w:tab w:val="clear" w:pos="8640"/>
              </w:tabs>
              <w:rPr>
                <w:rFonts w:cs="Arial"/>
                <w:szCs w:val="20"/>
              </w:rPr>
            </w:pPr>
            <w:r>
              <w:rPr>
                <w:rFonts w:cs="Arial"/>
                <w:b/>
                <w:bCs/>
                <w:szCs w:val="20"/>
              </w:rPr>
              <w:t>S</w:t>
            </w:r>
            <w:r w:rsidR="009A1A3D" w:rsidRPr="00DC7421">
              <w:rPr>
                <w:rFonts w:cs="Arial"/>
                <w:b/>
                <w:bCs/>
                <w:szCs w:val="20"/>
              </w:rPr>
              <w:t>tability when separated from cells/gel</w:t>
            </w:r>
            <w:r w:rsidR="00571435">
              <w:rPr>
                <w:rFonts w:cs="Arial"/>
                <w:b/>
                <w:bCs/>
                <w:szCs w:val="20"/>
              </w:rPr>
              <w:t xml:space="preserve"> and tightly capped</w:t>
            </w:r>
            <w:r w:rsidR="009A1A3D" w:rsidRPr="00DC7421">
              <w:rPr>
                <w:rFonts w:cs="Arial"/>
                <w:b/>
                <w:bCs/>
                <w:szCs w:val="20"/>
              </w:rPr>
              <w:t>:</w:t>
            </w:r>
            <w:r w:rsidR="00504F3B">
              <w:rPr>
                <w:rFonts w:cs="Arial"/>
                <w:szCs w:val="20"/>
              </w:rPr>
              <w:t xml:space="preserve"> </w:t>
            </w:r>
          </w:p>
          <w:p w14:paraId="594E4A3A" w14:textId="4DAB9B18" w:rsidR="00BD0AE4" w:rsidRDefault="000908D2">
            <w:pPr>
              <w:pStyle w:val="Header"/>
              <w:tabs>
                <w:tab w:val="clear" w:pos="4320"/>
                <w:tab w:val="clear" w:pos="8640"/>
              </w:tabs>
              <w:rPr>
                <w:rFonts w:cs="Arial"/>
                <w:szCs w:val="20"/>
              </w:rPr>
            </w:pPr>
            <w:r>
              <w:rPr>
                <w:rFonts w:cs="Arial"/>
                <w:szCs w:val="20"/>
              </w:rPr>
              <w:t xml:space="preserve">RT/ 2 weeks, </w:t>
            </w:r>
            <w:r w:rsidRPr="000908D2">
              <w:rPr>
                <w:rFonts w:cs="Arial"/>
                <w:szCs w:val="20"/>
              </w:rPr>
              <w:t>4 to 8°C</w:t>
            </w:r>
            <w:r>
              <w:rPr>
                <w:rFonts w:cs="Arial"/>
                <w:szCs w:val="20"/>
              </w:rPr>
              <w:t xml:space="preserve">/ 6 months, </w:t>
            </w:r>
            <w:r w:rsidRPr="000908D2">
              <w:rPr>
                <w:rFonts w:cs="Arial"/>
                <w:szCs w:val="20"/>
              </w:rPr>
              <w:t>-20°C</w:t>
            </w:r>
            <w:r>
              <w:rPr>
                <w:rFonts w:cs="Arial"/>
                <w:szCs w:val="20"/>
              </w:rPr>
              <w:t>/ 6 months</w:t>
            </w:r>
          </w:p>
          <w:p w14:paraId="08EEE5F9" w14:textId="77777777" w:rsidR="00571435" w:rsidRDefault="00571435">
            <w:pPr>
              <w:pStyle w:val="Header"/>
              <w:tabs>
                <w:tab w:val="clear" w:pos="4320"/>
                <w:tab w:val="clear" w:pos="8640"/>
              </w:tabs>
              <w:rPr>
                <w:rFonts w:cs="Arial"/>
                <w:szCs w:val="20"/>
              </w:rPr>
            </w:pPr>
          </w:p>
          <w:p w14:paraId="4D1A6824" w14:textId="150BD572" w:rsidR="00571435" w:rsidRPr="00571435" w:rsidRDefault="00571435">
            <w:pPr>
              <w:pStyle w:val="Header"/>
              <w:tabs>
                <w:tab w:val="clear" w:pos="4320"/>
                <w:tab w:val="clear" w:pos="8640"/>
              </w:tabs>
              <w:rPr>
                <w:rFonts w:cs="Arial"/>
                <w:b/>
                <w:szCs w:val="20"/>
              </w:rPr>
            </w:pPr>
            <w:r w:rsidRPr="00571435">
              <w:rPr>
                <w:rFonts w:cs="Arial"/>
                <w:b/>
                <w:szCs w:val="20"/>
              </w:rPr>
              <w:t xml:space="preserve">Whenever possible, avoid prolonged exposure to air after opening the primary draw container.  Do not delay testing if sample is exposed to air as evaporation will cause loss of </w:t>
            </w:r>
            <w:r w:rsidR="0068377C">
              <w:rPr>
                <w:rFonts w:cs="Arial"/>
                <w:b/>
                <w:szCs w:val="20"/>
              </w:rPr>
              <w:t>any volatile substance present.</w:t>
            </w:r>
          </w:p>
          <w:p w14:paraId="1787D068" w14:textId="77777777" w:rsidR="00BD0AE4" w:rsidRPr="00DC7421" w:rsidRDefault="00BD0AE4">
            <w:pPr>
              <w:pStyle w:val="Header"/>
              <w:tabs>
                <w:tab w:val="clear" w:pos="4320"/>
                <w:tab w:val="clear" w:pos="8640"/>
              </w:tabs>
              <w:rPr>
                <w:rFonts w:cs="Arial"/>
                <w:szCs w:val="20"/>
              </w:rPr>
            </w:pPr>
          </w:p>
          <w:p w14:paraId="5CCFFF9A" w14:textId="0F9D7199"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w:t>
            </w:r>
            <w:r w:rsidR="0068377C">
              <w:rPr>
                <w:rFonts w:cs="Arial"/>
                <w:szCs w:val="20"/>
              </w:rPr>
              <w:t>sample types listed above, tubes containing gel</w:t>
            </w:r>
          </w:p>
          <w:p w14:paraId="5CCFFF9B" w14:textId="77777777" w:rsidR="00B11633" w:rsidRPr="00DC7421" w:rsidRDefault="00B11633" w:rsidP="00B11633">
            <w:pPr>
              <w:autoSpaceDE w:val="0"/>
              <w:autoSpaceDN w:val="0"/>
              <w:adjustRightInd w:val="0"/>
              <w:rPr>
                <w:rFonts w:eastAsia="HelenPro-Regular" w:cs="Arial"/>
                <w:szCs w:val="20"/>
              </w:rPr>
            </w:pPr>
            <w:bookmarkStart w:id="0" w:name="_GoBack"/>
            <w:bookmarkEnd w:id="0"/>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7A866175" w14:textId="77777777" w:rsidR="00472632" w:rsidRPr="00472632" w:rsidRDefault="00472632" w:rsidP="00472632">
            <w:pPr>
              <w:numPr>
                <w:ilvl w:val="0"/>
                <w:numId w:val="26"/>
              </w:numPr>
              <w:jc w:val="both"/>
              <w:rPr>
                <w:rFonts w:cs="Arial"/>
                <w:szCs w:val="20"/>
              </w:rPr>
            </w:pPr>
            <w:r w:rsidRPr="00472632">
              <w:rPr>
                <w:rFonts w:cs="Arial"/>
                <w:szCs w:val="20"/>
              </w:rPr>
              <w:t>Whole blood specimens should be centrifuged following complete clot formation, according to Specimen Processing procedures prior to analysis.</w:t>
            </w:r>
          </w:p>
          <w:p w14:paraId="1055CBEE" w14:textId="77777777" w:rsidR="00472632" w:rsidRPr="00472632" w:rsidRDefault="00472632" w:rsidP="00472632">
            <w:pPr>
              <w:numPr>
                <w:ilvl w:val="0"/>
                <w:numId w:val="26"/>
              </w:numPr>
              <w:jc w:val="both"/>
              <w:rPr>
                <w:rFonts w:cs="Arial"/>
                <w:szCs w:val="20"/>
              </w:rPr>
            </w:pPr>
            <w:r w:rsidRPr="00472632">
              <w:rPr>
                <w:rFonts w:cs="Arial"/>
                <w:szCs w:val="20"/>
              </w:rPr>
              <w:t>Serum or plasma should be physically separated from cells as soon as possible with a maximum limit of two hours from the time of collection.</w:t>
            </w:r>
          </w:p>
          <w:p w14:paraId="467D17D7" w14:textId="77777777" w:rsidR="00472632" w:rsidRPr="00472632" w:rsidRDefault="00472632" w:rsidP="00472632">
            <w:pPr>
              <w:numPr>
                <w:ilvl w:val="0"/>
                <w:numId w:val="26"/>
              </w:numPr>
              <w:jc w:val="both"/>
              <w:rPr>
                <w:rFonts w:cs="Arial"/>
                <w:szCs w:val="20"/>
              </w:rPr>
            </w:pPr>
            <w:r w:rsidRPr="00472632">
              <w:rPr>
                <w:rFonts w:cs="Arial"/>
                <w:szCs w:val="20"/>
              </w:rPr>
              <w:t xml:space="preserve">Specimens should be free of particulate matter. </w:t>
            </w:r>
          </w:p>
          <w:p w14:paraId="48087DA7" w14:textId="77777777" w:rsidR="00472632" w:rsidRPr="00472632" w:rsidRDefault="00472632" w:rsidP="00472632">
            <w:pPr>
              <w:numPr>
                <w:ilvl w:val="0"/>
                <w:numId w:val="26"/>
              </w:numPr>
              <w:jc w:val="both"/>
              <w:rPr>
                <w:rFonts w:cs="Arial"/>
                <w:szCs w:val="20"/>
              </w:rPr>
            </w:pPr>
            <w:r w:rsidRPr="00472632">
              <w:rPr>
                <w:rFonts w:cs="Arial"/>
                <w:szCs w:val="20"/>
              </w:rPr>
              <w:t xml:space="preserve">Transfer serum or plasma directly to a properly labeled pilot tube.  </w:t>
            </w:r>
          </w:p>
          <w:p w14:paraId="08C954C0" w14:textId="77777777" w:rsidR="00472632" w:rsidRPr="00472632" w:rsidRDefault="00472632" w:rsidP="00472632">
            <w:pPr>
              <w:numPr>
                <w:ilvl w:val="0"/>
                <w:numId w:val="26"/>
              </w:numPr>
              <w:jc w:val="both"/>
              <w:rPr>
                <w:rFonts w:cs="Arial"/>
                <w:szCs w:val="20"/>
              </w:rPr>
            </w:pPr>
            <w:r w:rsidRPr="00472632">
              <w:rPr>
                <w:rFonts w:cs="Arial"/>
                <w:szCs w:val="20"/>
              </w:rPr>
              <w:t xml:space="preserve">Architect and Alinity systems utilize a specimen level detect mechanism, so special racks specific to tube-type are not required.  </w:t>
            </w:r>
          </w:p>
          <w:p w14:paraId="2EC4FE80" w14:textId="77777777" w:rsidR="00472632" w:rsidRPr="00472632" w:rsidRDefault="00472632" w:rsidP="00472632">
            <w:pPr>
              <w:numPr>
                <w:ilvl w:val="0"/>
                <w:numId w:val="26"/>
              </w:numPr>
              <w:jc w:val="both"/>
              <w:rPr>
                <w:rFonts w:cs="Arial"/>
                <w:szCs w:val="20"/>
              </w:rPr>
            </w:pPr>
            <w:r w:rsidRPr="00472632">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gridSpan w:val="2"/>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2E82174" w14:textId="5A3EC9B4" w:rsidR="007B410A" w:rsidRPr="00152791" w:rsidRDefault="00233AA0" w:rsidP="007B410A">
            <w:pPr>
              <w:autoSpaceDE w:val="0"/>
              <w:autoSpaceDN w:val="0"/>
              <w:adjustRightInd w:val="0"/>
              <w:rPr>
                <w:rFonts w:cs="Arial"/>
                <w:color w:val="000000"/>
                <w:szCs w:val="20"/>
              </w:rPr>
            </w:pPr>
            <w:r w:rsidRPr="00DC7421">
              <w:rPr>
                <w:rFonts w:cs="Arial"/>
                <w:b/>
                <w:bCs/>
                <w:color w:val="000000"/>
                <w:szCs w:val="20"/>
              </w:rPr>
              <w:t xml:space="preserve">Reagent Handling </w:t>
            </w:r>
          </w:p>
          <w:p w14:paraId="35CCDD40" w14:textId="77777777" w:rsidR="00152791" w:rsidRDefault="00152791" w:rsidP="007B410A">
            <w:pPr>
              <w:autoSpaceDE w:val="0"/>
              <w:autoSpaceDN w:val="0"/>
              <w:adjustRightInd w:val="0"/>
              <w:spacing w:after="208"/>
              <w:rPr>
                <w:rFonts w:cs="Arial"/>
                <w:color w:val="000000"/>
                <w:szCs w:val="20"/>
              </w:rPr>
            </w:pPr>
            <w:r>
              <w:rPr>
                <w:rFonts w:cs="Arial"/>
                <w:color w:val="000000"/>
                <w:szCs w:val="20"/>
              </w:rPr>
              <w:t>Reagent is shipped refrigerated or on wet ice/cold packs.</w:t>
            </w:r>
          </w:p>
          <w:p w14:paraId="36C402CD" w14:textId="29394A75" w:rsidR="009E6413"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 place reagent cartrid</w:t>
            </w:r>
            <w:r>
              <w:rPr>
                <w:rFonts w:cs="Arial"/>
                <w:color w:val="000000"/>
                <w:szCs w:val="20"/>
              </w:rPr>
              <w:t>ges in an upright position for 1 hour</w:t>
            </w:r>
            <w:r w:rsidRPr="00DC7421">
              <w:rPr>
                <w:rFonts w:cs="Arial"/>
                <w:color w:val="000000"/>
                <w:szCs w:val="20"/>
              </w:rPr>
              <w:t xml:space="preserve"> before use to allow bubbles that may have formed to dissipate. </w:t>
            </w:r>
          </w:p>
          <w:p w14:paraId="666CE016" w14:textId="5275CD61"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571435">
              <w:rPr>
                <w:rFonts w:cs="Arial"/>
                <w:color w:val="000000"/>
                <w:szCs w:val="20"/>
              </w:rPr>
              <w:t>1</w:t>
            </w:r>
            <w:r w:rsidRPr="00DC7421">
              <w:rPr>
                <w:rFonts w:cs="Arial"/>
                <w:color w:val="000000"/>
                <w:szCs w:val="20"/>
              </w:rPr>
              <w:t xml:space="preserve"> hour before use to allow bubbles that may have formed to dissipate. </w:t>
            </w:r>
          </w:p>
          <w:p w14:paraId="27EC8554" w14:textId="40F144F0" w:rsidR="009E6413" w:rsidRDefault="009E6413" w:rsidP="0081197E">
            <w:pPr>
              <w:autoSpaceDE w:val="0"/>
              <w:autoSpaceDN w:val="0"/>
              <w:adjustRightInd w:val="0"/>
              <w:spacing w:after="208"/>
              <w:rPr>
                <w:rFonts w:cs="Arial"/>
                <w:color w:val="000000"/>
                <w:szCs w:val="20"/>
              </w:rPr>
            </w:pPr>
            <w:r w:rsidRPr="009E6413">
              <w:rPr>
                <w:rFonts w:cs="Arial"/>
                <w:color w:val="000000"/>
                <w:szCs w:val="20"/>
              </w:rPr>
              <w:t>Reagents may be stored on or off the system. If removed from the system, store reagents with new replacement caps in an upright position at 2 to 8°C. For reagents stored off the system, it is recommended that they be stored in their original trays or boxes to ensure they remain upright.</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7132A9">
        <w:trPr>
          <w:trHeight w:val="4059"/>
          <w:tblHeader/>
        </w:trPr>
        <w:tc>
          <w:tcPr>
            <w:tcW w:w="1800" w:type="dxa"/>
            <w:gridSpan w:val="2"/>
            <w:tcBorders>
              <w:top w:val="nil"/>
              <w:left w:val="nil"/>
              <w:bottom w:val="nil"/>
              <w:right w:val="nil"/>
            </w:tcBorders>
          </w:tcPr>
          <w:p w14:paraId="5CCFFFB1" w14:textId="0F50B872"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249EA1BB" w14:textId="77777777" w:rsidR="0081197E" w:rsidRDefault="009458DE" w:rsidP="00115DD6">
                  <w:pPr>
                    <w:autoSpaceDE w:val="0"/>
                    <w:autoSpaceDN w:val="0"/>
                    <w:adjustRightInd w:val="0"/>
                    <w:rPr>
                      <w:rFonts w:cs="Arial"/>
                      <w:szCs w:val="20"/>
                    </w:rPr>
                  </w:pPr>
                  <w:r>
                    <w:rPr>
                      <w:rFonts w:cs="Arial"/>
                      <w:szCs w:val="20"/>
                    </w:rPr>
                    <w:t xml:space="preserve">Abbott Alinity c </w:t>
                  </w:r>
                </w:p>
                <w:p w14:paraId="04BD94E7" w14:textId="06532BEF" w:rsidR="009458DE" w:rsidRPr="00DC7421" w:rsidRDefault="009458DE" w:rsidP="00115DD6">
                  <w:pPr>
                    <w:autoSpaceDE w:val="0"/>
                    <w:autoSpaceDN w:val="0"/>
                    <w:adjustRightInd w:val="0"/>
                    <w:rPr>
                      <w:rFonts w:cs="Arial"/>
                      <w:szCs w:val="20"/>
                    </w:rPr>
                  </w:pPr>
                  <w:r>
                    <w:rPr>
                      <w:rFonts w:cs="Arial"/>
                      <w:szCs w:val="20"/>
                    </w:rPr>
                    <w:t>Ethanol Reagent Kit</w:t>
                  </w:r>
                </w:p>
              </w:tc>
              <w:tc>
                <w:tcPr>
                  <w:tcW w:w="1710" w:type="dxa"/>
                  <w:vAlign w:val="center"/>
                </w:tcPr>
                <w:p w14:paraId="78062055" w14:textId="6861D0CC" w:rsidR="0081197E" w:rsidRPr="00DC7421" w:rsidRDefault="009458DE" w:rsidP="0081197E">
                  <w:pPr>
                    <w:pStyle w:val="BodyText"/>
                    <w:tabs>
                      <w:tab w:val="left" w:pos="3240"/>
                    </w:tabs>
                    <w:rPr>
                      <w:rFonts w:cs="Arial"/>
                      <w:szCs w:val="20"/>
                    </w:rPr>
                  </w:pPr>
                  <w:r w:rsidRPr="009458DE">
                    <w:rPr>
                      <w:rFonts w:cs="Arial"/>
                      <w:szCs w:val="20"/>
                    </w:rPr>
                    <w:t>08P4120</w:t>
                  </w:r>
                </w:p>
              </w:tc>
              <w:tc>
                <w:tcPr>
                  <w:tcW w:w="4533" w:type="dxa"/>
                  <w:vAlign w:val="center"/>
                </w:tcPr>
                <w:p w14:paraId="1E13427C" w14:textId="3AD69032"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9458DE" w:rsidRPr="009458DE">
                    <w:rPr>
                      <w:rFonts w:ascii="Arial" w:hAnsi="Arial" w:cs="Arial"/>
                      <w:bCs/>
                    </w:rPr>
                    <w:t>2 to 8°C</w:t>
                  </w:r>
                </w:p>
                <w:p w14:paraId="188F00FD" w14:textId="1103B246" w:rsidR="00115DD6" w:rsidRDefault="0081197E" w:rsidP="0081197E">
                  <w:pPr>
                    <w:pStyle w:val="Reagents"/>
                    <w:spacing w:after="80"/>
                    <w:rPr>
                      <w:rFonts w:ascii="Arial" w:hAnsi="Arial" w:cs="Arial"/>
                      <w:b/>
                      <w:bCs/>
                    </w:rPr>
                  </w:pPr>
                  <w:r w:rsidRPr="00DC7421">
                    <w:rPr>
                      <w:rFonts w:ascii="Arial" w:hAnsi="Arial" w:cs="Arial"/>
                      <w:b/>
                      <w:bCs/>
                    </w:rPr>
                    <w:t xml:space="preserve">Unopened: </w:t>
                  </w:r>
                  <w:r w:rsidR="009458DE" w:rsidRPr="009458DE">
                    <w:rPr>
                      <w:rFonts w:ascii="Arial" w:hAnsi="Arial" w:cs="Arial"/>
                      <w:bCs/>
                    </w:rPr>
                    <w:t>2 to 8°C</w:t>
                  </w:r>
                  <w:r w:rsidR="009458DE" w:rsidRPr="009458DE">
                    <w:rPr>
                      <w:rFonts w:ascii="Arial" w:hAnsi="Arial" w:cs="Arial"/>
                      <w:b/>
                      <w:bCs/>
                    </w:rPr>
                    <w:t xml:space="preserve"> </w:t>
                  </w:r>
                  <w:r w:rsidR="00115DD6" w:rsidRPr="009458DE">
                    <w:rPr>
                      <w:rFonts w:ascii="Arial" w:hAnsi="Arial" w:cs="Arial"/>
                      <w:bCs/>
                    </w:rPr>
                    <w:t xml:space="preserve">Until </w:t>
                  </w:r>
                  <w:r w:rsidR="00571435">
                    <w:rPr>
                      <w:rFonts w:ascii="Arial" w:hAnsi="Arial" w:cs="Arial"/>
                      <w:bCs/>
                    </w:rPr>
                    <w:t>manufacturer’s printed expiration date</w:t>
                  </w:r>
                </w:p>
                <w:p w14:paraId="2EC74C2E" w14:textId="7AB67F3C" w:rsidR="0081197E" w:rsidRDefault="0081197E" w:rsidP="0081197E">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9458DE">
                    <w:rPr>
                      <w:rFonts w:ascii="Arial" w:hAnsi="Arial" w:cs="Arial"/>
                      <w:bCs/>
                    </w:rPr>
                    <w:t>System temperature for 56 days</w:t>
                  </w:r>
                </w:p>
                <w:p w14:paraId="2EC23D08" w14:textId="53F4514A" w:rsidR="0081197E" w:rsidRPr="003F688A" w:rsidRDefault="0081197E" w:rsidP="00115DD6">
                  <w:pPr>
                    <w:pStyle w:val="Reagents"/>
                    <w:spacing w:after="80"/>
                    <w:rPr>
                      <w:rFonts w:ascii="Arial" w:hAnsi="Arial" w:cs="Arial"/>
                      <w:bCs/>
                    </w:rPr>
                  </w:pPr>
                </w:p>
              </w:tc>
            </w:tr>
            <w:tr w:rsidR="0081197E" w:rsidRPr="00DC7421" w14:paraId="2A1E45AA" w14:textId="77777777" w:rsidTr="00413A69">
              <w:tc>
                <w:tcPr>
                  <w:tcW w:w="2857" w:type="dxa"/>
                  <w:vAlign w:val="center"/>
                </w:tcPr>
                <w:p w14:paraId="098628E0" w14:textId="77777777" w:rsidR="0081197E" w:rsidRDefault="009458DE" w:rsidP="0081197E">
                  <w:pPr>
                    <w:pStyle w:val="BodyText"/>
                    <w:spacing w:after="0"/>
                    <w:rPr>
                      <w:rFonts w:cs="Arial"/>
                      <w:szCs w:val="20"/>
                    </w:rPr>
                  </w:pPr>
                  <w:r>
                    <w:rPr>
                      <w:rFonts w:cs="Arial"/>
                      <w:szCs w:val="20"/>
                    </w:rPr>
                    <w:t xml:space="preserve">Abbott Alinity c </w:t>
                  </w:r>
                </w:p>
                <w:p w14:paraId="417AB88A" w14:textId="7ADAC7D4" w:rsidR="009458DE" w:rsidRPr="00DC7421" w:rsidRDefault="009458DE" w:rsidP="0081197E">
                  <w:pPr>
                    <w:pStyle w:val="BodyText"/>
                    <w:spacing w:after="0"/>
                    <w:rPr>
                      <w:rFonts w:cs="Arial"/>
                      <w:szCs w:val="20"/>
                    </w:rPr>
                  </w:pPr>
                  <w:r>
                    <w:rPr>
                      <w:rFonts w:cs="Arial"/>
                      <w:szCs w:val="20"/>
                    </w:rPr>
                    <w:t>Ethanol Calibrator Kit</w:t>
                  </w:r>
                </w:p>
              </w:tc>
              <w:tc>
                <w:tcPr>
                  <w:tcW w:w="1710" w:type="dxa"/>
                  <w:vAlign w:val="center"/>
                </w:tcPr>
                <w:p w14:paraId="1C065F4D" w14:textId="070F051A" w:rsidR="0081197E" w:rsidRPr="00DC7421" w:rsidRDefault="009458DE" w:rsidP="0081197E">
                  <w:pPr>
                    <w:rPr>
                      <w:rFonts w:cs="Arial"/>
                      <w:szCs w:val="20"/>
                    </w:rPr>
                  </w:pPr>
                  <w:r w:rsidRPr="009458DE">
                    <w:rPr>
                      <w:rFonts w:cs="Arial"/>
                      <w:szCs w:val="20"/>
                    </w:rPr>
                    <w:t>08P4101</w:t>
                  </w:r>
                </w:p>
              </w:tc>
              <w:tc>
                <w:tcPr>
                  <w:tcW w:w="4533" w:type="dxa"/>
                  <w:vAlign w:val="center"/>
                </w:tcPr>
                <w:p w14:paraId="3B82C64B" w14:textId="2B184908"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9E6413" w:rsidRPr="009E6413">
                    <w:rPr>
                      <w:rFonts w:ascii="Arial" w:hAnsi="Arial" w:cs="Arial"/>
                      <w:bCs/>
                    </w:rPr>
                    <w:t>2 to 8°C</w:t>
                  </w:r>
                  <w:r w:rsidR="009E6413">
                    <w:rPr>
                      <w:rFonts w:ascii="Arial" w:hAnsi="Arial" w:cs="Arial"/>
                      <w:bCs/>
                    </w:rPr>
                    <w:t xml:space="preserve"> </w:t>
                  </w:r>
                </w:p>
                <w:p w14:paraId="22FE035D" w14:textId="55DACEC4" w:rsidR="0081197E" w:rsidRPr="00DC7421" w:rsidRDefault="0081197E" w:rsidP="0081197E">
                  <w:pPr>
                    <w:pStyle w:val="Reagents"/>
                    <w:spacing w:after="80"/>
                    <w:rPr>
                      <w:rFonts w:ascii="Arial" w:hAnsi="Arial" w:cs="Arial"/>
                      <w:bCs/>
                    </w:rPr>
                  </w:pPr>
                  <w:r w:rsidRPr="00DC7421">
                    <w:rPr>
                      <w:rFonts w:ascii="Arial" w:hAnsi="Arial" w:cs="Arial"/>
                      <w:b/>
                      <w:bCs/>
                    </w:rPr>
                    <w:t xml:space="preserve">Unopened: </w:t>
                  </w:r>
                  <w:r w:rsidR="009E6413" w:rsidRPr="009E6413">
                    <w:rPr>
                      <w:rFonts w:ascii="Arial" w:hAnsi="Arial" w:cs="Arial"/>
                      <w:bCs/>
                    </w:rPr>
                    <w:t>2 to 8°C</w:t>
                  </w:r>
                  <w:r w:rsidR="009E6413">
                    <w:rPr>
                      <w:rFonts w:ascii="Arial" w:hAnsi="Arial" w:cs="Arial"/>
                      <w:bCs/>
                    </w:rPr>
                    <w:t xml:space="preserve"> until the </w:t>
                  </w:r>
                  <w:r w:rsidR="00571435">
                    <w:rPr>
                      <w:rFonts w:ascii="Arial" w:hAnsi="Arial" w:cs="Arial"/>
                      <w:bCs/>
                    </w:rPr>
                    <w:t xml:space="preserve">printed </w:t>
                  </w:r>
                  <w:r w:rsidR="009E6413">
                    <w:rPr>
                      <w:rFonts w:ascii="Arial" w:hAnsi="Arial" w:cs="Arial"/>
                      <w:bCs/>
                    </w:rPr>
                    <w:t xml:space="preserve">expiration date </w:t>
                  </w:r>
                </w:p>
                <w:p w14:paraId="05D3D1A4" w14:textId="4E15A82C" w:rsidR="0081197E" w:rsidRPr="00DC7421" w:rsidRDefault="0081197E" w:rsidP="006A41B1">
                  <w:pPr>
                    <w:pStyle w:val="BodyText"/>
                    <w:spacing w:after="80"/>
                    <w:rPr>
                      <w:rFonts w:cs="Arial"/>
                      <w:szCs w:val="20"/>
                    </w:rPr>
                  </w:pPr>
                  <w:r w:rsidRPr="00DC7421">
                    <w:rPr>
                      <w:rFonts w:cs="Arial"/>
                      <w:b/>
                      <w:bCs/>
                      <w:szCs w:val="20"/>
                    </w:rPr>
                    <w:t xml:space="preserve">Opened expiration: </w:t>
                  </w:r>
                  <w:r w:rsidR="009E6413" w:rsidRPr="009E6413">
                    <w:rPr>
                      <w:rFonts w:cs="Arial"/>
                      <w:bCs/>
                      <w:szCs w:val="20"/>
                    </w:rPr>
                    <w:t>Immediately store tightly capped with new replacement cap. Return to refrigerated storage to prevent evaporation</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gridSpan w:val="2"/>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05C97A8A" w14:textId="5BE78907" w:rsidR="009475C8" w:rsidRDefault="009E6413">
            <w:pPr>
              <w:rPr>
                <w:szCs w:val="20"/>
              </w:rPr>
            </w:pPr>
            <w:r w:rsidRPr="009E6413">
              <w:rPr>
                <w:szCs w:val="20"/>
              </w:rPr>
              <w:t>For In Vitro Diagnostic Use</w:t>
            </w:r>
            <w:r>
              <w:rPr>
                <w:szCs w:val="20"/>
              </w:rPr>
              <w:t xml:space="preserve">. </w:t>
            </w:r>
            <w:r w:rsidRPr="009E6413">
              <w:rPr>
                <w:szCs w:val="20"/>
              </w:rPr>
              <w:t>This product requires the handling of human specimens. It is recommended that all human-sourced materials be considered potentially infectious and handled in accordance with the OSHA Standard on Bloodborne Pathogens. Biosafety Level 2 or other appropriate biosafety practices should be used for materials that contain or are suspected of containing infectious agents</w:t>
            </w:r>
            <w:r>
              <w:rPr>
                <w:szCs w:val="20"/>
              </w:rPr>
              <w:t>.</w:t>
            </w:r>
          </w:p>
          <w:p w14:paraId="5C80BDF6" w14:textId="254C1454" w:rsidR="009E6413" w:rsidRDefault="009E6413">
            <w:pPr>
              <w:rPr>
                <w:szCs w:val="20"/>
              </w:rPr>
            </w:pPr>
            <w:r>
              <w:rPr>
                <w:szCs w:val="20"/>
              </w:rPr>
              <w:t xml:space="preserve">R1 contains </w:t>
            </w:r>
            <w:r w:rsidR="00571435">
              <w:rPr>
                <w:szCs w:val="20"/>
              </w:rPr>
              <w:t>tris hydroxymethyl aminomethane</w:t>
            </w:r>
            <w:r w:rsidRPr="009E6413">
              <w:rPr>
                <w:szCs w:val="20"/>
              </w:rPr>
              <w:t xml:space="preserve"> and sodium azide</w:t>
            </w:r>
            <w:r>
              <w:rPr>
                <w:szCs w:val="20"/>
              </w:rPr>
              <w:t>.</w:t>
            </w:r>
          </w:p>
          <w:p w14:paraId="4D85601C" w14:textId="77777777" w:rsidR="009E6413" w:rsidRDefault="009E6413">
            <w:pPr>
              <w:rPr>
                <w:szCs w:val="20"/>
              </w:rPr>
            </w:pPr>
          </w:p>
          <w:p w14:paraId="1D6EAD2B" w14:textId="12684B7C" w:rsidR="009475C8" w:rsidRDefault="009E6413">
            <w:pPr>
              <w:rPr>
                <w:szCs w:val="20"/>
              </w:rPr>
            </w:pPr>
            <w:r w:rsidRPr="009E6413">
              <w:rPr>
                <w:szCs w:val="20"/>
              </w:rPr>
              <w:t>Dispose of contents / container in accordance with local regulations.</w:t>
            </w:r>
          </w:p>
          <w:p w14:paraId="5EFA9057" w14:textId="4787C2C6" w:rsidR="009475C8" w:rsidRDefault="009475C8">
            <w:r>
              <w:rPr>
                <w:szCs w:val="20"/>
              </w:rPr>
              <w:t xml:space="preserve">Safety data sheets (MSDS/SDS) available on </w:t>
            </w:r>
          </w:p>
          <w:p w14:paraId="5CCFFFD0" w14:textId="77777777" w:rsidR="007B2A3E" w:rsidRPr="00DC7421" w:rsidRDefault="007B2A3E" w:rsidP="007B2A3E">
            <w:pPr>
              <w:rPr>
                <w:rFonts w:cs="Arial"/>
                <w:szCs w:val="20"/>
              </w:rPr>
            </w:pPr>
          </w:p>
        </w:tc>
      </w:tr>
      <w:tr w:rsidR="00F50200" w14:paraId="5CCFFFEC" w14:textId="77777777" w:rsidTr="00571435">
        <w:trPr>
          <w:tblHeader/>
        </w:trPr>
        <w:tc>
          <w:tcPr>
            <w:tcW w:w="1800" w:type="dxa"/>
            <w:gridSpan w:val="2"/>
            <w:tcBorders>
              <w:top w:val="nil"/>
              <w:left w:val="nil"/>
              <w:bottom w:val="nil"/>
              <w:right w:val="nil"/>
            </w:tcBorders>
          </w:tcPr>
          <w:p w14:paraId="5CCFFFD2" w14:textId="52048033"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71F073F9"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48E791AF" w:rsidR="00F50200" w:rsidRPr="00DC7421" w:rsidRDefault="00F742AA" w:rsidP="00A32948">
                  <w:pPr>
                    <w:pStyle w:val="CalVerTable"/>
                    <w:ind w:left="0" w:firstLine="0"/>
                    <w:rPr>
                      <w:rFonts w:ascii="Arial" w:hAnsi="Arial" w:cs="Arial"/>
                    </w:rPr>
                  </w:pPr>
                  <w:r>
                    <w:rPr>
                      <w:rFonts w:ascii="Arial" w:hAnsi="Arial" w:cs="Arial"/>
                    </w:rPr>
                    <w:t>10</w:t>
                  </w:r>
                  <w:r w:rsidR="00571435">
                    <w:rPr>
                      <w:rFonts w:ascii="Arial" w:hAnsi="Arial" w:cs="Arial"/>
                    </w:rPr>
                    <w:t xml:space="preserve"> </w:t>
                  </w:r>
                  <w:r>
                    <w:rPr>
                      <w:rFonts w:ascii="Arial" w:hAnsi="Arial" w:cs="Arial"/>
                    </w:rPr>
                    <w:t>-</w:t>
                  </w:r>
                  <w:r w:rsidR="00571435">
                    <w:rPr>
                      <w:rFonts w:ascii="Arial" w:hAnsi="Arial" w:cs="Arial"/>
                    </w:rPr>
                    <w:t xml:space="preserve"> </w:t>
                  </w:r>
                  <w:r>
                    <w:rPr>
                      <w:rFonts w:ascii="Arial" w:hAnsi="Arial" w:cs="Arial"/>
                    </w:rPr>
                    <w:t>600 mg/dL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2788AD83" w:rsidR="00F50200" w:rsidRPr="00DC7421" w:rsidRDefault="00883202" w:rsidP="00440E37">
                  <w:pPr>
                    <w:pStyle w:val="BodyText"/>
                    <w:rPr>
                      <w:rFonts w:cs="Arial"/>
                      <w:szCs w:val="20"/>
                    </w:rPr>
                  </w:pPr>
                  <w:r w:rsidRPr="00883202">
                    <w:rPr>
                      <w:rFonts w:cs="Arial"/>
                      <w:szCs w:val="20"/>
                    </w:rPr>
                    <w:t>Ethanol Calibrator Kit</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CCFFFE0" w14:textId="117F4C20" w:rsidR="005B66A7" w:rsidRPr="00DC7421" w:rsidRDefault="00571435" w:rsidP="00883202">
                  <w:pPr>
                    <w:pStyle w:val="CalVerTable"/>
                    <w:ind w:left="0" w:firstLine="0"/>
                    <w:rPr>
                      <w:rFonts w:ascii="Arial" w:hAnsi="Arial" w:cs="Arial"/>
                    </w:rPr>
                  </w:pPr>
                  <w:r>
                    <w:rPr>
                      <w:rFonts w:ascii="Arial" w:hAnsi="Arial" w:cs="Arial"/>
                    </w:rPr>
                    <w:t>2 Levels</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026AB582" w:rsidR="00F50200" w:rsidRPr="00DC7421" w:rsidRDefault="00883202" w:rsidP="005B66A7">
                  <w:pPr>
                    <w:pStyle w:val="CalVerTable"/>
                    <w:ind w:left="0" w:firstLine="0"/>
                    <w:rPr>
                      <w:rFonts w:ascii="Arial" w:hAnsi="Arial" w:cs="Arial"/>
                    </w:rPr>
                  </w:pPr>
                  <w:r w:rsidRPr="00883202">
                    <w:rPr>
                      <w:rFonts w:ascii="Arial" w:hAnsi="Arial" w:cs="Arial"/>
                    </w:rPr>
                    <w:t>Linear data reduction method</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76CCB000" w:rsidR="00F50200" w:rsidRPr="00DC7421" w:rsidRDefault="00494B64" w:rsidP="004A698D">
                  <w:pPr>
                    <w:pStyle w:val="Pa10"/>
                    <w:rPr>
                      <w:rFonts w:ascii="Arial" w:hAnsi="Arial" w:cs="Arial"/>
                      <w:sz w:val="20"/>
                      <w:szCs w:val="20"/>
                    </w:rPr>
                  </w:pPr>
                  <w:r>
                    <w:rPr>
                      <w:rFonts w:ascii="Arial" w:hAnsi="Arial" w:cs="Arial"/>
                      <w:sz w:val="20"/>
                      <w:szCs w:val="20"/>
                    </w:rPr>
                    <w:t>Stable for 13 days</w:t>
                  </w:r>
                  <w:r w:rsidR="00571435">
                    <w:rPr>
                      <w:rFonts w:ascii="Arial" w:hAnsi="Arial" w:cs="Arial"/>
                      <w:sz w:val="20"/>
                      <w:szCs w:val="20"/>
                    </w:rPr>
                    <w:t xml:space="preserve"> (312 hours)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398EBC48" w:rsidR="00F50200" w:rsidRPr="00DC7421" w:rsidRDefault="009475C8" w:rsidP="00571435">
                  <w:pPr>
                    <w:autoSpaceDE w:val="0"/>
                    <w:autoSpaceDN w:val="0"/>
                    <w:adjustRightInd w:val="0"/>
                    <w:rPr>
                      <w:rFonts w:cs="Arial"/>
                      <w:szCs w:val="20"/>
                    </w:rPr>
                  </w:pPr>
                  <w:r w:rsidRPr="00DC7421">
                    <w:rPr>
                      <w:rFonts w:cs="Arial"/>
                      <w:szCs w:val="20"/>
                    </w:rPr>
                    <w:t>AMR is verified twice annual</w:t>
                  </w:r>
                  <w:r>
                    <w:rPr>
                      <w:rFonts w:cs="Arial"/>
                      <w:szCs w:val="20"/>
                    </w:rPr>
                    <w:t xml:space="preserve">ly using the </w:t>
                  </w:r>
                  <w:r w:rsidRPr="00571435">
                    <w:rPr>
                      <w:rFonts w:cs="Arial"/>
                      <w:szCs w:val="20"/>
                    </w:rPr>
                    <w:t>Maine Standards</w:t>
                  </w:r>
                  <w:r>
                    <w:rPr>
                      <w:rFonts w:cs="Arial"/>
                      <w:szCs w:val="20"/>
                    </w:rPr>
                    <w:t xml:space="preserve"> </w:t>
                  </w:r>
                  <w:r w:rsidR="00571435">
                    <w:rPr>
                      <w:rFonts w:cs="Arial"/>
                      <w:szCs w:val="20"/>
                    </w:rPr>
                    <w:t>GC2 Product # 1200ab</w:t>
                  </w:r>
                  <w:r>
                    <w:rPr>
                      <w:rFonts w:cs="Arial"/>
                      <w:szCs w:val="20"/>
                    </w:rPr>
                    <w:t xml:space="preserve"> </w:t>
                  </w:r>
                  <w:r w:rsidRPr="00DC7421">
                    <w:rPr>
                      <w:rFonts w:cs="Arial"/>
                      <w:szCs w:val="20"/>
                    </w:rPr>
                    <w:t xml:space="preserve">by running all applicable levels in triplicate.  Assay results are submitted </w:t>
                  </w:r>
                  <w:r w:rsidRPr="00571435">
                    <w:rPr>
                      <w:rFonts w:cs="Arial"/>
                      <w:szCs w:val="20"/>
                    </w:rPr>
                    <w:t>to Maine Standards</w:t>
                  </w:r>
                  <w:r w:rsidRPr="00DC7421">
                    <w:rPr>
                      <w:rFonts w:cs="Arial"/>
                      <w:szCs w:val="20"/>
                    </w:rPr>
                    <w:t xml:space="preserve"> for compilation and comparison to peers.  Results are reviewed and approved by </w:t>
                  </w:r>
                  <w:r>
                    <w:rPr>
                      <w:rFonts w:cs="Arial"/>
                      <w:szCs w:val="20"/>
                    </w:rPr>
                    <w:t>the Technical Specialist.  Q</w:t>
                  </w:r>
                  <w:r w:rsidRPr="00DC7421">
                    <w:rPr>
                      <w:rFonts w:cs="Arial"/>
                      <w:szCs w:val="20"/>
                    </w:rPr>
                    <w:t>uestionable results are investigated and c</w:t>
                  </w:r>
                  <w:r>
                    <w:rPr>
                      <w:rFonts w:cs="Arial"/>
                      <w:szCs w:val="20"/>
                    </w:rPr>
                    <w:t>orrective actions documented.</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gridSpan w:val="2"/>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13850449" w14:textId="53133085" w:rsidR="000C18AD" w:rsidRPr="00560643" w:rsidRDefault="000C18AD" w:rsidP="000C18AD">
            <w:r>
              <w:rPr>
                <w:rFonts w:cs="Arial"/>
                <w:szCs w:val="20"/>
              </w:rPr>
              <w:t>Bio-Rad Liquichek</w:t>
            </w:r>
            <w:r>
              <w:rPr>
                <w:rFonts w:cs="Arial"/>
                <w:szCs w:val="20"/>
              </w:rPr>
              <w:sym w:font="Symbol" w:char="F0D4"/>
            </w:r>
            <w:r>
              <w:rPr>
                <w:rFonts w:cs="Arial"/>
                <w:szCs w:val="20"/>
              </w:rPr>
              <w:t xml:space="preserve"> </w:t>
            </w:r>
            <w:r w:rsidRPr="00560643">
              <w:t>Ethanol/Ammonia</w:t>
            </w:r>
            <w:r w:rsidR="0068377C">
              <w:t xml:space="preserve"> Control Levels 1 &amp; 3</w:t>
            </w:r>
          </w:p>
          <w:p w14:paraId="71023105" w14:textId="77777777" w:rsidR="000C18AD" w:rsidRDefault="000C18AD" w:rsidP="000C18AD">
            <w:pPr>
              <w:autoSpaceDE w:val="0"/>
              <w:autoSpaceDN w:val="0"/>
              <w:adjustRightInd w:val="0"/>
              <w:jc w:val="both"/>
              <w:rPr>
                <w:rFonts w:cs="Arial"/>
                <w:szCs w:val="20"/>
              </w:rPr>
            </w:pPr>
          </w:p>
          <w:p w14:paraId="7C1F781C" w14:textId="77777777" w:rsidR="000C18AD" w:rsidRDefault="000C18AD" w:rsidP="000C18AD">
            <w:pPr>
              <w:autoSpaceDE w:val="0"/>
              <w:autoSpaceDN w:val="0"/>
              <w:adjustRightInd w:val="0"/>
              <w:jc w:val="both"/>
              <w:rPr>
                <w:rFonts w:cs="Arial"/>
                <w:szCs w:val="20"/>
              </w:rPr>
            </w:pPr>
            <w:r>
              <w:rPr>
                <w:rFonts w:cs="Arial"/>
                <w:b/>
                <w:bCs/>
                <w:szCs w:val="20"/>
              </w:rPr>
              <w:t xml:space="preserve">Frequency: </w:t>
            </w:r>
            <w:r>
              <w:rPr>
                <w:rFonts w:cs="Arial"/>
                <w:szCs w:val="20"/>
              </w:rPr>
              <w:t>Two levels each day of use</w:t>
            </w:r>
          </w:p>
          <w:p w14:paraId="5E4FCE92" w14:textId="77777777" w:rsidR="000C18AD" w:rsidRDefault="000C18AD" w:rsidP="000C18AD">
            <w:pPr>
              <w:autoSpaceDE w:val="0"/>
              <w:autoSpaceDN w:val="0"/>
              <w:adjustRightInd w:val="0"/>
              <w:jc w:val="both"/>
              <w:rPr>
                <w:rFonts w:cs="Arial"/>
                <w:szCs w:val="20"/>
              </w:rPr>
            </w:pPr>
          </w:p>
          <w:p w14:paraId="36B48F61" w14:textId="6A393D81" w:rsidR="000C18AD" w:rsidRDefault="000C18AD" w:rsidP="000C18AD">
            <w:pPr>
              <w:autoSpaceDE w:val="0"/>
              <w:autoSpaceDN w:val="0"/>
              <w:adjustRightInd w:val="0"/>
              <w:rPr>
                <w:rFonts w:eastAsia="HelveticaNeueLTPro-Cn" w:cs="Arial"/>
                <w:szCs w:val="20"/>
              </w:rPr>
            </w:pPr>
            <w:r>
              <w:rPr>
                <w:rFonts w:cs="Arial"/>
                <w:b/>
                <w:bCs/>
                <w:szCs w:val="20"/>
              </w:rPr>
              <w:t xml:space="preserve">Stability: </w:t>
            </w:r>
            <w:r>
              <w:rPr>
                <w:rFonts w:cs="Arial"/>
                <w:bCs/>
                <w:szCs w:val="20"/>
              </w:rPr>
              <w:t>Stable two years when stored refrigerated between 2 and 8</w:t>
            </w:r>
            <w:r>
              <w:rPr>
                <w:rFonts w:eastAsia="HelveticaNeueLTPro-Cn" w:cs="Arial"/>
                <w:szCs w:val="20"/>
              </w:rPr>
              <w:t xml:space="preserve">°C. </w:t>
            </w:r>
            <w:r>
              <w:rPr>
                <w:rFonts w:cs="Arial"/>
                <w:bCs/>
                <w:szCs w:val="20"/>
              </w:rPr>
              <w:t xml:space="preserve"> </w:t>
            </w:r>
            <w:r>
              <w:rPr>
                <w:rFonts w:eastAsia="HelveticaNeueLTPro-Cn" w:cs="Arial"/>
                <w:szCs w:val="20"/>
              </w:rPr>
              <w:t xml:space="preserve">Once opened, and stored tightly capped at 2 to 8°C, this product is stable for 20 days.  </w:t>
            </w:r>
          </w:p>
          <w:p w14:paraId="47ED5BFF" w14:textId="77777777" w:rsidR="000C18AD" w:rsidRDefault="000C18AD" w:rsidP="000C18AD">
            <w:pPr>
              <w:autoSpaceDE w:val="0"/>
              <w:autoSpaceDN w:val="0"/>
              <w:adjustRightInd w:val="0"/>
              <w:jc w:val="both"/>
              <w:rPr>
                <w:rFonts w:cs="Arial"/>
                <w:szCs w:val="20"/>
              </w:rPr>
            </w:pPr>
          </w:p>
          <w:p w14:paraId="77EF24B8" w14:textId="77777777" w:rsidR="000C18AD" w:rsidRDefault="000C18AD" w:rsidP="000C18AD">
            <w:pPr>
              <w:autoSpaceDE w:val="0"/>
              <w:autoSpaceDN w:val="0"/>
              <w:adjustRightInd w:val="0"/>
              <w:rPr>
                <w:rFonts w:cs="Arial"/>
                <w:szCs w:val="20"/>
              </w:rPr>
            </w:pPr>
            <w:r>
              <w:rPr>
                <w:rFonts w:cs="Arial"/>
                <w:b/>
                <w:bCs/>
                <w:szCs w:val="20"/>
              </w:rPr>
              <w:t>Preparation</w:t>
            </w:r>
            <w:r>
              <w:rPr>
                <w:rFonts w:cs="Arial"/>
                <w:szCs w:val="20"/>
              </w:rPr>
              <w:t xml:space="preserve">: </w:t>
            </w:r>
          </w:p>
          <w:p w14:paraId="2C6093F1" w14:textId="77777777" w:rsidR="000C18AD" w:rsidRDefault="000C18AD" w:rsidP="000C18AD">
            <w:pPr>
              <w:autoSpaceDE w:val="0"/>
              <w:autoSpaceDN w:val="0"/>
              <w:adjustRightInd w:val="0"/>
              <w:rPr>
                <w:rFonts w:eastAsia="HelveticaNeueLTPro-Cn" w:cs="Arial"/>
                <w:szCs w:val="20"/>
              </w:rPr>
            </w:pPr>
            <w:r>
              <w:rPr>
                <w:rFonts w:eastAsia="HelveticaNeueLTPro-Cn" w:cs="Arial"/>
                <w:szCs w:val="20"/>
              </w:rPr>
              <w:t xml:space="preserve">This product should be treated the same as patient specimens and run in accordance with the instructions accompanying the instrument, kit, or reagent being used.  </w:t>
            </w:r>
          </w:p>
          <w:p w14:paraId="10184A03" w14:textId="77777777" w:rsidR="000C18AD" w:rsidRDefault="000C18AD" w:rsidP="000C18AD">
            <w:pPr>
              <w:pStyle w:val="ListParagraph"/>
              <w:numPr>
                <w:ilvl w:val="0"/>
                <w:numId w:val="41"/>
              </w:numPr>
              <w:autoSpaceDE w:val="0"/>
              <w:autoSpaceDN w:val="0"/>
              <w:adjustRightInd w:val="0"/>
              <w:rPr>
                <w:rFonts w:eastAsia="HelveticaNeueLTPro-Cn" w:cs="Arial"/>
                <w:szCs w:val="20"/>
              </w:rPr>
            </w:pPr>
            <w:r>
              <w:rPr>
                <w:rFonts w:eastAsia="HelveticaNeueLTPro-Cn" w:cs="Arial"/>
                <w:szCs w:val="20"/>
              </w:rPr>
              <w:t>Minimize the time at room temperature to no more than 20 minutes daily.</w:t>
            </w:r>
          </w:p>
          <w:p w14:paraId="0EDC172E" w14:textId="77777777" w:rsidR="000C18AD" w:rsidRDefault="000C18AD" w:rsidP="000C18AD">
            <w:pPr>
              <w:pStyle w:val="ListParagraph"/>
              <w:numPr>
                <w:ilvl w:val="0"/>
                <w:numId w:val="41"/>
              </w:numPr>
              <w:autoSpaceDE w:val="0"/>
              <w:autoSpaceDN w:val="0"/>
              <w:adjustRightInd w:val="0"/>
              <w:rPr>
                <w:rFonts w:eastAsia="HelveticaNeueLTPro-Cn" w:cs="Arial"/>
                <w:szCs w:val="20"/>
              </w:rPr>
            </w:pPr>
            <w:r>
              <w:rPr>
                <w:rFonts w:eastAsia="HelveticaNeueLTPro-Cn" w:cs="Arial"/>
                <w:b/>
                <w:szCs w:val="20"/>
              </w:rPr>
              <w:t>Before each use</w:t>
            </w:r>
            <w:r>
              <w:rPr>
                <w:rFonts w:eastAsia="HelveticaNeueLTPro-Cn" w:cs="Arial"/>
                <w:szCs w:val="20"/>
              </w:rPr>
              <w:t>, gently swirl the contents until homogeneous with no visible signs of precipitate.</w:t>
            </w:r>
          </w:p>
          <w:p w14:paraId="2C71FB21" w14:textId="77777777" w:rsidR="000C18AD" w:rsidRDefault="000C18AD" w:rsidP="000C18AD">
            <w:pPr>
              <w:pStyle w:val="ListParagraph"/>
              <w:autoSpaceDE w:val="0"/>
              <w:autoSpaceDN w:val="0"/>
              <w:adjustRightInd w:val="0"/>
              <w:ind w:left="360"/>
              <w:rPr>
                <w:rFonts w:eastAsia="HelveticaNeueLTPro-Cn" w:cs="Arial"/>
                <w:szCs w:val="20"/>
              </w:rPr>
            </w:pPr>
          </w:p>
          <w:p w14:paraId="2BBBFC67" w14:textId="77777777" w:rsidR="000C18AD" w:rsidRDefault="000C18AD" w:rsidP="000C18AD">
            <w:pPr>
              <w:jc w:val="both"/>
              <w:rPr>
                <w:rFonts w:cs="Arial"/>
                <w:szCs w:val="20"/>
              </w:rPr>
            </w:pPr>
            <w:r>
              <w:rPr>
                <w:rFonts w:cs="Arial"/>
                <w:b/>
                <w:bCs/>
                <w:szCs w:val="20"/>
              </w:rPr>
              <w:t>Acceptable ranges:</w:t>
            </w:r>
            <w:r>
              <w:rPr>
                <w:rFonts w:cs="Arial"/>
                <w:szCs w:val="20"/>
              </w:rPr>
              <w:t xml:space="preserve"> </w:t>
            </w:r>
          </w:p>
          <w:p w14:paraId="65CEC5F8" w14:textId="77777777" w:rsidR="000C18AD" w:rsidRDefault="000C18AD" w:rsidP="000C18AD">
            <w:pPr>
              <w:pStyle w:val="ListParagraph"/>
              <w:numPr>
                <w:ilvl w:val="0"/>
                <w:numId w:val="42"/>
              </w:numPr>
              <w:jc w:val="both"/>
              <w:rPr>
                <w:rFonts w:cs="Arial"/>
                <w:szCs w:val="20"/>
              </w:rPr>
            </w:pPr>
            <w:r>
              <w:rPr>
                <w:rFonts w:cs="Arial"/>
                <w:szCs w:val="20"/>
              </w:rPr>
              <w:t xml:space="preserve">Non-Bio-Rad controls will utilize manufacturer ranges and 2 SD Westgard rules.  </w:t>
            </w:r>
          </w:p>
          <w:p w14:paraId="488DB108" w14:textId="77777777" w:rsidR="000C18AD" w:rsidRDefault="000C18AD" w:rsidP="000C18AD">
            <w:pPr>
              <w:pStyle w:val="ListParagraph"/>
              <w:numPr>
                <w:ilvl w:val="0"/>
                <w:numId w:val="42"/>
              </w:numPr>
              <w:jc w:val="both"/>
              <w:rPr>
                <w:rFonts w:cs="Arial"/>
                <w:szCs w:val="20"/>
              </w:rPr>
            </w:pPr>
            <w:r>
              <w:rPr>
                <w:rFonts w:cs="Arial"/>
                <w:szCs w:val="20"/>
              </w:rPr>
              <w:t xml:space="preserve">New lots of Bio-Rad controls should be run for 20 days in parallel with the current lot whenever possible prior to switching to the new lot.  </w:t>
            </w:r>
          </w:p>
          <w:p w14:paraId="7ECD55FF" w14:textId="77777777" w:rsidR="000C18AD" w:rsidRDefault="000C18AD" w:rsidP="000C18AD">
            <w:pPr>
              <w:pStyle w:val="ListParagraph"/>
              <w:numPr>
                <w:ilvl w:val="0"/>
                <w:numId w:val="42"/>
              </w:numPr>
              <w:jc w:val="both"/>
              <w:rPr>
                <w:rFonts w:cs="Arial"/>
                <w:szCs w:val="20"/>
              </w:rPr>
            </w:pPr>
            <w:r>
              <w:rPr>
                <w:rFonts w:cs="Arial"/>
                <w:szCs w:val="20"/>
              </w:rPr>
              <w:t xml:space="preserve">Refer to the Westgard Rules in Chemistry procedure (insert hyperlink) for current Westgard rules in place for each analyte.  </w:t>
            </w:r>
          </w:p>
          <w:p w14:paraId="26690C87" w14:textId="77777777" w:rsidR="000C18AD" w:rsidRDefault="000C18AD" w:rsidP="000C18AD">
            <w:pPr>
              <w:numPr>
                <w:ilvl w:val="0"/>
                <w:numId w:val="42"/>
              </w:numPr>
              <w:autoSpaceDE w:val="0"/>
              <w:autoSpaceDN w:val="0"/>
              <w:adjustRightInd w:val="0"/>
              <w:jc w:val="both"/>
              <w:rPr>
                <w:rFonts w:cs="Arial"/>
                <w:szCs w:val="20"/>
              </w:rPr>
            </w:pPr>
            <w:r>
              <w:rPr>
                <w:rFonts w:cs="Arial"/>
                <w:b/>
                <w:szCs w:val="20"/>
              </w:rPr>
              <w:t>Acceptable ranges are current in Unity Real Time only.</w:t>
            </w:r>
            <w:r>
              <w:rPr>
                <w:rFonts w:cs="Arial"/>
                <w:szCs w:val="20"/>
              </w:rPr>
              <w:t xml:space="preserve">  Quality Control results must be rejected in Sunquest when the results cross the interface.  </w:t>
            </w:r>
          </w:p>
          <w:p w14:paraId="2712584F" w14:textId="77777777" w:rsidR="000C18AD" w:rsidRDefault="000C18AD" w:rsidP="000C18AD">
            <w:pPr>
              <w:numPr>
                <w:ilvl w:val="0"/>
                <w:numId w:val="42"/>
              </w:numPr>
              <w:autoSpaceDE w:val="0"/>
              <w:autoSpaceDN w:val="0"/>
              <w:adjustRightInd w:val="0"/>
              <w:jc w:val="both"/>
              <w:rPr>
                <w:rFonts w:cs="Arial"/>
                <w:color w:val="000000"/>
                <w:szCs w:val="20"/>
              </w:rPr>
            </w:pPr>
            <w:r>
              <w:rPr>
                <w:rFonts w:cs="Arial"/>
                <w:szCs w:val="20"/>
              </w:rPr>
              <w:t xml:space="preserve">In the event of a QC failure, refer to the </w:t>
            </w:r>
            <w:hyperlink r:id="rId13" w:history="1">
              <w:r>
                <w:rPr>
                  <w:rStyle w:val="Hyperlink"/>
                  <w:rFonts w:cs="Arial"/>
                  <w:szCs w:val="20"/>
                </w:rPr>
                <w:t>Unity Real Time QC Review, General User</w:t>
              </w:r>
            </w:hyperlink>
            <w:r>
              <w:rPr>
                <w:rFonts w:cs="Arial"/>
                <w:szCs w:val="20"/>
              </w:rPr>
              <w:t xml:space="preserve"> and navigate to the QC Troubleshooting section.</w:t>
            </w:r>
          </w:p>
          <w:p w14:paraId="05D28A32" w14:textId="77777777" w:rsidR="000C18AD" w:rsidRDefault="000C18AD" w:rsidP="000C18AD">
            <w:pPr>
              <w:numPr>
                <w:ilvl w:val="0"/>
                <w:numId w:val="42"/>
              </w:numPr>
              <w:autoSpaceDE w:val="0"/>
              <w:autoSpaceDN w:val="0"/>
              <w:adjustRightInd w:val="0"/>
              <w:jc w:val="both"/>
              <w:rPr>
                <w:rFonts w:cs="Arial"/>
                <w:color w:val="000000"/>
                <w:szCs w:val="20"/>
              </w:rPr>
            </w:pPr>
            <w:r>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gridSpan w:val="2"/>
            <w:tcBorders>
              <w:top w:val="nil"/>
              <w:left w:val="nil"/>
              <w:bottom w:val="nil"/>
              <w:right w:val="nil"/>
            </w:tcBorders>
          </w:tcPr>
          <w:p w14:paraId="5CD00005" w14:textId="69A43B8D"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56F7667F" w14:textId="77777777" w:rsidR="0068377C" w:rsidRPr="00234207" w:rsidRDefault="0068377C" w:rsidP="0068377C">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68377C" w:rsidRPr="006A26B2" w14:paraId="76183961" w14:textId="77777777" w:rsidTr="00391DB5">
              <w:tc>
                <w:tcPr>
                  <w:tcW w:w="472" w:type="dxa"/>
                </w:tcPr>
                <w:p w14:paraId="6C2400FB" w14:textId="77777777" w:rsidR="0068377C" w:rsidRPr="006A26B2" w:rsidRDefault="0068377C" w:rsidP="0068377C">
                  <w:pPr>
                    <w:autoSpaceDE w:val="0"/>
                    <w:autoSpaceDN w:val="0"/>
                    <w:adjustRightInd w:val="0"/>
                    <w:jc w:val="both"/>
                    <w:rPr>
                      <w:rFonts w:cs="Arial"/>
                      <w:b/>
                      <w:szCs w:val="20"/>
                    </w:rPr>
                  </w:pPr>
                  <w:r w:rsidRPr="006A26B2">
                    <w:rPr>
                      <w:rFonts w:cs="Arial"/>
                      <w:b/>
                      <w:szCs w:val="20"/>
                    </w:rPr>
                    <w:t>H</w:t>
                  </w:r>
                </w:p>
              </w:tc>
              <w:tc>
                <w:tcPr>
                  <w:tcW w:w="394" w:type="dxa"/>
                </w:tcPr>
                <w:p w14:paraId="3C469E23" w14:textId="77777777" w:rsidR="0068377C" w:rsidRPr="006A26B2" w:rsidRDefault="0068377C" w:rsidP="0068377C">
                  <w:pPr>
                    <w:autoSpaceDE w:val="0"/>
                    <w:autoSpaceDN w:val="0"/>
                    <w:adjustRightInd w:val="0"/>
                    <w:jc w:val="both"/>
                    <w:rPr>
                      <w:rFonts w:cs="Arial"/>
                      <w:b/>
                      <w:szCs w:val="20"/>
                    </w:rPr>
                  </w:pPr>
                  <w:r w:rsidRPr="006A26B2">
                    <w:rPr>
                      <w:rFonts w:cs="Arial"/>
                      <w:b/>
                      <w:szCs w:val="20"/>
                    </w:rPr>
                    <w:t>I</w:t>
                  </w:r>
                </w:p>
              </w:tc>
              <w:tc>
                <w:tcPr>
                  <w:tcW w:w="443" w:type="dxa"/>
                </w:tcPr>
                <w:p w14:paraId="7C2D6F6A" w14:textId="77777777" w:rsidR="0068377C" w:rsidRPr="006A26B2" w:rsidRDefault="0068377C" w:rsidP="0068377C">
                  <w:pPr>
                    <w:autoSpaceDE w:val="0"/>
                    <w:autoSpaceDN w:val="0"/>
                    <w:adjustRightInd w:val="0"/>
                    <w:jc w:val="both"/>
                    <w:rPr>
                      <w:rFonts w:cs="Arial"/>
                      <w:b/>
                      <w:szCs w:val="20"/>
                    </w:rPr>
                  </w:pPr>
                  <w:r w:rsidRPr="006A26B2">
                    <w:rPr>
                      <w:rFonts w:cs="Arial"/>
                      <w:b/>
                      <w:szCs w:val="20"/>
                    </w:rPr>
                    <w:t>L</w:t>
                  </w:r>
                </w:p>
              </w:tc>
            </w:tr>
            <w:tr w:rsidR="0068377C" w:rsidRPr="006A26B2" w14:paraId="1C840542" w14:textId="77777777" w:rsidTr="00391DB5">
              <w:tc>
                <w:tcPr>
                  <w:tcW w:w="472" w:type="dxa"/>
                </w:tcPr>
                <w:p w14:paraId="1A5E3274" w14:textId="1B83F5B4" w:rsidR="0068377C" w:rsidRPr="006A26B2" w:rsidRDefault="0068377C" w:rsidP="0068377C">
                  <w:pPr>
                    <w:autoSpaceDE w:val="0"/>
                    <w:autoSpaceDN w:val="0"/>
                    <w:adjustRightInd w:val="0"/>
                    <w:jc w:val="both"/>
                    <w:rPr>
                      <w:rFonts w:cs="Arial"/>
                      <w:b/>
                      <w:szCs w:val="20"/>
                    </w:rPr>
                  </w:pPr>
                  <w:r>
                    <w:rPr>
                      <w:rFonts w:cs="Arial"/>
                      <w:b/>
                      <w:szCs w:val="20"/>
                    </w:rPr>
                    <w:t>-</w:t>
                  </w:r>
                </w:p>
              </w:tc>
              <w:tc>
                <w:tcPr>
                  <w:tcW w:w="394" w:type="dxa"/>
                </w:tcPr>
                <w:p w14:paraId="2AC25B7E" w14:textId="77777777" w:rsidR="0068377C" w:rsidRPr="006A26B2" w:rsidRDefault="0068377C" w:rsidP="0068377C">
                  <w:pPr>
                    <w:autoSpaceDE w:val="0"/>
                    <w:autoSpaceDN w:val="0"/>
                    <w:adjustRightInd w:val="0"/>
                    <w:jc w:val="both"/>
                    <w:rPr>
                      <w:rFonts w:cs="Arial"/>
                      <w:b/>
                      <w:szCs w:val="20"/>
                    </w:rPr>
                  </w:pPr>
                  <w:r w:rsidRPr="006A26B2">
                    <w:rPr>
                      <w:rFonts w:cs="Arial"/>
                      <w:b/>
                      <w:szCs w:val="20"/>
                    </w:rPr>
                    <w:t>-</w:t>
                  </w:r>
                </w:p>
              </w:tc>
              <w:tc>
                <w:tcPr>
                  <w:tcW w:w="443" w:type="dxa"/>
                </w:tcPr>
                <w:p w14:paraId="7D3CB1F5" w14:textId="31C93F36" w:rsidR="0068377C" w:rsidRPr="006A26B2" w:rsidRDefault="0068377C" w:rsidP="0068377C">
                  <w:pPr>
                    <w:autoSpaceDE w:val="0"/>
                    <w:autoSpaceDN w:val="0"/>
                    <w:adjustRightInd w:val="0"/>
                    <w:jc w:val="both"/>
                    <w:rPr>
                      <w:rFonts w:cs="Arial"/>
                      <w:b/>
                      <w:szCs w:val="20"/>
                    </w:rPr>
                  </w:pPr>
                  <w:r>
                    <w:rPr>
                      <w:rFonts w:cs="Arial"/>
                      <w:b/>
                      <w:szCs w:val="20"/>
                    </w:rPr>
                    <w:t>-</w:t>
                  </w:r>
                </w:p>
              </w:tc>
            </w:tr>
          </w:tbl>
          <w:p w14:paraId="0FCA7532" w14:textId="77777777" w:rsidR="0068377C" w:rsidRPr="00DC7421" w:rsidRDefault="0068377C" w:rsidP="0068377C">
            <w:pPr>
              <w:autoSpaceDE w:val="0"/>
              <w:autoSpaceDN w:val="0"/>
              <w:adjustRightInd w:val="0"/>
              <w:rPr>
                <w:rFonts w:cs="Arial"/>
                <w:b/>
                <w:bCs/>
                <w:color w:val="5F497A"/>
                <w:szCs w:val="20"/>
              </w:rPr>
            </w:pPr>
          </w:p>
          <w:p w14:paraId="64FEA5D3" w14:textId="77777777" w:rsidR="0068377C" w:rsidRDefault="0068377C" w:rsidP="0068377C">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182C855E" w14:textId="77777777" w:rsidR="0068377C" w:rsidRDefault="0068377C" w:rsidP="0068377C">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7F052855" w14:textId="77777777" w:rsidR="0068377C" w:rsidRDefault="0068377C" w:rsidP="0068377C">
            <w:pPr>
              <w:autoSpaceDE w:val="0"/>
              <w:autoSpaceDN w:val="0"/>
              <w:adjustRightInd w:val="0"/>
              <w:rPr>
                <w:rFonts w:eastAsia="HelenPro-Regular" w:cs="Arial"/>
                <w:szCs w:val="20"/>
              </w:rPr>
            </w:pPr>
            <w:r>
              <w:rPr>
                <w:rFonts w:eastAsia="HelenPro-Regular" w:cs="Arial"/>
                <w:szCs w:val="20"/>
              </w:rPr>
              <w:t>-BIN for “Bilirubin Interference”</w:t>
            </w:r>
          </w:p>
          <w:p w14:paraId="03E94622" w14:textId="77777777" w:rsidR="0068377C" w:rsidRDefault="0068377C" w:rsidP="0068377C">
            <w:pPr>
              <w:autoSpaceDE w:val="0"/>
              <w:autoSpaceDN w:val="0"/>
              <w:adjustRightInd w:val="0"/>
              <w:rPr>
                <w:rFonts w:eastAsia="HelenPro-Regular" w:cs="Arial"/>
                <w:szCs w:val="20"/>
              </w:rPr>
            </w:pPr>
            <w:r>
              <w:rPr>
                <w:rFonts w:eastAsia="HelenPro-Regular" w:cs="Arial"/>
                <w:szCs w:val="20"/>
              </w:rPr>
              <w:t>-LINT for “Lipid Interference”</w:t>
            </w:r>
          </w:p>
          <w:p w14:paraId="108AD582" w14:textId="77777777" w:rsidR="0068377C" w:rsidRDefault="0068377C" w:rsidP="0068377C">
            <w:pPr>
              <w:autoSpaceDE w:val="0"/>
              <w:autoSpaceDN w:val="0"/>
              <w:adjustRightInd w:val="0"/>
              <w:rPr>
                <w:rFonts w:eastAsia="HelenPro-Regular" w:cs="Arial"/>
                <w:szCs w:val="20"/>
              </w:rPr>
            </w:pPr>
          </w:p>
          <w:p w14:paraId="392D9C5E" w14:textId="1AC88715" w:rsidR="0068377C" w:rsidRDefault="0068377C" w:rsidP="0068377C">
            <w:pPr>
              <w:autoSpaceDE w:val="0"/>
              <w:autoSpaceDN w:val="0"/>
              <w:adjustRightInd w:val="0"/>
              <w:rPr>
                <w:rFonts w:eastAsia="HelenPro-Regular" w:cs="Arial"/>
                <w:szCs w:val="20"/>
              </w:rPr>
            </w:pPr>
            <w:r>
              <w:rPr>
                <w:rFonts w:eastAsia="HelenPro-Regular" w:cs="Arial"/>
                <w:szCs w:val="20"/>
              </w:rPr>
              <w:t xml:space="preserve">At n-Propanol levels of 2000 mg/dL, </w:t>
            </w:r>
            <w:r w:rsidR="006420BA">
              <w:rPr>
                <w:rFonts w:eastAsia="HelenPro-Regular" w:cs="Arial"/>
                <w:szCs w:val="20"/>
              </w:rPr>
              <w:t xml:space="preserve">there is 10.7% cross reactivity with this assay.  The following potential cross-reactants at the same level yielded less than 10% cross-reactivity: acetaldehyde, acetone, n-Butanol, ethylene glycol, isopropanol, </w:t>
            </w:r>
            <w:proofErr w:type="gramStart"/>
            <w:r w:rsidR="006420BA">
              <w:rPr>
                <w:rFonts w:eastAsia="HelenPro-Regular" w:cs="Arial"/>
                <w:szCs w:val="20"/>
              </w:rPr>
              <w:t>methanol</w:t>
            </w:r>
            <w:proofErr w:type="gramEnd"/>
            <w:r w:rsidR="006420BA">
              <w:rPr>
                <w:rFonts w:eastAsia="HelenPro-Regular" w:cs="Arial"/>
                <w:szCs w:val="20"/>
              </w:rPr>
              <w:t>.</w:t>
            </w:r>
          </w:p>
          <w:p w14:paraId="5CD00008" w14:textId="77777777" w:rsidR="002F5F18" w:rsidRDefault="002F5F18" w:rsidP="00824C10">
            <w:pPr>
              <w:autoSpaceDE w:val="0"/>
              <w:autoSpaceDN w:val="0"/>
              <w:adjustRightInd w:val="0"/>
              <w:rPr>
                <w:rFonts w:cs="Arial"/>
                <w:szCs w:val="20"/>
              </w:rPr>
            </w:pPr>
          </w:p>
          <w:p w14:paraId="3B371039" w14:textId="4E6BD625" w:rsidR="006420BA" w:rsidRDefault="006420BA" w:rsidP="006420BA">
            <w:pPr>
              <w:autoSpaceDE w:val="0"/>
              <w:autoSpaceDN w:val="0"/>
              <w:adjustRightInd w:val="0"/>
              <w:rPr>
                <w:rFonts w:cs="Arial"/>
                <w:szCs w:val="20"/>
              </w:rPr>
            </w:pPr>
            <w:r w:rsidRPr="006420BA">
              <w:rPr>
                <w:rFonts w:cs="Arial"/>
                <w:szCs w:val="20"/>
              </w:rPr>
              <w:t>Grossly hemolyzed (800 mg/dL</w:t>
            </w:r>
            <w:r>
              <w:rPr>
                <w:rFonts w:cs="Arial"/>
                <w:szCs w:val="20"/>
              </w:rPr>
              <w:t xml:space="preserve"> hemoglobin), icteric (30 mg/dL </w:t>
            </w:r>
            <w:r w:rsidRPr="006420BA">
              <w:rPr>
                <w:rFonts w:cs="Arial"/>
                <w:szCs w:val="20"/>
              </w:rPr>
              <w:t>bilirubin), and lipemic (1000 mg/dL triglycerides) samples were found</w:t>
            </w:r>
            <w:r>
              <w:rPr>
                <w:rFonts w:cs="Arial"/>
                <w:szCs w:val="20"/>
              </w:rPr>
              <w:t xml:space="preserve"> </w:t>
            </w:r>
            <w:r w:rsidRPr="006420BA">
              <w:rPr>
                <w:rFonts w:cs="Arial"/>
                <w:szCs w:val="20"/>
              </w:rPr>
              <w:t>to have no interference with the assay.</w:t>
            </w:r>
          </w:p>
          <w:p w14:paraId="1A033ABC" w14:textId="77777777" w:rsidR="006420BA" w:rsidRPr="006420BA" w:rsidRDefault="006420BA" w:rsidP="006420BA">
            <w:pPr>
              <w:autoSpaceDE w:val="0"/>
              <w:autoSpaceDN w:val="0"/>
              <w:adjustRightInd w:val="0"/>
              <w:rPr>
                <w:rFonts w:cs="Arial"/>
                <w:szCs w:val="20"/>
              </w:rPr>
            </w:pPr>
          </w:p>
          <w:p w14:paraId="19F2F830" w14:textId="48733B79" w:rsidR="006420BA" w:rsidRPr="00DC7421" w:rsidRDefault="006420BA" w:rsidP="006420BA">
            <w:pPr>
              <w:autoSpaceDE w:val="0"/>
              <w:autoSpaceDN w:val="0"/>
              <w:adjustRightInd w:val="0"/>
              <w:rPr>
                <w:rFonts w:cs="Arial"/>
                <w:szCs w:val="20"/>
              </w:rPr>
            </w:pPr>
            <w:r w:rsidRPr="006420BA">
              <w:rPr>
                <w:rFonts w:cs="Arial"/>
                <w:szCs w:val="20"/>
              </w:rPr>
              <w:t>The drugs Sulfasalazine (300 mg/</w:t>
            </w:r>
            <w:r>
              <w:rPr>
                <w:rFonts w:cs="Arial"/>
                <w:szCs w:val="20"/>
              </w:rPr>
              <w:t xml:space="preserve">L) and </w:t>
            </w:r>
            <w:proofErr w:type="spellStart"/>
            <w:r>
              <w:rPr>
                <w:rFonts w:cs="Arial"/>
                <w:szCs w:val="20"/>
              </w:rPr>
              <w:t>Sulfapyridine</w:t>
            </w:r>
            <w:proofErr w:type="spellEnd"/>
            <w:r>
              <w:rPr>
                <w:rFonts w:cs="Arial"/>
                <w:szCs w:val="20"/>
              </w:rPr>
              <w:t xml:space="preserve"> (300 mg/L) </w:t>
            </w:r>
            <w:r w:rsidRPr="006420BA">
              <w:rPr>
                <w:rFonts w:cs="Arial"/>
                <w:szCs w:val="20"/>
              </w:rPr>
              <w:t>were found to have no interference with the assay.</w:t>
            </w:r>
          </w:p>
          <w:p w14:paraId="5CD00011" w14:textId="53F6C617" w:rsidR="000244AC" w:rsidRPr="00F742AA" w:rsidRDefault="000244AC" w:rsidP="0068377C">
            <w:pPr>
              <w:autoSpaceDE w:val="0"/>
              <w:autoSpaceDN w:val="0"/>
              <w:adjustRightInd w:val="0"/>
              <w:ind w:left="720"/>
              <w:jc w:val="both"/>
              <w:rPr>
                <w:rFonts w:cs="Arial"/>
                <w:sz w:val="28"/>
                <w:szCs w:val="28"/>
              </w:rPr>
            </w:pPr>
          </w:p>
        </w:tc>
      </w:tr>
      <w:tr w:rsidR="00E3253B" w14:paraId="5CD00019" w14:textId="77777777" w:rsidTr="007132A9">
        <w:trPr>
          <w:tblHeader/>
        </w:trPr>
        <w:tc>
          <w:tcPr>
            <w:tcW w:w="1800" w:type="dxa"/>
            <w:gridSpan w:val="2"/>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5CD00018" w14:textId="22394F03" w:rsidR="0039587D" w:rsidRPr="00DC7421" w:rsidRDefault="0068377C" w:rsidP="0039587D">
            <w:pPr>
              <w:rPr>
                <w:rFonts w:cs="Arial"/>
                <w:szCs w:val="20"/>
              </w:rPr>
            </w:pPr>
            <w:r>
              <w:rPr>
                <w:rFonts w:cs="Arial"/>
                <w:szCs w:val="20"/>
              </w:rPr>
              <w:t>Less than 10 mg/dL</w:t>
            </w:r>
          </w:p>
        </w:tc>
      </w:tr>
      <w:tr w:rsidR="00E3253B" w14:paraId="5CD0001C" w14:textId="77777777" w:rsidTr="007132A9">
        <w:trPr>
          <w:trHeight w:val="558"/>
          <w:tblHeader/>
        </w:trPr>
        <w:tc>
          <w:tcPr>
            <w:tcW w:w="1800" w:type="dxa"/>
            <w:gridSpan w:val="2"/>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5E25E61A" w:rsidR="00E3253B" w:rsidRPr="00DC7421" w:rsidRDefault="0068377C"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gridSpan w:val="2"/>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14:paraId="10A09B6F" w14:textId="791422AA" w:rsidR="00974C33" w:rsidRDefault="00974C33" w:rsidP="00E47DE5">
            <w:pPr>
              <w:autoSpaceDE w:val="0"/>
              <w:autoSpaceDN w:val="0"/>
              <w:adjustRightInd w:val="0"/>
              <w:rPr>
                <w:rFonts w:cs="Arial"/>
                <w:bCs/>
                <w:szCs w:val="20"/>
              </w:rPr>
            </w:pPr>
            <w:r w:rsidRPr="00974C33">
              <w:rPr>
                <w:rFonts w:cs="Arial"/>
                <w:bCs/>
                <w:szCs w:val="20"/>
              </w:rPr>
              <w:t>The test result should be interpreted in light of</w:t>
            </w:r>
            <w:r>
              <w:rPr>
                <w:rFonts w:cs="Arial"/>
                <w:bCs/>
                <w:szCs w:val="20"/>
              </w:rPr>
              <w:t xml:space="preserve"> clinical signs and symptoms. </w:t>
            </w:r>
            <w:r w:rsidR="0068377C">
              <w:rPr>
                <w:rFonts w:cs="Arial"/>
                <w:bCs/>
                <w:szCs w:val="20"/>
              </w:rPr>
              <w:t xml:space="preserve"> This test should be used for medical purposes only and is not intended for legal purposes.</w:t>
            </w:r>
          </w:p>
          <w:p w14:paraId="1482CC2C" w14:textId="77777777" w:rsidR="0068377C" w:rsidRDefault="0068377C" w:rsidP="00E47DE5">
            <w:pPr>
              <w:autoSpaceDE w:val="0"/>
              <w:autoSpaceDN w:val="0"/>
              <w:adjustRightInd w:val="0"/>
              <w:rPr>
                <w:rFonts w:cs="Arial"/>
                <w:bCs/>
                <w:szCs w:val="20"/>
              </w:rPr>
            </w:pPr>
          </w:p>
          <w:p w14:paraId="4A86BF0E" w14:textId="0B98E0C3" w:rsidR="00974C33" w:rsidRDefault="00974C33" w:rsidP="00E47DE5">
            <w:pPr>
              <w:autoSpaceDE w:val="0"/>
              <w:autoSpaceDN w:val="0"/>
              <w:adjustRightInd w:val="0"/>
              <w:rPr>
                <w:rFonts w:cs="Arial"/>
                <w:bCs/>
                <w:szCs w:val="20"/>
              </w:rPr>
            </w:pPr>
            <w:r w:rsidRPr="00974C33">
              <w:rPr>
                <w:rFonts w:cs="Arial"/>
                <w:bCs/>
                <w:szCs w:val="20"/>
              </w:rPr>
              <w:t>The test is de</w:t>
            </w:r>
            <w:r>
              <w:rPr>
                <w:rFonts w:cs="Arial"/>
                <w:bCs/>
                <w:szCs w:val="20"/>
              </w:rPr>
              <w:t xml:space="preserve">signed for use with human </w:t>
            </w:r>
            <w:r w:rsidR="0068377C">
              <w:rPr>
                <w:rFonts w:cs="Arial"/>
                <w:bCs/>
                <w:szCs w:val="20"/>
              </w:rPr>
              <w:t>samples only.</w:t>
            </w:r>
          </w:p>
          <w:p w14:paraId="02F354F0" w14:textId="77777777" w:rsidR="0068377C" w:rsidRDefault="0068377C" w:rsidP="00E47DE5">
            <w:pPr>
              <w:autoSpaceDE w:val="0"/>
              <w:autoSpaceDN w:val="0"/>
              <w:adjustRightInd w:val="0"/>
              <w:rPr>
                <w:rFonts w:cs="Arial"/>
                <w:bCs/>
                <w:szCs w:val="20"/>
              </w:rPr>
            </w:pPr>
          </w:p>
          <w:p w14:paraId="23F2C6B0" w14:textId="77777777" w:rsidR="00974C33" w:rsidRDefault="00974C33" w:rsidP="00974C33">
            <w:pPr>
              <w:autoSpaceDE w:val="0"/>
              <w:autoSpaceDN w:val="0"/>
              <w:adjustRightInd w:val="0"/>
              <w:rPr>
                <w:rFonts w:cs="Arial"/>
                <w:bCs/>
                <w:szCs w:val="20"/>
              </w:rPr>
            </w:pPr>
            <w:r w:rsidRPr="00974C33">
              <w:rPr>
                <w:rFonts w:cs="Arial"/>
                <w:bCs/>
                <w:szCs w:val="20"/>
              </w:rPr>
              <w:t>Increased levels of lactic acid and LDH in postmortem samples may cause elevated ethyl alcohol results.</w:t>
            </w:r>
          </w:p>
          <w:p w14:paraId="5543D6E6" w14:textId="77777777" w:rsidR="0068377C" w:rsidRDefault="0068377C" w:rsidP="00974C33">
            <w:pPr>
              <w:autoSpaceDE w:val="0"/>
              <w:autoSpaceDN w:val="0"/>
              <w:adjustRightInd w:val="0"/>
              <w:rPr>
                <w:rFonts w:cs="Arial"/>
                <w:bCs/>
                <w:szCs w:val="20"/>
              </w:rPr>
            </w:pPr>
          </w:p>
          <w:p w14:paraId="52583CEC" w14:textId="77777777" w:rsidR="00974C33" w:rsidRDefault="00974C33" w:rsidP="00974C33">
            <w:pPr>
              <w:autoSpaceDE w:val="0"/>
              <w:autoSpaceDN w:val="0"/>
              <w:adjustRightInd w:val="0"/>
              <w:rPr>
                <w:rFonts w:cs="Arial"/>
                <w:bCs/>
                <w:szCs w:val="20"/>
              </w:rPr>
            </w:pPr>
            <w:r w:rsidRPr="00974C33">
              <w:rPr>
                <w:rFonts w:cs="Arial"/>
                <w:bCs/>
                <w:szCs w:val="20"/>
              </w:rPr>
              <w:t>It is possible that other substances and/or factors (e.g., technical or procedural errors) not listed in the Analytical Specificity table may interfere with the test and cause false results.</w:t>
            </w:r>
          </w:p>
          <w:p w14:paraId="2CFB7244" w14:textId="77777777" w:rsidR="0068377C" w:rsidRDefault="0068377C" w:rsidP="00974C33">
            <w:pPr>
              <w:autoSpaceDE w:val="0"/>
              <w:autoSpaceDN w:val="0"/>
              <w:adjustRightInd w:val="0"/>
              <w:rPr>
                <w:rFonts w:cs="Arial"/>
                <w:bCs/>
                <w:szCs w:val="20"/>
              </w:rPr>
            </w:pPr>
          </w:p>
          <w:p w14:paraId="42E09DF5" w14:textId="455B645C" w:rsidR="00DC7421" w:rsidRDefault="00974C33" w:rsidP="00974C33">
            <w:pPr>
              <w:autoSpaceDE w:val="0"/>
              <w:autoSpaceDN w:val="0"/>
              <w:adjustRightInd w:val="0"/>
              <w:rPr>
                <w:rFonts w:cs="Arial"/>
                <w:bCs/>
                <w:szCs w:val="20"/>
              </w:rPr>
            </w:pPr>
            <w:proofErr w:type="spellStart"/>
            <w:r w:rsidRPr="00974C33">
              <w:rPr>
                <w:rFonts w:cs="Arial"/>
                <w:bCs/>
                <w:szCs w:val="20"/>
              </w:rPr>
              <w:t>Temozolomide</w:t>
            </w:r>
            <w:proofErr w:type="spellEnd"/>
            <w:r w:rsidRPr="00974C33">
              <w:rPr>
                <w:rFonts w:cs="Arial"/>
                <w:bCs/>
                <w:szCs w:val="20"/>
              </w:rPr>
              <w:t xml:space="preserve"> at elevated concentrations (20 mg/L; 103 µmol/L) may lead to falsely low result</w:t>
            </w:r>
            <w:r>
              <w:rPr>
                <w:rFonts w:cs="Arial"/>
                <w:bCs/>
                <w:szCs w:val="20"/>
              </w:rPr>
              <w:t>s</w:t>
            </w:r>
          </w:p>
          <w:p w14:paraId="5CD00021" w14:textId="02A8BBEE" w:rsidR="00F742AA" w:rsidRPr="00DC7421" w:rsidRDefault="00F742AA" w:rsidP="00974C33">
            <w:pPr>
              <w:autoSpaceDE w:val="0"/>
              <w:autoSpaceDN w:val="0"/>
              <w:adjustRightInd w:val="0"/>
              <w:rPr>
                <w:rFonts w:cs="Arial"/>
                <w:bCs/>
                <w:szCs w:val="20"/>
              </w:rPr>
            </w:pPr>
          </w:p>
        </w:tc>
      </w:tr>
      <w:tr w:rsidR="00F83DB0" w14:paraId="0A2A1650" w14:textId="77777777" w:rsidTr="007132A9">
        <w:trPr>
          <w:tblHeader/>
        </w:trPr>
        <w:tc>
          <w:tcPr>
            <w:tcW w:w="1800" w:type="dxa"/>
            <w:gridSpan w:val="2"/>
            <w:tcBorders>
              <w:top w:val="nil"/>
              <w:left w:val="nil"/>
              <w:bottom w:val="nil"/>
              <w:right w:val="nil"/>
            </w:tcBorders>
          </w:tcPr>
          <w:p w14:paraId="3CAD869B" w14:textId="78DF6390"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p w14:paraId="0BA69FB5" w14:textId="3B75D302" w:rsidR="00F83DB0" w:rsidRDefault="0068377C" w:rsidP="00E47DE5">
            <w:pPr>
              <w:autoSpaceDE w:val="0"/>
              <w:autoSpaceDN w:val="0"/>
              <w:adjustRightInd w:val="0"/>
              <w:rPr>
                <w:rFonts w:cs="Arial"/>
                <w:bCs/>
                <w:szCs w:val="20"/>
              </w:rPr>
            </w:pPr>
            <w:r>
              <w:rPr>
                <w:rFonts w:cs="Arial"/>
                <w:bCs/>
                <w:szCs w:val="20"/>
              </w:rPr>
              <w:t>Do not dilute.</w:t>
            </w:r>
          </w:p>
          <w:p w14:paraId="0F826C27"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gridSpan w:val="2"/>
            <w:tcBorders>
              <w:top w:val="nil"/>
              <w:left w:val="nil"/>
              <w:bottom w:val="nil"/>
              <w:right w:val="nil"/>
            </w:tcBorders>
          </w:tcPr>
          <w:p w14:paraId="643D95AC"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13F373D6" w:rsidR="00EA580E" w:rsidRDefault="00EA580E" w:rsidP="00EA580E">
            <w:pPr>
              <w:rPr>
                <w:rFonts w:cs="Arial"/>
                <w:b/>
                <w:bCs/>
                <w:color w:val="7030A0"/>
                <w:szCs w:val="20"/>
              </w:rPr>
            </w:pPr>
          </w:p>
          <w:p w14:paraId="7EEC7ABE" w14:textId="4028A1E7"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68377C">
              <w:rPr>
                <w:rFonts w:cs="Arial"/>
                <w:szCs w:val="20"/>
              </w:rPr>
              <w:t>10</w:t>
            </w:r>
            <w:r w:rsidR="00E47DE5">
              <w:rPr>
                <w:rFonts w:cs="Arial"/>
                <w:szCs w:val="20"/>
              </w:rPr>
              <w:t xml:space="preserve"> </w:t>
            </w:r>
            <w:r>
              <w:rPr>
                <w:rFonts w:cs="Arial"/>
                <w:szCs w:val="20"/>
              </w:rPr>
              <w:t xml:space="preserve">and </w:t>
            </w:r>
            <w:r w:rsidR="0068377C">
              <w:rPr>
                <w:rFonts w:cs="Arial"/>
                <w:szCs w:val="20"/>
              </w:rPr>
              <w:t>600 mg/dL</w:t>
            </w:r>
            <w:r w:rsidR="00E47DE5" w:rsidRPr="00DC7421">
              <w:rPr>
                <w:rFonts w:cs="Arial"/>
                <w:szCs w:val="20"/>
              </w:rPr>
              <w:t xml:space="preserve"> </w:t>
            </w:r>
            <w:r w:rsidRPr="00DC7421">
              <w:rPr>
                <w:rFonts w:cs="Arial"/>
                <w:szCs w:val="20"/>
              </w:rPr>
              <w:t>without error messages are released</w:t>
            </w:r>
          </w:p>
          <w:p w14:paraId="512DB6C5" w14:textId="6E39B824" w:rsidR="00F84C8E" w:rsidRPr="00DC7421" w:rsidRDefault="00F84C8E" w:rsidP="00F84C8E">
            <w:pPr>
              <w:numPr>
                <w:ilvl w:val="0"/>
                <w:numId w:val="40"/>
              </w:numPr>
              <w:rPr>
                <w:rFonts w:cs="Arial"/>
                <w:szCs w:val="20"/>
              </w:rPr>
            </w:pPr>
            <w:r>
              <w:rPr>
                <w:rFonts w:cs="Arial"/>
                <w:szCs w:val="20"/>
              </w:rPr>
              <w:t xml:space="preserve">Results below </w:t>
            </w:r>
            <w:r w:rsidR="0068377C">
              <w:rPr>
                <w:rFonts w:cs="Arial"/>
                <w:szCs w:val="20"/>
              </w:rPr>
              <w:t>10</w:t>
            </w:r>
            <w:r w:rsidR="00E47DE5">
              <w:rPr>
                <w:rFonts w:cs="Arial"/>
                <w:szCs w:val="20"/>
              </w:rPr>
              <w:t xml:space="preserve"> </w:t>
            </w:r>
            <w:r>
              <w:rPr>
                <w:rFonts w:cs="Arial"/>
                <w:szCs w:val="20"/>
              </w:rPr>
              <w:t xml:space="preserve">without error messages are reported as &lt; </w:t>
            </w:r>
            <w:r w:rsidR="0068377C">
              <w:rPr>
                <w:rFonts w:cs="Arial"/>
                <w:szCs w:val="20"/>
              </w:rPr>
              <w:t>10 mg/dL</w:t>
            </w:r>
            <w:r>
              <w:rPr>
                <w:rFonts w:cs="Arial"/>
                <w:szCs w:val="20"/>
              </w:rPr>
              <w:t>.</w:t>
            </w:r>
          </w:p>
          <w:p w14:paraId="1516BBCC" w14:textId="1C554040" w:rsidR="00EA580E" w:rsidRPr="00F84C8E" w:rsidRDefault="00F84C8E" w:rsidP="00F84C8E">
            <w:pPr>
              <w:numPr>
                <w:ilvl w:val="0"/>
                <w:numId w:val="40"/>
              </w:numPr>
              <w:rPr>
                <w:rFonts w:cs="Arial"/>
                <w:szCs w:val="20"/>
              </w:rPr>
            </w:pPr>
            <w:r>
              <w:rPr>
                <w:rFonts w:cs="Arial"/>
                <w:szCs w:val="20"/>
              </w:rPr>
              <w:t xml:space="preserve">Results &gt; </w:t>
            </w:r>
            <w:r w:rsidR="0068377C">
              <w:rPr>
                <w:rFonts w:cs="Arial"/>
                <w:szCs w:val="20"/>
              </w:rPr>
              <w:t>600</w:t>
            </w:r>
            <w:r w:rsidR="00E47DE5">
              <w:rPr>
                <w:rFonts w:cs="Arial"/>
                <w:szCs w:val="20"/>
              </w:rPr>
              <w:t xml:space="preserve"> </w:t>
            </w:r>
            <w:r w:rsidRPr="00A166AA">
              <w:rPr>
                <w:rFonts w:cs="Arial"/>
                <w:szCs w:val="20"/>
              </w:rPr>
              <w:t>following automate</w:t>
            </w:r>
            <w:r>
              <w:rPr>
                <w:rFonts w:cs="Arial"/>
                <w:szCs w:val="20"/>
              </w:rPr>
              <w:t xml:space="preserve">d dilution are reported as &gt; </w:t>
            </w:r>
            <w:r w:rsidR="0068377C">
              <w:rPr>
                <w:rFonts w:cs="Arial"/>
                <w:szCs w:val="20"/>
              </w:rPr>
              <w:t>600 mg/dL</w:t>
            </w:r>
            <w:r w:rsidRPr="00A166AA">
              <w:rPr>
                <w:rFonts w:cs="Arial"/>
                <w:szCs w:val="20"/>
              </w:rPr>
              <w:t>.</w:t>
            </w:r>
          </w:p>
          <w:p w14:paraId="5CD0003C" w14:textId="77777777" w:rsidR="00F83DB0" w:rsidRPr="00DC7421" w:rsidRDefault="00F83DB0" w:rsidP="0068377C">
            <w:pPr>
              <w:ind w:left="360"/>
              <w:rPr>
                <w:rFonts w:cs="Arial"/>
                <w:szCs w:val="20"/>
              </w:rPr>
            </w:pPr>
          </w:p>
        </w:tc>
      </w:tr>
      <w:tr w:rsidR="00E3253B" w14:paraId="5CD00040" w14:textId="77777777" w:rsidTr="007132A9">
        <w:trPr>
          <w:trHeight w:val="738"/>
          <w:tblHeader/>
        </w:trPr>
        <w:tc>
          <w:tcPr>
            <w:tcW w:w="1800" w:type="dxa"/>
            <w:gridSpan w:val="2"/>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7132A9">
        <w:trPr>
          <w:tblHeader/>
        </w:trPr>
        <w:tc>
          <w:tcPr>
            <w:tcW w:w="1800" w:type="dxa"/>
            <w:gridSpan w:val="2"/>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07BD66FA" w14:textId="77777777" w:rsidR="00E3253B" w:rsidRDefault="006420BA" w:rsidP="00B415C8">
            <w:pPr>
              <w:numPr>
                <w:ilvl w:val="0"/>
                <w:numId w:val="33"/>
              </w:numPr>
              <w:rPr>
                <w:rFonts w:cs="Arial"/>
                <w:szCs w:val="20"/>
              </w:rPr>
            </w:pPr>
            <w:r>
              <w:rPr>
                <w:rFonts w:cs="Arial"/>
                <w:szCs w:val="20"/>
              </w:rPr>
              <w:t>Abbott Alinity c Ethanol Reagent Kit Instructions for Use, Abbott Diagnostics Division, Abbott Park IL, USA.  Revised December 2017.</w:t>
            </w:r>
          </w:p>
          <w:p w14:paraId="663FB73E" w14:textId="77777777" w:rsidR="006420BA" w:rsidRDefault="006420BA" w:rsidP="00B415C8">
            <w:pPr>
              <w:numPr>
                <w:ilvl w:val="0"/>
                <w:numId w:val="33"/>
              </w:numPr>
              <w:rPr>
                <w:rFonts w:cs="Arial"/>
                <w:szCs w:val="20"/>
              </w:rPr>
            </w:pPr>
            <w:r>
              <w:rPr>
                <w:rFonts w:cs="Arial"/>
                <w:szCs w:val="20"/>
              </w:rPr>
              <w:t>Abbott Alinity c Ethanol Calibrator Kit Package Insert, Abbott Diagnostics Division, Abbott Park IL, USA.  Revised January 2018</w:t>
            </w:r>
          </w:p>
          <w:p w14:paraId="5CD00046" w14:textId="18712F82" w:rsidR="006420BA" w:rsidRPr="00DC7421" w:rsidRDefault="006420BA" w:rsidP="00B415C8">
            <w:pPr>
              <w:numPr>
                <w:ilvl w:val="0"/>
                <w:numId w:val="33"/>
              </w:numPr>
              <w:rPr>
                <w:rFonts w:cs="Arial"/>
                <w:szCs w:val="20"/>
              </w:rPr>
            </w:pPr>
            <w:r>
              <w:rPr>
                <w:rFonts w:cs="Arial"/>
                <w:szCs w:val="20"/>
              </w:rPr>
              <w:t>Bio-Rad Liquichek Ethanol/Ammonia Control Package Insert.  Bio-Rad Laboratories, Irvine CA, USA.</w:t>
            </w: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gridSpan w:val="2"/>
            <w:vMerge w:val="restart"/>
            <w:tcBorders>
              <w:left w:val="nil"/>
              <w:right w:val="single" w:sz="4" w:space="0" w:color="auto"/>
            </w:tcBorders>
          </w:tcPr>
          <w:p w14:paraId="5CD00048" w14:textId="3565AB80"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gridSpan w:val="2"/>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0D8E9658"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3E18A2FC" w:rsidR="00F50200" w:rsidRPr="00DC7421" w:rsidRDefault="00F742AA">
            <w:pPr>
              <w:rPr>
                <w:rFonts w:cs="Arial"/>
                <w:iCs/>
                <w:szCs w:val="20"/>
              </w:rPr>
            </w:pPr>
            <w:r>
              <w:rPr>
                <w:rFonts w:cs="Arial"/>
                <w:iCs/>
                <w:szCs w:val="20"/>
              </w:rPr>
              <w:t>Michelle Anton</w:t>
            </w:r>
          </w:p>
        </w:tc>
        <w:tc>
          <w:tcPr>
            <w:tcW w:w="1530" w:type="dxa"/>
            <w:tcBorders>
              <w:top w:val="single" w:sz="4" w:space="0" w:color="auto"/>
              <w:left w:val="single" w:sz="4" w:space="0" w:color="auto"/>
              <w:bottom w:val="single" w:sz="4" w:space="0" w:color="auto"/>
              <w:right w:val="single" w:sz="4" w:space="0" w:color="auto"/>
            </w:tcBorders>
          </w:tcPr>
          <w:p w14:paraId="5CD00051" w14:textId="522DF3FB" w:rsidR="00F50200" w:rsidRPr="00DC7421" w:rsidRDefault="00F50200">
            <w:pPr>
              <w:rPr>
                <w:rFonts w:cs="Arial"/>
                <w:iCs/>
                <w:szCs w:val="20"/>
              </w:rPr>
            </w:pP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gridSpan w:val="2"/>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1E92E7F8" w:rsidR="00F50200" w:rsidRPr="00F84C8E" w:rsidRDefault="0068377C">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04D9D0AA" w:rsidR="00F50200" w:rsidRPr="00F84C8E" w:rsidRDefault="0068377C">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3326CCBF" w:rsidR="00F50200" w:rsidRPr="00F84C8E" w:rsidRDefault="0068377C">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31C20AFD" w:rsidR="00F50200" w:rsidRPr="00F84C8E" w:rsidRDefault="0068377C">
            <w:pPr>
              <w:rPr>
                <w:rFonts w:cs="Arial"/>
                <w:iCs/>
                <w:szCs w:val="20"/>
              </w:rPr>
            </w:pPr>
            <w:r>
              <w:rPr>
                <w:rFonts w:cs="Arial"/>
                <w:iCs/>
                <w:szCs w:val="20"/>
              </w:rPr>
              <w:t>Added results reporting, AMR, references, cal ver material, interferences, etc. for new procedure.</w:t>
            </w:r>
          </w:p>
        </w:tc>
      </w:tr>
    </w:tbl>
    <w:p w14:paraId="5CD0005A" w14:textId="77777777" w:rsidR="00E3253B" w:rsidRPr="00BC1DCC" w:rsidRDefault="00E3253B" w:rsidP="007132A9">
      <w:pPr>
        <w:rPr>
          <w:rFonts w:cs="Arial"/>
        </w:rPr>
      </w:pPr>
    </w:p>
    <w:sectPr w:rsidR="00E3253B" w:rsidRPr="00BC1DCC"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1" w:usb1="08070000" w:usb2="00000010" w:usb3="00000000" w:csb0="00020000"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53E6F145" w:rsidR="00B13C1A" w:rsidRPr="002E718D" w:rsidRDefault="00B13C1A" w:rsidP="002E718D">
    <w:pPr>
      <w:ind w:left="-1260" w:right="-1260"/>
      <w:rPr>
        <w:rFonts w:cs="Arial"/>
        <w:sz w:val="16"/>
      </w:rPr>
    </w:pPr>
    <w:r>
      <w:rPr>
        <w:rFonts w:cs="Arial"/>
        <w:sz w:val="16"/>
      </w:rPr>
      <w:t>Laboratory, Children’s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4A458B">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4A458B">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56BFF688"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930631">
      <w:rPr>
        <w:rFonts w:cs="Arial"/>
      </w:rPr>
      <w:t xml:space="preserve">6.315 </w:t>
    </w:r>
    <w:r w:rsidR="00612C95">
      <w:rPr>
        <w:rFonts w:cs="Arial"/>
      </w:rPr>
      <w:t>Ethanol</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0B76240C" w:rsidR="00B13C1A" w:rsidRDefault="00B13C1A">
    <w:pPr>
      <w:ind w:left="-1260" w:right="-1260"/>
      <w:rPr>
        <w:rFonts w:cs="Arial"/>
      </w:rPr>
    </w:pPr>
    <w:r>
      <w:rPr>
        <w:rFonts w:cs="Arial"/>
      </w:rPr>
      <w:t xml:space="preserve">Effective Date: </w:t>
    </w:r>
    <w:r w:rsidR="00930631">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0"/>
  </w:num>
  <w:num w:numId="4">
    <w:abstractNumId w:val="34"/>
  </w:num>
  <w:num w:numId="5">
    <w:abstractNumId w:val="5"/>
  </w:num>
  <w:num w:numId="6">
    <w:abstractNumId w:val="10"/>
  </w:num>
  <w:num w:numId="7">
    <w:abstractNumId w:val="26"/>
  </w:num>
  <w:num w:numId="8">
    <w:abstractNumId w:val="21"/>
  </w:num>
  <w:num w:numId="9">
    <w:abstractNumId w:val="13"/>
  </w:num>
  <w:num w:numId="10">
    <w:abstractNumId w:val="2"/>
  </w:num>
  <w:num w:numId="11">
    <w:abstractNumId w:val="27"/>
  </w:num>
  <w:num w:numId="12">
    <w:abstractNumId w:val="8"/>
  </w:num>
  <w:num w:numId="13">
    <w:abstractNumId w:val="28"/>
  </w:num>
  <w:num w:numId="14">
    <w:abstractNumId w:val="36"/>
  </w:num>
  <w:num w:numId="15">
    <w:abstractNumId w:val="19"/>
  </w:num>
  <w:num w:numId="16">
    <w:abstractNumId w:val="1"/>
  </w:num>
  <w:num w:numId="17">
    <w:abstractNumId w:val="39"/>
  </w:num>
  <w:num w:numId="18">
    <w:abstractNumId w:val="11"/>
  </w:num>
  <w:num w:numId="19">
    <w:abstractNumId w:val="18"/>
  </w:num>
  <w:num w:numId="20">
    <w:abstractNumId w:val="25"/>
  </w:num>
  <w:num w:numId="21">
    <w:abstractNumId w:val="32"/>
  </w:num>
  <w:num w:numId="22">
    <w:abstractNumId w:val="37"/>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1"/>
  </w:num>
  <w:num w:numId="30">
    <w:abstractNumId w:val="29"/>
  </w:num>
  <w:num w:numId="31">
    <w:abstractNumId w:val="20"/>
  </w:num>
  <w:num w:numId="32">
    <w:abstractNumId w:val="16"/>
  </w:num>
  <w:num w:numId="33">
    <w:abstractNumId w:val="4"/>
  </w:num>
  <w:num w:numId="34">
    <w:abstractNumId w:val="35"/>
  </w:num>
  <w:num w:numId="35">
    <w:abstractNumId w:val="33"/>
  </w:num>
  <w:num w:numId="36">
    <w:abstractNumId w:val="15"/>
  </w:num>
  <w:num w:numId="37">
    <w:abstractNumId w:val="38"/>
  </w:num>
  <w:num w:numId="38">
    <w:abstractNumId w:val="0"/>
  </w:num>
  <w:num w:numId="39">
    <w:abstractNumId w:val="9"/>
  </w:num>
  <w:num w:numId="40">
    <w:abstractNumId w:val="24"/>
  </w:num>
  <w:num w:numId="41">
    <w:abstractNumId w:val="3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15146"/>
    <w:rsid w:val="00017CB4"/>
    <w:rsid w:val="0002281F"/>
    <w:rsid w:val="000244AC"/>
    <w:rsid w:val="00025B50"/>
    <w:rsid w:val="0002771B"/>
    <w:rsid w:val="00064AD2"/>
    <w:rsid w:val="000908D2"/>
    <w:rsid w:val="000A3E5A"/>
    <w:rsid w:val="000C18AD"/>
    <w:rsid w:val="000E63E3"/>
    <w:rsid w:val="001102B2"/>
    <w:rsid w:val="00115DD6"/>
    <w:rsid w:val="001241E4"/>
    <w:rsid w:val="00152791"/>
    <w:rsid w:val="0017089C"/>
    <w:rsid w:val="001A1584"/>
    <w:rsid w:val="001B58ED"/>
    <w:rsid w:val="001C1CFA"/>
    <w:rsid w:val="001C641E"/>
    <w:rsid w:val="001D1786"/>
    <w:rsid w:val="001D284B"/>
    <w:rsid w:val="001F5BDF"/>
    <w:rsid w:val="001F5D12"/>
    <w:rsid w:val="00233AA0"/>
    <w:rsid w:val="00234774"/>
    <w:rsid w:val="002462C0"/>
    <w:rsid w:val="00250A09"/>
    <w:rsid w:val="00252F1D"/>
    <w:rsid w:val="002A3FA3"/>
    <w:rsid w:val="002C12BF"/>
    <w:rsid w:val="002C29CB"/>
    <w:rsid w:val="002C3006"/>
    <w:rsid w:val="002E718D"/>
    <w:rsid w:val="002F5C68"/>
    <w:rsid w:val="002F5F18"/>
    <w:rsid w:val="0030640D"/>
    <w:rsid w:val="003100D1"/>
    <w:rsid w:val="003145F4"/>
    <w:rsid w:val="003278F7"/>
    <w:rsid w:val="00370B0F"/>
    <w:rsid w:val="00387FF5"/>
    <w:rsid w:val="0039587D"/>
    <w:rsid w:val="003A65AD"/>
    <w:rsid w:val="003C2130"/>
    <w:rsid w:val="003D5BD7"/>
    <w:rsid w:val="003D713F"/>
    <w:rsid w:val="003E07CF"/>
    <w:rsid w:val="003E0A08"/>
    <w:rsid w:val="003E168B"/>
    <w:rsid w:val="00416B6C"/>
    <w:rsid w:val="00420763"/>
    <w:rsid w:val="0042435C"/>
    <w:rsid w:val="00437425"/>
    <w:rsid w:val="00440E37"/>
    <w:rsid w:val="00472632"/>
    <w:rsid w:val="004735E9"/>
    <w:rsid w:val="00486653"/>
    <w:rsid w:val="00494B64"/>
    <w:rsid w:val="004A458B"/>
    <w:rsid w:val="004A698D"/>
    <w:rsid w:val="004B5D63"/>
    <w:rsid w:val="004C14CE"/>
    <w:rsid w:val="004C6A64"/>
    <w:rsid w:val="00504F3B"/>
    <w:rsid w:val="00510387"/>
    <w:rsid w:val="005125A4"/>
    <w:rsid w:val="005665A7"/>
    <w:rsid w:val="00571435"/>
    <w:rsid w:val="00575F3F"/>
    <w:rsid w:val="005A7373"/>
    <w:rsid w:val="005B66A7"/>
    <w:rsid w:val="005C6F36"/>
    <w:rsid w:val="00612C95"/>
    <w:rsid w:val="006200C0"/>
    <w:rsid w:val="006420BA"/>
    <w:rsid w:val="00646E63"/>
    <w:rsid w:val="00655B61"/>
    <w:rsid w:val="0068377C"/>
    <w:rsid w:val="00685D61"/>
    <w:rsid w:val="00693888"/>
    <w:rsid w:val="006A26B2"/>
    <w:rsid w:val="006A2770"/>
    <w:rsid w:val="006A41B1"/>
    <w:rsid w:val="006A5A84"/>
    <w:rsid w:val="006B78CE"/>
    <w:rsid w:val="006C5661"/>
    <w:rsid w:val="006C7814"/>
    <w:rsid w:val="007132A9"/>
    <w:rsid w:val="00747868"/>
    <w:rsid w:val="007B1809"/>
    <w:rsid w:val="007B2A3E"/>
    <w:rsid w:val="007B410A"/>
    <w:rsid w:val="007F5B07"/>
    <w:rsid w:val="008044BA"/>
    <w:rsid w:val="0081197E"/>
    <w:rsid w:val="0081598A"/>
    <w:rsid w:val="008164F9"/>
    <w:rsid w:val="00824C10"/>
    <w:rsid w:val="00883202"/>
    <w:rsid w:val="008A71A5"/>
    <w:rsid w:val="008A7CDA"/>
    <w:rsid w:val="008B53E5"/>
    <w:rsid w:val="008D3369"/>
    <w:rsid w:val="008D7EF5"/>
    <w:rsid w:val="008F2C66"/>
    <w:rsid w:val="00914DEC"/>
    <w:rsid w:val="00930631"/>
    <w:rsid w:val="00944DFA"/>
    <w:rsid w:val="009458DE"/>
    <w:rsid w:val="009475C8"/>
    <w:rsid w:val="00950E15"/>
    <w:rsid w:val="00974C33"/>
    <w:rsid w:val="00981A4A"/>
    <w:rsid w:val="00984816"/>
    <w:rsid w:val="009A1A3D"/>
    <w:rsid w:val="009B3C24"/>
    <w:rsid w:val="009C08FA"/>
    <w:rsid w:val="009C4BDA"/>
    <w:rsid w:val="009C5A69"/>
    <w:rsid w:val="009D085B"/>
    <w:rsid w:val="009E6413"/>
    <w:rsid w:val="009F5F31"/>
    <w:rsid w:val="00A002D3"/>
    <w:rsid w:val="00A062E1"/>
    <w:rsid w:val="00A166AA"/>
    <w:rsid w:val="00A23086"/>
    <w:rsid w:val="00A23FFE"/>
    <w:rsid w:val="00A32948"/>
    <w:rsid w:val="00A34EE2"/>
    <w:rsid w:val="00A5637B"/>
    <w:rsid w:val="00A64AE8"/>
    <w:rsid w:val="00A776A5"/>
    <w:rsid w:val="00A86097"/>
    <w:rsid w:val="00A94DDD"/>
    <w:rsid w:val="00A9779B"/>
    <w:rsid w:val="00AA5656"/>
    <w:rsid w:val="00AB7F16"/>
    <w:rsid w:val="00AE2334"/>
    <w:rsid w:val="00AF1198"/>
    <w:rsid w:val="00AF56A8"/>
    <w:rsid w:val="00B01603"/>
    <w:rsid w:val="00B067D8"/>
    <w:rsid w:val="00B109AB"/>
    <w:rsid w:val="00B11633"/>
    <w:rsid w:val="00B13C1A"/>
    <w:rsid w:val="00B2749D"/>
    <w:rsid w:val="00B35159"/>
    <w:rsid w:val="00B415C8"/>
    <w:rsid w:val="00BB3F98"/>
    <w:rsid w:val="00BC1DCC"/>
    <w:rsid w:val="00BD0AE4"/>
    <w:rsid w:val="00BD0E0F"/>
    <w:rsid w:val="00BD3CED"/>
    <w:rsid w:val="00C00B65"/>
    <w:rsid w:val="00C13C50"/>
    <w:rsid w:val="00C2294C"/>
    <w:rsid w:val="00CA1DA3"/>
    <w:rsid w:val="00CD06C7"/>
    <w:rsid w:val="00CE07E8"/>
    <w:rsid w:val="00CE16FB"/>
    <w:rsid w:val="00CF08A6"/>
    <w:rsid w:val="00CF1E50"/>
    <w:rsid w:val="00D271B1"/>
    <w:rsid w:val="00D302B9"/>
    <w:rsid w:val="00D63C07"/>
    <w:rsid w:val="00D75850"/>
    <w:rsid w:val="00D955F6"/>
    <w:rsid w:val="00DC24D6"/>
    <w:rsid w:val="00DC7091"/>
    <w:rsid w:val="00DC7421"/>
    <w:rsid w:val="00DF4E5C"/>
    <w:rsid w:val="00DF5549"/>
    <w:rsid w:val="00DF6343"/>
    <w:rsid w:val="00E049CF"/>
    <w:rsid w:val="00E10A37"/>
    <w:rsid w:val="00E246BA"/>
    <w:rsid w:val="00E3253B"/>
    <w:rsid w:val="00E47DE5"/>
    <w:rsid w:val="00E55C7B"/>
    <w:rsid w:val="00E93074"/>
    <w:rsid w:val="00EA2B3F"/>
    <w:rsid w:val="00EA580E"/>
    <w:rsid w:val="00EB4B6C"/>
    <w:rsid w:val="00EE145B"/>
    <w:rsid w:val="00EF1741"/>
    <w:rsid w:val="00F0405E"/>
    <w:rsid w:val="00F236AF"/>
    <w:rsid w:val="00F50200"/>
    <w:rsid w:val="00F52BBA"/>
    <w:rsid w:val="00F6060A"/>
    <w:rsid w:val="00F63DA5"/>
    <w:rsid w:val="00F742AA"/>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88E5-01B6-45A3-B360-8B0A61C6A90A}">
  <ds:schemaRefs>
    <ds:schemaRef ds:uri="199f0838-75a6-4f0c-9be1-f2c07140bccc"/>
    <ds:schemaRef ds:uri="http://schemas.microsoft.com/office/infopath/2007/PartnerControls"/>
    <ds:schemaRef ds:uri="http://www.w3.org/XML/1998/namespace"/>
    <ds:schemaRef ds:uri="http://schemas.openxmlformats.org/package/2006/metadata/core-properties"/>
    <ds:schemaRef ds:uri="c1848e11-9cf6-4ce4-877e-6837d2c2fa23"/>
    <ds:schemaRef ds:uri="http://purl.org/dc/dcmitype/"/>
    <ds:schemaRef ds:uri="http://schemas.microsoft.com/office/2006/documentManagement/types"/>
    <ds:schemaRef ds:uri="http://schemas.microsoft.com/sharepoint.v3"/>
    <ds:schemaRef ds:uri="http://schemas.microsoft.com/office/2006/metadata/properties"/>
    <ds:schemaRef ds:uri="http://schemas.microsoft.com/sharepoint/v3"/>
    <ds:schemaRef ds:uri="http://schemas.microsoft.com/sharepoint/v3/fields"/>
    <ds:schemaRef ds:uri="http://purl.org/dc/terms/"/>
    <ds:schemaRef ds:uri="http://purl.org/dc/elements/1.1/"/>
  </ds:schemaRefs>
</ds:datastoreItem>
</file>

<file path=customXml/itemProps2.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4.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5.xml><?xml version="1.0" encoding="utf-8"?>
<ds:datastoreItem xmlns:ds="http://schemas.openxmlformats.org/officeDocument/2006/customXml" ds:itemID="{E242AA34-F660-4B5A-BB02-36B92708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1500</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10072</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4</cp:revision>
  <cp:lastPrinted>2020-04-15T15:00:00Z</cp:lastPrinted>
  <dcterms:created xsi:type="dcterms:W3CDTF">2020-10-27T15:17:00Z</dcterms:created>
  <dcterms:modified xsi:type="dcterms:W3CDTF">2020-11-30T03:40:00Z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