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10467CC6" w:rsidR="006C5661" w:rsidRDefault="002F093F">
            <w:pPr>
              <w:rPr>
                <w:rFonts w:cs="Arial"/>
                <w:b/>
                <w:bCs/>
                <w:color w:val="0000FF"/>
              </w:rPr>
            </w:pPr>
            <w:r>
              <w:rPr>
                <w:rFonts w:cs="Arial"/>
                <w:b/>
                <w:bCs/>
                <w:color w:val="0000FF"/>
                <w:sz w:val="36"/>
              </w:rPr>
              <w:t>Cortisol</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5483BC04" w:rsidR="00E3253B" w:rsidRDefault="00A34EE2" w:rsidP="00CD06C7">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A12A3C">
              <w:rPr>
                <w:rStyle w:val="A7"/>
                <w:rFonts w:cs="Arial"/>
                <w:b w:val="0"/>
                <w:bCs w:val="0"/>
                <w:sz w:val="20"/>
                <w:szCs w:val="20"/>
              </w:rPr>
              <w:t>for performing CORTISOL</w:t>
            </w:r>
            <w:r w:rsidR="002F093F">
              <w:rPr>
                <w:rStyle w:val="A7"/>
                <w:rFonts w:cs="Arial"/>
                <w:b w:val="0"/>
                <w:bCs w:val="0"/>
                <w:sz w:val="20"/>
                <w:szCs w:val="20"/>
              </w:rPr>
              <w:t xml:space="preserve"> </w:t>
            </w:r>
            <w:r w:rsidR="00A12A3C">
              <w:rPr>
                <w:rStyle w:val="A7"/>
                <w:rFonts w:cs="Arial"/>
                <w:b w:val="0"/>
                <w:bCs w:val="0"/>
                <w:sz w:val="20"/>
                <w:szCs w:val="20"/>
              </w:rPr>
              <w:t>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sidR="00A12A3C">
              <w:rPr>
                <w:rStyle w:val="A7"/>
                <w:rFonts w:cs="Arial"/>
                <w:b w:val="0"/>
                <w:bCs w:val="0"/>
                <w:sz w:val="20"/>
                <w:szCs w:val="20"/>
              </w:rPr>
              <w:t xml:space="preserve"> </w:t>
            </w:r>
            <w:r w:rsidR="00A12A3C" w:rsidRPr="00A12A3C">
              <w:rPr>
                <w:rStyle w:val="A7"/>
                <w:rFonts w:cs="Arial"/>
                <w:b w:val="0"/>
                <w:bCs w:val="0"/>
                <w:sz w:val="20"/>
                <w:szCs w:val="20"/>
              </w:rPr>
              <w:t>The Abbott Cortisol assays are chemiluminescent microparticle immunoassays (CMIAs) used for the quantitative determination of cortisol</w:t>
            </w:r>
            <w:r w:rsidR="00276E30">
              <w:rPr>
                <w:rStyle w:val="A7"/>
                <w:rFonts w:cs="Arial"/>
                <w:b w:val="0"/>
                <w:bCs w:val="0"/>
                <w:sz w:val="20"/>
                <w:szCs w:val="20"/>
              </w:rPr>
              <w:t xml:space="preserve"> in human serum or plasma</w:t>
            </w:r>
            <w:r w:rsidR="00A12A3C" w:rsidRPr="00A12A3C">
              <w:rPr>
                <w:rStyle w:val="A7"/>
                <w:rFonts w:cs="Arial"/>
                <w:b w:val="0"/>
                <w:bCs w:val="0"/>
                <w:sz w:val="20"/>
                <w:szCs w:val="20"/>
              </w:rPr>
              <w:t xml:space="preserve"> on the Alinity i and Architect i1000SR analyzers. They are intended to be used as an aid in the diagnosis and treatment of adrenal disorders.</w:t>
            </w:r>
            <w:r w:rsidR="00A12A3C">
              <w:rPr>
                <w:rStyle w:val="A7"/>
                <w:rFonts w:cs="Arial"/>
                <w:b w:val="0"/>
                <w:bCs w:val="0"/>
                <w:sz w:val="20"/>
                <w:szCs w:val="20"/>
              </w:rPr>
              <w:t xml:space="preserve"> </w:t>
            </w:r>
            <w:r>
              <w:rPr>
                <w:rStyle w:val="A7"/>
                <w:rFonts w:cs="Arial"/>
                <w:b w:val="0"/>
                <w:bCs w:val="0"/>
                <w:sz w:val="20"/>
                <w:szCs w:val="20"/>
              </w:rPr>
              <w:t xml:space="preserve"> </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05C68342" w:rsidR="001A1584" w:rsidRPr="001A1584" w:rsidRDefault="001A1584" w:rsidP="001A1584">
            <w:pPr>
              <w:rPr>
                <w:rFonts w:cs="Arial"/>
                <w:szCs w:val="20"/>
              </w:rPr>
            </w:pPr>
            <w:r w:rsidRPr="001A1584">
              <w:rPr>
                <w:rFonts w:cs="Arial"/>
                <w:szCs w:val="20"/>
              </w:rPr>
              <w:t>This procedure applies to all personnel responsible for oper</w:t>
            </w:r>
            <w:r w:rsidR="00A12A3C">
              <w:rPr>
                <w:rFonts w:cs="Arial"/>
                <w:szCs w:val="20"/>
              </w:rPr>
              <w:t>ating the Abbott Architect i1000</w:t>
            </w:r>
            <w:r w:rsidRPr="001A1584">
              <w:rPr>
                <w:rFonts w:cs="Arial"/>
                <w:szCs w:val="20"/>
              </w:rPr>
              <w:t xml:space="preserve"> or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061616AE" w14:textId="64F528BD" w:rsidR="00A12A3C" w:rsidRDefault="00A12A3C" w:rsidP="00A12A3C">
            <w:pPr>
              <w:pStyle w:val="Header"/>
              <w:rPr>
                <w:rFonts w:cs="Arial"/>
                <w:color w:val="000000"/>
                <w:szCs w:val="20"/>
              </w:rPr>
            </w:pPr>
            <w:r w:rsidRPr="00A12A3C">
              <w:rPr>
                <w:rFonts w:cs="Arial"/>
                <w:color w:val="000000"/>
                <w:szCs w:val="20"/>
              </w:rPr>
              <w:t>This assay is a delayed one-step immunoassay for the quantitative</w:t>
            </w:r>
            <w:r>
              <w:rPr>
                <w:rFonts w:cs="Arial"/>
                <w:color w:val="000000"/>
                <w:szCs w:val="20"/>
              </w:rPr>
              <w:t xml:space="preserve"> </w:t>
            </w:r>
            <w:r w:rsidRPr="00A12A3C">
              <w:rPr>
                <w:rFonts w:cs="Arial"/>
                <w:color w:val="000000"/>
                <w:szCs w:val="20"/>
              </w:rPr>
              <w:t>determination of cortisol in human plasma, serum or urine using</w:t>
            </w:r>
            <w:r>
              <w:rPr>
                <w:rFonts w:cs="Arial"/>
                <w:color w:val="000000"/>
                <w:szCs w:val="20"/>
              </w:rPr>
              <w:t xml:space="preserve"> </w:t>
            </w:r>
            <w:r w:rsidRPr="00A12A3C">
              <w:rPr>
                <w:rFonts w:cs="Arial"/>
                <w:color w:val="000000"/>
                <w:szCs w:val="20"/>
              </w:rPr>
              <w:t>chemiluminescent microparticle immunoassay (CMIA) technology.</w:t>
            </w:r>
            <w:r>
              <w:rPr>
                <w:rFonts w:cs="Arial"/>
                <w:color w:val="000000"/>
                <w:szCs w:val="20"/>
              </w:rPr>
              <w:t xml:space="preserve"> </w:t>
            </w:r>
            <w:r w:rsidRPr="00A12A3C">
              <w:rPr>
                <w:rFonts w:cs="Arial"/>
                <w:color w:val="000000"/>
                <w:szCs w:val="20"/>
              </w:rPr>
              <w:t>Sample and anti-cortisol coated paramagnetic microparticles are</w:t>
            </w:r>
            <w:r>
              <w:rPr>
                <w:rFonts w:cs="Arial"/>
                <w:color w:val="000000"/>
                <w:szCs w:val="20"/>
              </w:rPr>
              <w:t xml:space="preserve"> </w:t>
            </w:r>
            <w:r w:rsidRPr="00A12A3C">
              <w:rPr>
                <w:rFonts w:cs="Arial"/>
                <w:color w:val="000000"/>
                <w:szCs w:val="20"/>
              </w:rPr>
              <w:t>combined and incubated. The cortisol present in the sample binds</w:t>
            </w:r>
            <w:r>
              <w:rPr>
                <w:rFonts w:cs="Arial"/>
                <w:color w:val="000000"/>
                <w:szCs w:val="20"/>
              </w:rPr>
              <w:t xml:space="preserve"> </w:t>
            </w:r>
            <w:r w:rsidRPr="00A12A3C">
              <w:rPr>
                <w:rFonts w:cs="Arial"/>
                <w:color w:val="000000"/>
                <w:szCs w:val="20"/>
              </w:rPr>
              <w:t>to the anti-cortisol coated microparticles. Cortisol acridinium-labeled</w:t>
            </w:r>
            <w:r>
              <w:rPr>
                <w:rFonts w:cs="Arial"/>
                <w:color w:val="000000"/>
                <w:szCs w:val="20"/>
              </w:rPr>
              <w:t xml:space="preserve"> </w:t>
            </w:r>
            <w:r w:rsidRPr="00A12A3C">
              <w:rPr>
                <w:rFonts w:cs="Arial"/>
                <w:color w:val="000000"/>
                <w:szCs w:val="20"/>
              </w:rPr>
              <w:t>conjugate is added to the reaction mixture and incubated. Following</w:t>
            </w:r>
            <w:r>
              <w:rPr>
                <w:rFonts w:cs="Arial"/>
                <w:color w:val="000000"/>
                <w:szCs w:val="20"/>
              </w:rPr>
              <w:t xml:space="preserve"> </w:t>
            </w:r>
            <w:r w:rsidRPr="00A12A3C">
              <w:rPr>
                <w:rFonts w:cs="Arial"/>
                <w:color w:val="000000"/>
                <w:szCs w:val="20"/>
              </w:rPr>
              <w:t>a wash cycle, Pre-Trigger and Trigger Solutions are added.</w:t>
            </w:r>
            <w:r>
              <w:rPr>
                <w:rFonts w:cs="Arial"/>
                <w:color w:val="000000"/>
                <w:szCs w:val="20"/>
              </w:rPr>
              <w:t xml:space="preserve"> </w:t>
            </w:r>
            <w:r w:rsidRPr="00A12A3C">
              <w:rPr>
                <w:rFonts w:cs="Arial"/>
                <w:color w:val="000000"/>
                <w:szCs w:val="20"/>
              </w:rPr>
              <w:t>The resulting chemiluminescent reaction is measured as relative light</w:t>
            </w:r>
            <w:r>
              <w:rPr>
                <w:rFonts w:cs="Arial"/>
                <w:color w:val="000000"/>
                <w:szCs w:val="20"/>
              </w:rPr>
              <w:t xml:space="preserve"> </w:t>
            </w:r>
            <w:r w:rsidRPr="00A12A3C">
              <w:rPr>
                <w:rFonts w:cs="Arial"/>
                <w:color w:val="000000"/>
                <w:szCs w:val="20"/>
              </w:rPr>
              <w:t>units (RLUs). There is an indirect relationship between the amount of</w:t>
            </w:r>
            <w:r>
              <w:rPr>
                <w:rFonts w:cs="Arial"/>
                <w:color w:val="000000"/>
                <w:szCs w:val="20"/>
              </w:rPr>
              <w:t xml:space="preserve"> </w:t>
            </w:r>
            <w:r w:rsidRPr="00A12A3C">
              <w:rPr>
                <w:rFonts w:cs="Arial"/>
                <w:color w:val="000000"/>
                <w:szCs w:val="20"/>
              </w:rPr>
              <w:t>cortisol in the sample and the RLUs detected by the system optics.</w:t>
            </w:r>
          </w:p>
          <w:p w14:paraId="2C28D279" w14:textId="77777777" w:rsidR="00A12A3C" w:rsidRPr="00A12A3C" w:rsidRDefault="00A12A3C" w:rsidP="00A12A3C">
            <w:pPr>
              <w:pStyle w:val="Header"/>
              <w:rPr>
                <w:rFonts w:cs="Arial"/>
                <w:color w:val="000000"/>
                <w:szCs w:val="20"/>
              </w:rPr>
            </w:pPr>
          </w:p>
          <w:p w14:paraId="6CBA1334" w14:textId="77777777" w:rsidR="006C5661" w:rsidRDefault="00A12A3C" w:rsidP="00A12A3C">
            <w:pPr>
              <w:pStyle w:val="Header"/>
              <w:rPr>
                <w:rFonts w:cs="Arial"/>
                <w:color w:val="000000"/>
                <w:szCs w:val="20"/>
              </w:rPr>
            </w:pPr>
            <w:r w:rsidRPr="00A12A3C">
              <w:rPr>
                <w:rFonts w:cs="Arial"/>
                <w:color w:val="000000"/>
                <w:szCs w:val="20"/>
              </w:rPr>
              <w:t>For additional information on system and assay technology, refer to</w:t>
            </w:r>
            <w:r>
              <w:rPr>
                <w:rFonts w:cs="Arial"/>
                <w:color w:val="000000"/>
                <w:szCs w:val="20"/>
              </w:rPr>
              <w:t xml:space="preserve"> </w:t>
            </w:r>
            <w:r w:rsidRPr="00A12A3C">
              <w:rPr>
                <w:rFonts w:cs="Arial"/>
                <w:color w:val="000000"/>
                <w:szCs w:val="20"/>
              </w:rPr>
              <w:t>the Alinity ci-series Operations Manual, Section 3.</w:t>
            </w:r>
          </w:p>
          <w:p w14:paraId="5CCFFF81" w14:textId="089239A5" w:rsidR="00A12A3C" w:rsidRPr="00DC7421" w:rsidRDefault="00A12A3C" w:rsidP="00A12A3C">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6453EF7F"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0DDACC14" w14:textId="7517404C" w:rsidR="002F093F" w:rsidRPr="002F093F" w:rsidRDefault="002F093F" w:rsidP="002F093F">
            <w:r w:rsidRPr="002F093F">
              <w:t>Cortisol is the major glucocorticoid hormone secreted by the</w:t>
            </w:r>
            <w:r w:rsidR="00A84D7E">
              <w:t xml:space="preserve"> </w:t>
            </w:r>
            <w:r w:rsidRPr="002F093F">
              <w:t>adrenal cortex. Its physiological functions include regulation of</w:t>
            </w:r>
            <w:r w:rsidR="00A84D7E">
              <w:t xml:space="preserve"> </w:t>
            </w:r>
            <w:r w:rsidRPr="002F093F">
              <w:t>carbohydrate metabolism and electrolyte and water distribution.</w:t>
            </w:r>
            <w:r w:rsidR="00A84D7E">
              <w:t xml:space="preserve"> </w:t>
            </w:r>
            <w:r w:rsidRPr="002F093F">
              <w:t>Cortisol also has immunosuppressive and anti-inflammatory activity.</w:t>
            </w:r>
            <w:r w:rsidR="00A84D7E">
              <w:t xml:space="preserve"> </w:t>
            </w:r>
            <w:r w:rsidRPr="002F093F">
              <w:t>In normal individuals, cortisol levels are regulated through a negative</w:t>
            </w:r>
            <w:r w:rsidR="00A84D7E">
              <w:t xml:space="preserve"> </w:t>
            </w:r>
            <w:r w:rsidRPr="002F093F">
              <w:t>feedback loop in which the adrenal cortex responds to increased</w:t>
            </w:r>
            <w:r w:rsidR="00A84D7E">
              <w:t xml:space="preserve"> </w:t>
            </w:r>
            <w:r w:rsidRPr="002F093F">
              <w:t>adrenocorticotropic hormone (ACTH) levels by increasing cortisol</w:t>
            </w:r>
            <w:r w:rsidR="00A84D7E">
              <w:t xml:space="preserve"> </w:t>
            </w:r>
            <w:r w:rsidRPr="002F093F">
              <w:t>secretion, and the pituitary responds to elevated cortisol levels by</w:t>
            </w:r>
            <w:r w:rsidR="00A84D7E">
              <w:t xml:space="preserve"> </w:t>
            </w:r>
            <w:r w:rsidRPr="002F093F">
              <w:t>down-regulation of ACTH production. Plasma cortisol levels are</w:t>
            </w:r>
            <w:r w:rsidR="00A84D7E">
              <w:t xml:space="preserve"> </w:t>
            </w:r>
            <w:r w:rsidRPr="002F093F">
              <w:t>highest in the morning, and concentrations decrease by about half</w:t>
            </w:r>
            <w:r w:rsidR="00A84D7E">
              <w:t xml:space="preserve"> </w:t>
            </w:r>
            <w:r w:rsidR="00BE070F">
              <w:t xml:space="preserve">toward evening. </w:t>
            </w:r>
            <w:r w:rsidRPr="002F093F">
              <w:t xml:space="preserve"> Pregnancy or estrogen treatment markedly elevates</w:t>
            </w:r>
            <w:r w:rsidR="00A84D7E">
              <w:t xml:space="preserve"> </w:t>
            </w:r>
            <w:r w:rsidRPr="002F093F">
              <w:t>cortisol levels. Other stimuli such as severe stress may also lead to</w:t>
            </w:r>
            <w:r w:rsidR="00A84D7E">
              <w:t xml:space="preserve"> </w:t>
            </w:r>
            <w:r w:rsidRPr="002F093F">
              <w:t>increased cortisol production.</w:t>
            </w:r>
          </w:p>
          <w:p w14:paraId="3AD8F44A" w14:textId="77777777" w:rsidR="00A84D7E" w:rsidRDefault="00A84D7E" w:rsidP="002F093F"/>
          <w:p w14:paraId="79502347" w14:textId="7C58F366" w:rsidR="002462C0" w:rsidRDefault="002F093F" w:rsidP="002F093F">
            <w:r w:rsidRPr="002F093F">
              <w:t>Cortisol measurements are used as a direct monitor of adrenal</w:t>
            </w:r>
            <w:r w:rsidR="00A84D7E">
              <w:t xml:space="preserve"> </w:t>
            </w:r>
            <w:r w:rsidRPr="002F093F">
              <w:t>status and an indirect measure of pituitary hyper or hypofunction.</w:t>
            </w:r>
            <w:r w:rsidR="00A84D7E">
              <w:t xml:space="preserve"> </w:t>
            </w:r>
            <w:r w:rsidRPr="002F093F">
              <w:t>Elevated cortisol levels are associated with adrenal tumors, pituitary</w:t>
            </w:r>
            <w:r w:rsidR="00A84D7E">
              <w:t xml:space="preserve"> </w:t>
            </w:r>
            <w:r w:rsidRPr="002F093F">
              <w:t>tumors or</w:t>
            </w:r>
            <w:r w:rsidR="00A84D7E">
              <w:t xml:space="preserve"> ectopic ACTH-producing tumors. </w:t>
            </w:r>
            <w:r w:rsidRPr="002F093F">
              <w:t xml:space="preserve"> Subnormal cortisol</w:t>
            </w:r>
            <w:r w:rsidR="00A84D7E">
              <w:t xml:space="preserve"> </w:t>
            </w:r>
            <w:r w:rsidRPr="002F093F">
              <w:t>concentrations may indicate generalized adrenal hypofunction</w:t>
            </w:r>
            <w:r w:rsidR="00A84D7E">
              <w:t xml:space="preserve"> </w:t>
            </w:r>
            <w:r w:rsidRPr="002F093F">
              <w:t>or a defect in the metabolic pat</w:t>
            </w:r>
            <w:r w:rsidR="00A84D7E">
              <w:t xml:space="preserve">hway for cortisol biosynthesis. </w:t>
            </w:r>
            <w:r w:rsidRPr="002F093F">
              <w:t>The majority of cortisol in plasma is bound to proteins and</w:t>
            </w:r>
            <w:r w:rsidR="00A84D7E">
              <w:t xml:space="preserve"> </w:t>
            </w:r>
            <w:r w:rsidRPr="002F093F">
              <w:t>approximately 1% is exc</w:t>
            </w:r>
            <w:r w:rsidR="00A84D7E">
              <w:t>reted unchanged into the urine.</w:t>
            </w:r>
            <w:r w:rsidRPr="002F093F">
              <w:t xml:space="preserve"> Urinary</w:t>
            </w:r>
            <w:r w:rsidR="00A84D7E">
              <w:t xml:space="preserve"> </w:t>
            </w:r>
            <w:r w:rsidRPr="002F093F">
              <w:t>cortisol is generally thought to reflect the level of unbound (free)</w:t>
            </w:r>
            <w:r w:rsidR="00A84D7E">
              <w:t xml:space="preserve"> </w:t>
            </w:r>
            <w:r w:rsidRPr="002F093F">
              <w:t>plasma cortisol, which is biologically active. In cases of cortisol</w:t>
            </w:r>
            <w:r w:rsidR="00A84D7E">
              <w:t xml:space="preserve"> </w:t>
            </w:r>
            <w:r w:rsidRPr="002F093F">
              <w:t>overproduction, cortisol-binding globulin becomes saturated, such</w:t>
            </w:r>
            <w:r w:rsidR="00A84D7E">
              <w:t xml:space="preserve"> </w:t>
            </w:r>
            <w:r w:rsidRPr="002F093F">
              <w:t>that unbound plasma cortisol increases disproportionately, as</w:t>
            </w:r>
            <w:r w:rsidR="00A84D7E">
              <w:t xml:space="preserve"> </w:t>
            </w:r>
            <w:r w:rsidRPr="002F093F">
              <w:t>does urinary excretion. The measurement of urinary cortisol is a</w:t>
            </w:r>
            <w:r w:rsidR="00A84D7E">
              <w:t xml:space="preserve"> </w:t>
            </w:r>
            <w:r w:rsidRPr="002F093F">
              <w:t>sensitive means of determining adrenocortical hyperfunction such</w:t>
            </w:r>
            <w:r w:rsidR="00A84D7E">
              <w:t xml:space="preserve"> </w:t>
            </w:r>
            <w:r w:rsidRPr="002F093F">
              <w:t>as Cushing</w:t>
            </w:r>
            <w:r w:rsidRPr="002F093F">
              <w:rPr>
                <w:rFonts w:hint="eastAsia"/>
              </w:rPr>
              <w:t>’</w:t>
            </w:r>
            <w:r w:rsidR="00A84D7E">
              <w:t>s syndrome.</w:t>
            </w:r>
            <w:r w:rsidRPr="002F093F">
              <w:t xml:space="preserve"> Urinary cortisol from 24-hour collections</w:t>
            </w:r>
            <w:r w:rsidR="00A84D7E">
              <w:t xml:space="preserve"> </w:t>
            </w:r>
            <w:r w:rsidRPr="002F093F">
              <w:t>represent integration over a full day and are not affected by the</w:t>
            </w:r>
            <w:r w:rsidR="00A84D7E">
              <w:t xml:space="preserve"> </w:t>
            </w:r>
            <w:r w:rsidRPr="002F093F">
              <w:t>diurnal variation evident in plasma cortisol levels.</w:t>
            </w:r>
            <w:r w:rsidR="00A84D7E">
              <w:t xml:space="preserve"> </w:t>
            </w:r>
            <w:r w:rsidRPr="002F093F">
              <w:t>Cortisol measurements are often performed in conjunction with</w:t>
            </w:r>
            <w:r w:rsidR="00A84D7E">
              <w:t xml:space="preserve"> </w:t>
            </w:r>
            <w:r w:rsidRPr="002F093F">
              <w:t xml:space="preserve">certain </w:t>
            </w:r>
            <w:r w:rsidRPr="002F093F">
              <w:rPr>
                <w:rFonts w:hint="eastAsia"/>
              </w:rPr>
              <w:t>“</w:t>
            </w:r>
            <w:r w:rsidRPr="002F093F">
              <w:t>challenge</w:t>
            </w:r>
            <w:r w:rsidRPr="002F093F">
              <w:rPr>
                <w:rFonts w:hint="eastAsia"/>
              </w:rPr>
              <w:t>”</w:t>
            </w:r>
            <w:r w:rsidRPr="002F093F">
              <w:t xml:space="preserve"> tests designed to measure whether regulation of</w:t>
            </w:r>
            <w:r w:rsidR="00A84D7E">
              <w:t xml:space="preserve"> </w:t>
            </w:r>
            <w:r w:rsidRPr="002F093F">
              <w:t>the hypothalamic-pituitary-adrenal axis is intact. These include the</w:t>
            </w:r>
            <w:r w:rsidR="00A84D7E">
              <w:t xml:space="preserve"> </w:t>
            </w:r>
            <w:r w:rsidRPr="002F093F">
              <w:t>dexamethasone suppression test (DST), ACTH stimulation test and</w:t>
            </w:r>
            <w:r w:rsidR="00A84D7E">
              <w:t xml:space="preserve"> insulin tolerance test.</w:t>
            </w:r>
            <w:r w:rsidRPr="002F093F">
              <w:t xml:space="preserve"> Such challenge tests aid in the differential</w:t>
            </w:r>
            <w:r w:rsidR="00A84D7E">
              <w:t xml:space="preserve"> </w:t>
            </w:r>
            <w:r w:rsidRPr="002F093F">
              <w:t>diagnosis of Cushing</w:t>
            </w:r>
            <w:r w:rsidRPr="002F093F">
              <w:rPr>
                <w:rFonts w:hint="eastAsia"/>
              </w:rPr>
              <w:t>’</w:t>
            </w:r>
            <w:r w:rsidRPr="002F093F">
              <w:t>s syndrome (cortisol overproduction) and the</w:t>
            </w:r>
            <w:r w:rsidR="00A84D7E">
              <w:t xml:space="preserve"> </w:t>
            </w:r>
            <w:r w:rsidRPr="002F093F">
              <w:t>assessment of Addison</w:t>
            </w:r>
            <w:r w:rsidRPr="002F093F">
              <w:rPr>
                <w:rFonts w:hint="eastAsia"/>
              </w:rPr>
              <w:t>’</w:t>
            </w:r>
            <w:r w:rsidRPr="002F093F">
              <w:t>s disease (cortisol underproduction).</w:t>
            </w:r>
          </w:p>
          <w:p w14:paraId="5CCFFF86" w14:textId="5C0D6D4B" w:rsidR="00E90C9C" w:rsidRPr="00370B0F" w:rsidRDefault="00E90C9C" w:rsidP="002F093F"/>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56A9E356" w:rsidR="006200C0" w:rsidRPr="00DC7421" w:rsidRDefault="00E90C9C" w:rsidP="006200C0">
            <w:pPr>
              <w:autoSpaceDE w:val="0"/>
              <w:autoSpaceDN w:val="0"/>
              <w:adjustRightInd w:val="0"/>
              <w:rPr>
                <w:rFonts w:cs="Arial"/>
                <w:bCs/>
                <w:szCs w:val="20"/>
              </w:rPr>
            </w:pPr>
            <w:r>
              <w:rPr>
                <w:rFonts w:cs="Arial"/>
                <w:b/>
                <w:bCs/>
                <w:color w:val="7030A0"/>
                <w:szCs w:val="20"/>
              </w:rPr>
              <w:t>Minneapolis: Abbott Alinity i</w:t>
            </w:r>
            <w:r w:rsidR="00BA5C09">
              <w:rPr>
                <w:rFonts w:cs="Arial"/>
                <w:b/>
                <w:bCs/>
                <w:color w:val="7030A0"/>
                <w:szCs w:val="20"/>
              </w:rPr>
              <w:t xml:space="preserve"> (Sunquest method code: MACI</w:t>
            </w:r>
            <w:r w:rsidR="006200C0">
              <w:rPr>
                <w:rFonts w:cs="Arial"/>
                <w:b/>
                <w:bCs/>
                <w:color w:val="7030A0"/>
                <w:szCs w:val="20"/>
              </w:rPr>
              <w:t>)</w:t>
            </w:r>
          </w:p>
          <w:p w14:paraId="5CCFFF89" w14:textId="5FD13E4E" w:rsidR="006200C0" w:rsidRPr="00DC7421" w:rsidRDefault="00E90C9C" w:rsidP="002F093F">
            <w:pPr>
              <w:pStyle w:val="BodyText2"/>
              <w:spacing w:after="60" w:line="240" w:lineRule="auto"/>
              <w:rPr>
                <w:rFonts w:cs="Arial"/>
                <w:b/>
                <w:bCs/>
                <w:color w:val="7030A0"/>
                <w:szCs w:val="20"/>
              </w:rPr>
            </w:pPr>
            <w:r>
              <w:rPr>
                <w:rFonts w:cs="Arial"/>
                <w:b/>
                <w:bCs/>
                <w:color w:val="984806" w:themeColor="accent6" w:themeShade="80"/>
                <w:szCs w:val="20"/>
              </w:rPr>
              <w:t>Backup</w:t>
            </w:r>
            <w:r w:rsidR="007F5B07" w:rsidRPr="00DC7421">
              <w:rPr>
                <w:rFonts w:cs="Arial"/>
                <w:b/>
                <w:bCs/>
                <w:color w:val="984806" w:themeColor="accent6" w:themeShade="80"/>
                <w:szCs w:val="20"/>
              </w:rPr>
              <w:t xml:space="preserve">: Abbott </w:t>
            </w:r>
            <w:r>
              <w:rPr>
                <w:rFonts w:cs="Arial"/>
                <w:b/>
                <w:bCs/>
                <w:color w:val="984806" w:themeColor="accent6" w:themeShade="80"/>
                <w:szCs w:val="20"/>
              </w:rPr>
              <w:t>Architect i1000SR</w:t>
            </w:r>
            <w:r w:rsidR="007F5B07" w:rsidRPr="00DC7421">
              <w:rPr>
                <w:rFonts w:cs="Arial"/>
                <w:b/>
                <w:bCs/>
                <w:color w:val="984806" w:themeColor="accent6" w:themeShade="80"/>
                <w:szCs w:val="20"/>
              </w:rPr>
              <w:t xml:space="preserve"> (Sunquest method code</w:t>
            </w:r>
            <w:r>
              <w:rPr>
                <w:rFonts w:cs="Arial"/>
                <w:b/>
                <w:bCs/>
                <w:color w:val="984806" w:themeColor="accent6" w:themeShade="80"/>
                <w:szCs w:val="20"/>
              </w:rPr>
              <w:t>: AI1</w:t>
            </w:r>
            <w:r w:rsidR="007F5B07" w:rsidRPr="00DC7421">
              <w:rPr>
                <w:rFonts w:cs="Arial"/>
                <w:b/>
                <w:bCs/>
                <w:color w:val="984806" w:themeColor="accent6" w:themeShade="80"/>
                <w:szCs w:val="20"/>
              </w:rPr>
              <w:t>)</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7C1379F3" w:rsidR="00370B0F" w:rsidRPr="00E90C9C" w:rsidRDefault="00875465" w:rsidP="00504F3B">
            <w:pPr>
              <w:rPr>
                <w:b/>
              </w:rPr>
            </w:pPr>
            <w:r w:rsidRPr="00E90C9C">
              <w:rPr>
                <w:b/>
              </w:rPr>
              <w:t>CORTI</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36632EDE"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2F093F">
              <w:rPr>
                <w:rStyle w:val="BoldBodyText"/>
                <w:rFonts w:ascii="Arial" w:hAnsi="Arial" w:cs="Arial"/>
                <w:b w:val="0"/>
                <w:bCs w:val="0"/>
                <w:sz w:val="20"/>
                <w:szCs w:val="20"/>
              </w:rPr>
              <w:t>Serum or Serum Separator Tube (SST)</w:t>
            </w:r>
          </w:p>
          <w:p w14:paraId="34021B1C" w14:textId="1609BFE3" w:rsidR="00981A4A" w:rsidRPr="009475C8" w:rsidRDefault="0017089C">
            <w:pPr>
              <w:rPr>
                <w:rFonts w:cs="Arial"/>
                <w:b/>
                <w:szCs w:val="20"/>
              </w:rPr>
            </w:pPr>
            <w:r w:rsidRPr="009475C8">
              <w:rPr>
                <w:rFonts w:cs="Arial"/>
                <w:b/>
                <w:szCs w:val="20"/>
              </w:rPr>
              <w:t>Preferred:</w:t>
            </w:r>
            <w:r w:rsidR="006C5661" w:rsidRPr="009475C8">
              <w:rPr>
                <w:rFonts w:cs="Arial"/>
                <w:b/>
                <w:szCs w:val="20"/>
              </w:rPr>
              <w:t xml:space="preserve"> </w:t>
            </w:r>
            <w:r w:rsidR="002F093F">
              <w:rPr>
                <w:rFonts w:cs="Arial"/>
                <w:b/>
                <w:szCs w:val="20"/>
              </w:rPr>
              <w:t>SST</w:t>
            </w:r>
          </w:p>
          <w:p w14:paraId="60FE11B0" w14:textId="051AF017" w:rsidR="0017089C" w:rsidRPr="009475C8" w:rsidRDefault="0017089C">
            <w:pPr>
              <w:rPr>
                <w:rFonts w:cs="Arial"/>
                <w:b/>
                <w:szCs w:val="20"/>
              </w:rPr>
            </w:pPr>
            <w:r w:rsidRPr="009475C8">
              <w:rPr>
                <w:rFonts w:cs="Arial"/>
                <w:b/>
                <w:szCs w:val="20"/>
              </w:rPr>
              <w:t>Alternative:</w:t>
            </w:r>
            <w:r w:rsidR="00875465">
              <w:rPr>
                <w:rFonts w:cs="Arial"/>
                <w:b/>
                <w:szCs w:val="20"/>
              </w:rPr>
              <w:t xml:space="preserve"> </w:t>
            </w:r>
            <w:r w:rsidR="00875465" w:rsidRPr="00E90C9C">
              <w:rPr>
                <w:rFonts w:cs="Arial"/>
                <w:szCs w:val="20"/>
              </w:rPr>
              <w:t xml:space="preserve">Sodium heparin, lithium heparin, Potassium EDTA, plasma separator tube with lithium </w:t>
            </w:r>
            <w:r w:rsidR="00E90C9C" w:rsidRPr="00E90C9C">
              <w:rPr>
                <w:rFonts w:cs="Arial"/>
                <w:szCs w:val="20"/>
              </w:rPr>
              <w:t>heparin</w:t>
            </w:r>
          </w:p>
          <w:p w14:paraId="34F12611" w14:textId="77777777" w:rsidR="0017089C" w:rsidRPr="00DC7421" w:rsidRDefault="0017089C">
            <w:pPr>
              <w:rPr>
                <w:rFonts w:cs="Arial"/>
                <w:szCs w:val="20"/>
              </w:rPr>
            </w:pPr>
          </w:p>
          <w:p w14:paraId="5CCFFF96" w14:textId="58E0BB38" w:rsidR="00E93074"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875465">
              <w:rPr>
                <w:rFonts w:ascii="Arial" w:hAnsi="Arial" w:cs="Arial"/>
                <w:bCs/>
                <w:sz w:val="20"/>
                <w:szCs w:val="20"/>
              </w:rPr>
              <w:t xml:space="preserve">1.0 mL </w:t>
            </w:r>
            <w:r w:rsidR="00AE2334">
              <w:rPr>
                <w:rFonts w:ascii="Arial" w:hAnsi="Arial" w:cs="Arial"/>
                <w:sz w:val="20"/>
                <w:szCs w:val="20"/>
              </w:rPr>
              <w:t xml:space="preserve"> blood, </w:t>
            </w:r>
            <w:r w:rsidR="00875465">
              <w:rPr>
                <w:rFonts w:ascii="Arial" w:hAnsi="Arial" w:cs="Arial"/>
                <w:bCs/>
                <w:sz w:val="20"/>
                <w:szCs w:val="20"/>
              </w:rPr>
              <w:t>0.25 mL</w:t>
            </w:r>
            <w:r w:rsidR="00AE2334">
              <w:rPr>
                <w:rFonts w:ascii="Arial" w:hAnsi="Arial" w:cs="Arial"/>
                <w:sz w:val="20"/>
                <w:szCs w:val="20"/>
              </w:rPr>
              <w:t xml:space="preserve"> serum/plasma</w:t>
            </w:r>
          </w:p>
          <w:p w14:paraId="609CF8B4" w14:textId="77777777" w:rsidR="000F24FD" w:rsidRDefault="000F24FD" w:rsidP="000F24FD"/>
          <w:p w14:paraId="4382F5AB" w14:textId="4435A492" w:rsidR="00DF66F6" w:rsidRDefault="00C54380" w:rsidP="000F24FD">
            <w:r>
              <w:t xml:space="preserve">On </w:t>
            </w:r>
            <w:r>
              <w:rPr>
                <w:rFonts w:cs="Arial"/>
                <w:b/>
                <w:bCs/>
                <w:color w:val="7030A0"/>
                <w:szCs w:val="20"/>
              </w:rPr>
              <w:t xml:space="preserve">Alinity </w:t>
            </w:r>
            <w:r w:rsidR="00DF66F6">
              <w:rPr>
                <w:rFonts w:cs="Arial"/>
                <w:b/>
                <w:bCs/>
                <w:color w:val="7030A0"/>
                <w:szCs w:val="20"/>
              </w:rPr>
              <w:t>I</w:t>
            </w:r>
            <w:r w:rsidR="00DF66F6">
              <w:t xml:space="preserve"> and </w:t>
            </w:r>
            <w:r w:rsidR="00DF66F6" w:rsidRPr="00DF66F6">
              <w:rPr>
                <w:b/>
              </w:rPr>
              <w:t>Architect i1000</w:t>
            </w:r>
            <w:r w:rsidR="00DF66F6">
              <w:t>:</w:t>
            </w:r>
          </w:p>
          <w:p w14:paraId="11CB31E8" w14:textId="3B4B75BA" w:rsidR="000F24FD" w:rsidRDefault="000F24FD" w:rsidP="000F24FD">
            <w:r>
              <w:t>Priority loaded:</w:t>
            </w:r>
          </w:p>
          <w:p w14:paraId="3B465757" w14:textId="101B3454" w:rsidR="000F24FD" w:rsidRDefault="000F24FD" w:rsidP="000F24FD">
            <w:r>
              <w:t xml:space="preserve"> Sample volume for first test: 70 μL</w:t>
            </w:r>
          </w:p>
          <w:p w14:paraId="2BB85815" w14:textId="1B333FA4" w:rsidR="000F24FD" w:rsidRDefault="000F24FD" w:rsidP="000F24FD">
            <w:r>
              <w:t xml:space="preserve"> Sample volume for each additional test from same sample cup: 20 μL</w:t>
            </w:r>
          </w:p>
          <w:p w14:paraId="5A17D5AD" w14:textId="36A0362F" w:rsidR="000F24FD" w:rsidRDefault="000F24FD" w:rsidP="000F24FD">
            <w:r>
              <w:t>Routinely loaded:</w:t>
            </w:r>
          </w:p>
          <w:p w14:paraId="5F6D2297" w14:textId="58F03371" w:rsidR="000F24FD" w:rsidRDefault="000F24FD" w:rsidP="000F24FD">
            <w:r>
              <w:t xml:space="preserve"> Sample volume for first test: 150 μL</w:t>
            </w:r>
          </w:p>
          <w:p w14:paraId="00FDF13A" w14:textId="1E5244CC" w:rsidR="000F24FD" w:rsidRDefault="000F24FD" w:rsidP="000F24FD">
            <w:r>
              <w:t xml:space="preserve"> Sample volume for each additional test from same sample cup: 20 μL</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2887D83F" w:rsidR="0017089C" w:rsidRPr="00276E30" w:rsidRDefault="0017089C">
            <w:pPr>
              <w:pStyle w:val="Header"/>
              <w:tabs>
                <w:tab w:val="clear" w:pos="4320"/>
                <w:tab w:val="clear" w:pos="8640"/>
              </w:tabs>
              <w:rPr>
                <w:rFonts w:cs="Arial"/>
                <w:szCs w:val="20"/>
              </w:rPr>
            </w:pPr>
            <w:r w:rsidRPr="00E90C9C">
              <w:rPr>
                <w:rFonts w:cs="Arial"/>
                <w:b/>
                <w:szCs w:val="20"/>
              </w:rPr>
              <w:t>20 to 25°C</w:t>
            </w:r>
            <w:r w:rsidR="00276E30">
              <w:rPr>
                <w:rFonts w:cs="Arial"/>
                <w:b/>
                <w:szCs w:val="20"/>
              </w:rPr>
              <w:t>:</w:t>
            </w:r>
            <w:r w:rsidR="00E90C9C">
              <w:rPr>
                <w:rFonts w:cs="Arial"/>
                <w:b/>
                <w:szCs w:val="20"/>
              </w:rPr>
              <w:t xml:space="preserve">  </w:t>
            </w:r>
            <w:r w:rsidR="00276E30">
              <w:rPr>
                <w:rFonts w:cs="Arial"/>
                <w:szCs w:val="20"/>
              </w:rPr>
              <w:t>Not specified.  Remove to storage at least every shift.</w:t>
            </w:r>
          </w:p>
          <w:p w14:paraId="5CCFFF99" w14:textId="7E7FB77C" w:rsidR="00E3253B" w:rsidRPr="009475C8" w:rsidRDefault="00875465">
            <w:pPr>
              <w:pStyle w:val="Header"/>
              <w:tabs>
                <w:tab w:val="clear" w:pos="4320"/>
                <w:tab w:val="clear" w:pos="8640"/>
              </w:tabs>
              <w:rPr>
                <w:rFonts w:cs="Arial"/>
                <w:b/>
                <w:szCs w:val="20"/>
              </w:rPr>
            </w:pPr>
            <w:r>
              <w:rPr>
                <w:rFonts w:cs="Arial"/>
                <w:b/>
                <w:szCs w:val="20"/>
              </w:rPr>
              <w:t>2 to 8°C</w:t>
            </w:r>
            <w:r w:rsidR="00276E30">
              <w:rPr>
                <w:rFonts w:cs="Arial"/>
                <w:b/>
                <w:szCs w:val="20"/>
              </w:rPr>
              <w:t>:</w:t>
            </w:r>
            <w:r>
              <w:rPr>
                <w:rFonts w:cs="Arial"/>
                <w:b/>
                <w:szCs w:val="20"/>
              </w:rPr>
              <w:t xml:space="preserve"> </w:t>
            </w:r>
            <w:r w:rsidRPr="00A84D7E">
              <w:rPr>
                <w:rFonts w:cs="Arial"/>
                <w:szCs w:val="20"/>
              </w:rPr>
              <w:t>14 days</w:t>
            </w:r>
            <w:r w:rsidR="00437425" w:rsidRPr="009475C8">
              <w:rPr>
                <w:rFonts w:cs="Arial"/>
                <w:b/>
                <w:szCs w:val="20"/>
              </w:rPr>
              <w:tab/>
            </w:r>
          </w:p>
          <w:p w14:paraId="594E4A3A" w14:textId="04AEFEA5" w:rsidR="00BD0AE4" w:rsidRDefault="00BD0AE4">
            <w:pPr>
              <w:pStyle w:val="Header"/>
              <w:tabs>
                <w:tab w:val="clear" w:pos="4320"/>
                <w:tab w:val="clear" w:pos="8640"/>
              </w:tabs>
              <w:rPr>
                <w:rFonts w:cs="Arial"/>
                <w:szCs w:val="20"/>
              </w:rPr>
            </w:pPr>
            <w:r w:rsidRPr="009475C8">
              <w:rPr>
                <w:rFonts w:cs="Arial"/>
                <w:b/>
                <w:szCs w:val="20"/>
              </w:rPr>
              <w:t>-20°C</w:t>
            </w:r>
            <w:r w:rsidR="00276E30">
              <w:rPr>
                <w:rFonts w:cs="Arial"/>
                <w:b/>
                <w:szCs w:val="20"/>
              </w:rPr>
              <w:t>:</w:t>
            </w:r>
            <w:r w:rsidR="00875465">
              <w:rPr>
                <w:rFonts w:cs="Arial"/>
                <w:szCs w:val="20"/>
              </w:rPr>
              <w:t xml:space="preserve"> </w:t>
            </w:r>
            <w:r w:rsidR="00276E30">
              <w:rPr>
                <w:rFonts w:cs="Arial"/>
                <w:szCs w:val="20"/>
              </w:rPr>
              <w:t xml:space="preserve"> </w:t>
            </w:r>
            <w:r w:rsidR="00875465">
              <w:rPr>
                <w:rFonts w:cs="Arial"/>
                <w:szCs w:val="20"/>
              </w:rPr>
              <w:t>30 days</w:t>
            </w:r>
            <w:r w:rsidR="00437425">
              <w:rPr>
                <w:rFonts w:cs="Arial"/>
                <w:szCs w:val="20"/>
              </w:rPr>
              <w:tab/>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3C011C02" w14:textId="77777777" w:rsidR="00276E30" w:rsidRPr="00276E30" w:rsidRDefault="00276E30" w:rsidP="00276E30">
            <w:pPr>
              <w:numPr>
                <w:ilvl w:val="0"/>
                <w:numId w:val="26"/>
              </w:numPr>
              <w:jc w:val="both"/>
              <w:rPr>
                <w:rFonts w:cs="Arial"/>
                <w:szCs w:val="20"/>
              </w:rPr>
            </w:pPr>
            <w:r w:rsidRPr="00276E30">
              <w:rPr>
                <w:rFonts w:cs="Arial"/>
                <w:szCs w:val="20"/>
              </w:rPr>
              <w:t>Whole blood specimens should be centrifuged following complete clot formation, according to Specimen Processing procedures prior to analysis.</w:t>
            </w:r>
          </w:p>
          <w:p w14:paraId="119C41B6" w14:textId="77777777" w:rsidR="00276E30" w:rsidRPr="00276E30" w:rsidRDefault="00276E30" w:rsidP="00276E30">
            <w:pPr>
              <w:numPr>
                <w:ilvl w:val="0"/>
                <w:numId w:val="26"/>
              </w:numPr>
              <w:jc w:val="both"/>
              <w:rPr>
                <w:rFonts w:cs="Arial"/>
                <w:szCs w:val="20"/>
              </w:rPr>
            </w:pPr>
            <w:r w:rsidRPr="00276E30">
              <w:rPr>
                <w:rFonts w:cs="Arial"/>
                <w:szCs w:val="20"/>
              </w:rPr>
              <w:t>Serum or plasma should be physically separated from cells as soon as possible with a maximum limit of two hours from the time of collection.</w:t>
            </w:r>
          </w:p>
          <w:p w14:paraId="32919372" w14:textId="77777777" w:rsidR="00276E30" w:rsidRPr="00276E30" w:rsidRDefault="00276E30" w:rsidP="00276E30">
            <w:pPr>
              <w:numPr>
                <w:ilvl w:val="0"/>
                <w:numId w:val="26"/>
              </w:numPr>
              <w:jc w:val="both"/>
              <w:rPr>
                <w:rFonts w:cs="Arial"/>
                <w:szCs w:val="20"/>
              </w:rPr>
            </w:pPr>
            <w:r w:rsidRPr="00276E30">
              <w:rPr>
                <w:rFonts w:cs="Arial"/>
                <w:szCs w:val="20"/>
              </w:rPr>
              <w:t xml:space="preserve">Specimens should be free of particulate matter. </w:t>
            </w:r>
          </w:p>
          <w:p w14:paraId="15D25C53" w14:textId="77777777" w:rsidR="00276E30" w:rsidRPr="00276E30" w:rsidRDefault="00276E30" w:rsidP="00276E30">
            <w:pPr>
              <w:numPr>
                <w:ilvl w:val="0"/>
                <w:numId w:val="26"/>
              </w:numPr>
              <w:jc w:val="both"/>
              <w:rPr>
                <w:rFonts w:cs="Arial"/>
                <w:szCs w:val="20"/>
              </w:rPr>
            </w:pPr>
            <w:r w:rsidRPr="00276E30">
              <w:rPr>
                <w:rFonts w:cs="Arial"/>
                <w:szCs w:val="20"/>
              </w:rPr>
              <w:t xml:space="preserve">Transfer serum or plasma directly to a properly labeled pilot tube.  </w:t>
            </w:r>
          </w:p>
          <w:p w14:paraId="422CA2CF" w14:textId="77777777" w:rsidR="00276E30" w:rsidRPr="00276E30" w:rsidRDefault="00276E30" w:rsidP="00276E30">
            <w:pPr>
              <w:numPr>
                <w:ilvl w:val="0"/>
                <w:numId w:val="26"/>
              </w:numPr>
              <w:jc w:val="both"/>
              <w:rPr>
                <w:rFonts w:cs="Arial"/>
                <w:szCs w:val="20"/>
              </w:rPr>
            </w:pPr>
            <w:r w:rsidRPr="00276E30">
              <w:rPr>
                <w:rFonts w:cs="Arial"/>
                <w:szCs w:val="20"/>
              </w:rPr>
              <w:t xml:space="preserve">Architect and Alinity systems utilize a specimen level detect mechanism, so special racks specific to tube-type are not required.  </w:t>
            </w:r>
          </w:p>
          <w:p w14:paraId="456EC40D" w14:textId="77777777" w:rsidR="00276E30" w:rsidRPr="00276E30" w:rsidRDefault="00276E30" w:rsidP="00276E30">
            <w:pPr>
              <w:numPr>
                <w:ilvl w:val="0"/>
                <w:numId w:val="26"/>
              </w:numPr>
              <w:jc w:val="both"/>
              <w:rPr>
                <w:rFonts w:cs="Arial"/>
                <w:szCs w:val="20"/>
              </w:rPr>
            </w:pPr>
            <w:r w:rsidRPr="00276E30">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12177A97" w:rsidR="00D955F6" w:rsidRPr="00C00B65" w:rsidRDefault="00D955F6">
            <w:pPr>
              <w:rPr>
                <w:rFonts w:cs="Arial"/>
                <w:b/>
                <w:bCs/>
                <w:color w:val="0000FF"/>
                <w:szCs w:val="20"/>
              </w:rPr>
            </w:pPr>
            <w:r w:rsidRPr="00C00B65">
              <w:rPr>
                <w:rFonts w:cs="Arial"/>
                <w:b/>
                <w:bCs/>
                <w:color w:val="0000FF"/>
                <w:szCs w:val="20"/>
              </w:rPr>
              <w:lastRenderedPageBreak/>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22E82174" w14:textId="1C90D276" w:rsidR="007B410A" w:rsidRPr="00DC7421" w:rsidRDefault="005125A4" w:rsidP="007B410A">
            <w:pPr>
              <w:autoSpaceDE w:val="0"/>
              <w:autoSpaceDN w:val="0"/>
              <w:adjustRightInd w:val="0"/>
              <w:rPr>
                <w:rFonts w:cs="Arial"/>
                <w:bCs/>
                <w:szCs w:val="20"/>
              </w:rPr>
            </w:pPr>
            <w:r w:rsidRPr="00A062E1">
              <w:rPr>
                <w:rFonts w:cs="Arial"/>
                <w:b/>
                <w:bCs/>
                <w:color w:val="7030A0"/>
                <w:szCs w:val="20"/>
              </w:rPr>
              <w:t>Alinity c</w:t>
            </w:r>
            <w:r w:rsidRPr="00DC7421">
              <w:rPr>
                <w:rFonts w:cs="Arial"/>
                <w:b/>
                <w:bCs/>
                <w:color w:val="984806" w:themeColor="accent6" w:themeShade="80"/>
                <w:szCs w:val="20"/>
              </w:rPr>
              <w:t xml:space="preserve"> </w:t>
            </w:r>
          </w:p>
          <w:p w14:paraId="3025A9E5" w14:textId="6C00CB0E"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0081197E">
              <w:rPr>
                <w:rFonts w:eastAsia="HelenPro-Regular"/>
                <w:szCs w:val="20"/>
              </w:rPr>
              <w:t>gently invert cartridges 5 times, then</w:t>
            </w:r>
            <w:r w:rsidRPr="00DC7421">
              <w:rPr>
                <w:rFonts w:cs="Arial"/>
                <w:color w:val="000000"/>
                <w:szCs w:val="20"/>
              </w:rPr>
              <w:t xml:space="preserve"> place reagent cartrid</w:t>
            </w:r>
            <w:r>
              <w:rPr>
                <w:rFonts w:cs="Arial"/>
                <w:color w:val="000000"/>
                <w:szCs w:val="20"/>
              </w:rPr>
              <w:t>ges in an upright position for 1 hour</w:t>
            </w:r>
            <w:r w:rsidRPr="00DC7421">
              <w:rPr>
                <w:rFonts w:cs="Arial"/>
                <w:color w:val="000000"/>
                <w:szCs w:val="20"/>
              </w:rPr>
              <w:t xml:space="preserve"> before use to allow bubbles that may have formed to dissipate. </w:t>
            </w:r>
          </w:p>
          <w:p w14:paraId="666CE016" w14:textId="0F486563"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115DD6">
              <w:rPr>
                <w:rFonts w:cs="Arial"/>
                <w:color w:val="000000"/>
                <w:szCs w:val="20"/>
              </w:rPr>
              <w:t>8</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4564134B" w14:textId="701FBCEB" w:rsidR="00276E30" w:rsidRDefault="00A062E1" w:rsidP="00276E30">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0C9F87FF" w14:textId="77777777" w:rsidR="00276E30" w:rsidRDefault="00276E30" w:rsidP="00276E30">
            <w:pPr>
              <w:pStyle w:val="ListParagraph"/>
              <w:autoSpaceDE w:val="0"/>
              <w:autoSpaceDN w:val="0"/>
              <w:adjustRightInd w:val="0"/>
              <w:ind w:left="0"/>
              <w:rPr>
                <w:rFonts w:eastAsia="HelenPro-Regular"/>
                <w:szCs w:val="20"/>
              </w:rPr>
            </w:pPr>
          </w:p>
          <w:p w14:paraId="205B4299" w14:textId="77777777" w:rsidR="00276E30" w:rsidRDefault="00276E30" w:rsidP="00276E30">
            <w:pPr>
              <w:autoSpaceDE w:val="0"/>
              <w:autoSpaceDN w:val="0"/>
              <w:adjustRightInd w:val="0"/>
              <w:rPr>
                <w:rFonts w:cs="Arial"/>
                <w:b/>
                <w:bCs/>
                <w:color w:val="984806" w:themeColor="accent6" w:themeShade="80"/>
                <w:szCs w:val="20"/>
              </w:rPr>
            </w:pPr>
            <w:r>
              <w:rPr>
                <w:rFonts w:cs="Arial"/>
                <w:b/>
                <w:bCs/>
                <w:color w:val="984806" w:themeColor="accent6" w:themeShade="80"/>
                <w:szCs w:val="20"/>
              </w:rPr>
              <w:t>Architect i1000:</w:t>
            </w:r>
          </w:p>
          <w:p w14:paraId="6816AFF6" w14:textId="77777777" w:rsidR="00276E30" w:rsidRDefault="00276E30" w:rsidP="00276E30">
            <w:pPr>
              <w:autoSpaceDE w:val="0"/>
              <w:autoSpaceDN w:val="0"/>
              <w:adjustRightInd w:val="0"/>
              <w:rPr>
                <w:rFonts w:cs="Arial"/>
                <w:color w:val="000000"/>
                <w:szCs w:val="20"/>
              </w:rPr>
            </w:pPr>
            <w:r w:rsidRPr="001E66AC">
              <w:rPr>
                <w:rFonts w:cs="Arial"/>
                <w:color w:val="000000"/>
                <w:szCs w:val="20"/>
              </w:rPr>
              <w:t>• Before loading the reagent kit on the</w:t>
            </w:r>
            <w:r>
              <w:rPr>
                <w:rFonts w:cs="Arial"/>
                <w:color w:val="000000"/>
                <w:szCs w:val="20"/>
              </w:rPr>
              <w:t xml:space="preserve"> system for the first time, the </w:t>
            </w:r>
            <w:r w:rsidRPr="001E66AC">
              <w:rPr>
                <w:rFonts w:cs="Arial"/>
                <w:color w:val="000000"/>
                <w:szCs w:val="20"/>
              </w:rPr>
              <w:t>microparticle bottle requires mix</w:t>
            </w:r>
            <w:r>
              <w:rPr>
                <w:rFonts w:cs="Arial"/>
                <w:color w:val="000000"/>
                <w:szCs w:val="20"/>
              </w:rPr>
              <w:t xml:space="preserve">ing to resuspend microparticles </w:t>
            </w:r>
            <w:r w:rsidRPr="001E66AC">
              <w:rPr>
                <w:rFonts w:cs="Arial"/>
                <w:color w:val="000000"/>
                <w:szCs w:val="20"/>
              </w:rPr>
              <w:t>that may have settled during shi</w:t>
            </w:r>
            <w:r>
              <w:rPr>
                <w:rFonts w:cs="Arial"/>
                <w:color w:val="000000"/>
                <w:szCs w:val="20"/>
              </w:rPr>
              <w:t xml:space="preserve">pment. </w:t>
            </w:r>
          </w:p>
          <w:p w14:paraId="49695C0A" w14:textId="77777777" w:rsidR="00276E30" w:rsidRDefault="00276E30" w:rsidP="00276E30">
            <w:pPr>
              <w:autoSpaceDE w:val="0"/>
              <w:autoSpaceDN w:val="0"/>
              <w:adjustRightInd w:val="0"/>
              <w:ind w:left="720"/>
              <w:rPr>
                <w:rFonts w:cs="Arial"/>
                <w:color w:val="000000"/>
                <w:szCs w:val="20"/>
              </w:rPr>
            </w:pPr>
            <w:r>
              <w:rPr>
                <w:rFonts w:cs="Arial"/>
                <w:color w:val="000000"/>
                <w:szCs w:val="20"/>
              </w:rPr>
              <w:t>For microparticle mixing:</w:t>
            </w:r>
          </w:p>
          <w:p w14:paraId="69FCC625" w14:textId="77777777" w:rsidR="00276E30" w:rsidRPr="001E66AC" w:rsidRDefault="00276E30" w:rsidP="00276E30">
            <w:pPr>
              <w:autoSpaceDE w:val="0"/>
              <w:autoSpaceDN w:val="0"/>
              <w:adjustRightInd w:val="0"/>
              <w:ind w:left="720"/>
              <w:rPr>
                <w:rFonts w:cs="Arial"/>
                <w:color w:val="000000"/>
                <w:szCs w:val="20"/>
              </w:rPr>
            </w:pPr>
            <w:r>
              <w:rPr>
                <w:rFonts w:cs="Arial"/>
                <w:color w:val="000000"/>
                <w:szCs w:val="20"/>
              </w:rPr>
              <w:t xml:space="preserve"> </w:t>
            </w:r>
            <w:r w:rsidRPr="001E66AC">
              <w:rPr>
                <w:rFonts w:cs="Arial"/>
                <w:color w:val="000000"/>
                <w:szCs w:val="20"/>
              </w:rPr>
              <w:t>• Invert the microparticle bottle 30 times.</w:t>
            </w:r>
          </w:p>
          <w:p w14:paraId="214A6378" w14:textId="77777777" w:rsidR="00276E30" w:rsidRPr="001E66AC" w:rsidRDefault="00276E30" w:rsidP="00276E30">
            <w:pPr>
              <w:autoSpaceDE w:val="0"/>
              <w:autoSpaceDN w:val="0"/>
              <w:adjustRightInd w:val="0"/>
              <w:ind w:left="720"/>
              <w:rPr>
                <w:rFonts w:cs="Arial"/>
                <w:color w:val="000000"/>
                <w:szCs w:val="20"/>
              </w:rPr>
            </w:pPr>
            <w:r w:rsidRPr="001E66AC">
              <w:rPr>
                <w:rFonts w:cs="Arial"/>
                <w:color w:val="000000"/>
                <w:szCs w:val="20"/>
              </w:rPr>
              <w:t>• Visually inspect the bottle to ensure microparticles are</w:t>
            </w:r>
            <w:r>
              <w:rPr>
                <w:rFonts w:cs="Arial"/>
                <w:color w:val="000000"/>
                <w:szCs w:val="20"/>
              </w:rPr>
              <w:t xml:space="preserve"> </w:t>
            </w:r>
            <w:r w:rsidRPr="001E66AC">
              <w:rPr>
                <w:rFonts w:cs="Arial"/>
                <w:color w:val="000000"/>
                <w:szCs w:val="20"/>
              </w:rPr>
              <w:t>resuspended. If microparticles a</w:t>
            </w:r>
            <w:r>
              <w:rPr>
                <w:rFonts w:cs="Arial"/>
                <w:color w:val="000000"/>
                <w:szCs w:val="20"/>
              </w:rPr>
              <w:t xml:space="preserve">re still adhered to the bottle, </w:t>
            </w:r>
            <w:r w:rsidRPr="001E66AC">
              <w:rPr>
                <w:rFonts w:cs="Arial"/>
                <w:color w:val="000000"/>
                <w:szCs w:val="20"/>
              </w:rPr>
              <w:t>continue to invert the bottl</w:t>
            </w:r>
            <w:r>
              <w:rPr>
                <w:rFonts w:cs="Arial"/>
                <w:color w:val="000000"/>
                <w:szCs w:val="20"/>
              </w:rPr>
              <w:t xml:space="preserve">e until the microparticles have </w:t>
            </w:r>
            <w:r w:rsidRPr="001E66AC">
              <w:rPr>
                <w:rFonts w:cs="Arial"/>
                <w:color w:val="000000"/>
                <w:szCs w:val="20"/>
              </w:rPr>
              <w:t>been completely resuspended.</w:t>
            </w:r>
          </w:p>
          <w:p w14:paraId="3DD6A6E5" w14:textId="77777777" w:rsidR="00276E30" w:rsidRPr="001E66AC" w:rsidRDefault="00276E30" w:rsidP="00276E30">
            <w:pPr>
              <w:autoSpaceDE w:val="0"/>
              <w:autoSpaceDN w:val="0"/>
              <w:adjustRightInd w:val="0"/>
              <w:ind w:left="720"/>
              <w:rPr>
                <w:rFonts w:cs="Arial"/>
                <w:color w:val="000000"/>
                <w:szCs w:val="20"/>
              </w:rPr>
            </w:pPr>
            <w:r w:rsidRPr="001E66AC">
              <w:rPr>
                <w:rFonts w:cs="Arial"/>
                <w:color w:val="000000"/>
                <w:szCs w:val="20"/>
              </w:rPr>
              <w:t>• If the microparticl</w:t>
            </w:r>
            <w:r>
              <w:rPr>
                <w:rFonts w:cs="Arial"/>
                <w:color w:val="000000"/>
                <w:szCs w:val="20"/>
              </w:rPr>
              <w:t xml:space="preserve">es do not resuspend, DO NOT USE </w:t>
            </w:r>
          </w:p>
          <w:p w14:paraId="6ECD70C9" w14:textId="77777777" w:rsidR="00276E30" w:rsidRPr="001E66AC" w:rsidRDefault="00276E30" w:rsidP="00276E30">
            <w:pPr>
              <w:autoSpaceDE w:val="0"/>
              <w:autoSpaceDN w:val="0"/>
              <w:adjustRightInd w:val="0"/>
              <w:rPr>
                <w:rFonts w:cs="Arial"/>
                <w:color w:val="000000"/>
                <w:szCs w:val="20"/>
              </w:rPr>
            </w:pPr>
            <w:r w:rsidRPr="001E66AC">
              <w:rPr>
                <w:rFonts w:cs="Arial"/>
                <w:color w:val="000000"/>
                <w:szCs w:val="20"/>
              </w:rPr>
              <w:t xml:space="preserve">• Septums MUST be used to </w:t>
            </w:r>
            <w:r>
              <w:rPr>
                <w:rFonts w:cs="Arial"/>
                <w:color w:val="000000"/>
                <w:szCs w:val="20"/>
              </w:rPr>
              <w:t xml:space="preserve">prevent reagent evaporation and </w:t>
            </w:r>
            <w:r w:rsidRPr="001E66AC">
              <w:rPr>
                <w:rFonts w:cs="Arial"/>
                <w:color w:val="000000"/>
                <w:szCs w:val="20"/>
              </w:rPr>
              <w:t>contamination and to ensure reagent integrity. R</w:t>
            </w:r>
            <w:r>
              <w:rPr>
                <w:rFonts w:cs="Arial"/>
                <w:color w:val="000000"/>
                <w:szCs w:val="20"/>
              </w:rPr>
              <w:t xml:space="preserve">eliability of </w:t>
            </w:r>
            <w:r w:rsidRPr="001E66AC">
              <w:rPr>
                <w:rFonts w:cs="Arial"/>
                <w:color w:val="000000"/>
                <w:szCs w:val="20"/>
              </w:rPr>
              <w:t>assay results cannot be gua</w:t>
            </w:r>
            <w:r>
              <w:rPr>
                <w:rFonts w:cs="Arial"/>
                <w:color w:val="000000"/>
                <w:szCs w:val="20"/>
              </w:rPr>
              <w:t xml:space="preserve">ranteed if septums are not used </w:t>
            </w:r>
            <w:r w:rsidRPr="001E66AC">
              <w:rPr>
                <w:rFonts w:cs="Arial"/>
                <w:color w:val="000000"/>
                <w:szCs w:val="20"/>
              </w:rPr>
              <w:t>according to the instructions in this package insert.</w:t>
            </w:r>
          </w:p>
          <w:p w14:paraId="5A6CC7CD" w14:textId="77777777" w:rsidR="00276E30" w:rsidRPr="001E66AC" w:rsidRDefault="00276E30" w:rsidP="00276E30">
            <w:pPr>
              <w:autoSpaceDE w:val="0"/>
              <w:autoSpaceDN w:val="0"/>
              <w:adjustRightInd w:val="0"/>
              <w:rPr>
                <w:rFonts w:cs="Arial"/>
                <w:color w:val="000000"/>
                <w:szCs w:val="20"/>
              </w:rPr>
            </w:pPr>
            <w:r w:rsidRPr="001E66AC">
              <w:rPr>
                <w:rFonts w:cs="Arial"/>
                <w:color w:val="000000"/>
                <w:szCs w:val="20"/>
              </w:rPr>
              <w:t>• To avoid contamination, w</w:t>
            </w:r>
            <w:r>
              <w:rPr>
                <w:rFonts w:cs="Arial"/>
                <w:color w:val="000000"/>
                <w:szCs w:val="20"/>
              </w:rPr>
              <w:t xml:space="preserve">ear clean gloves when placing a </w:t>
            </w:r>
            <w:r w:rsidRPr="001E66AC">
              <w:rPr>
                <w:rFonts w:cs="Arial"/>
                <w:color w:val="000000"/>
                <w:szCs w:val="20"/>
              </w:rPr>
              <w:t>septum on an uncapped reagent bottle.</w:t>
            </w:r>
          </w:p>
          <w:p w14:paraId="1A39FC2F" w14:textId="77777777" w:rsidR="00276E30" w:rsidRPr="001E66AC" w:rsidRDefault="00276E30" w:rsidP="00276E30">
            <w:pPr>
              <w:autoSpaceDE w:val="0"/>
              <w:autoSpaceDN w:val="0"/>
              <w:adjustRightInd w:val="0"/>
              <w:rPr>
                <w:rFonts w:cs="Arial"/>
                <w:color w:val="000000"/>
                <w:szCs w:val="20"/>
              </w:rPr>
            </w:pPr>
            <w:r w:rsidRPr="001E66AC">
              <w:rPr>
                <w:rFonts w:cs="Arial"/>
                <w:color w:val="000000"/>
                <w:szCs w:val="20"/>
              </w:rPr>
              <w:t xml:space="preserve">• Once a septum has been placed </w:t>
            </w:r>
            <w:r>
              <w:rPr>
                <w:rFonts w:cs="Arial"/>
                <w:color w:val="000000"/>
                <w:szCs w:val="20"/>
              </w:rPr>
              <w:t xml:space="preserve">on an open reagent bottle, </w:t>
            </w:r>
            <w:r w:rsidRPr="001E66AC">
              <w:rPr>
                <w:rFonts w:cs="Arial"/>
                <w:color w:val="000000"/>
                <w:szCs w:val="20"/>
              </w:rPr>
              <w:t>do not invert the bottle as this</w:t>
            </w:r>
            <w:r>
              <w:rPr>
                <w:rFonts w:cs="Arial"/>
                <w:color w:val="000000"/>
                <w:szCs w:val="20"/>
              </w:rPr>
              <w:t xml:space="preserve"> will result in reagent leakage </w:t>
            </w:r>
            <w:r w:rsidRPr="001E66AC">
              <w:rPr>
                <w:rFonts w:cs="Arial"/>
                <w:color w:val="000000"/>
                <w:szCs w:val="20"/>
              </w:rPr>
              <w:t>and may compromise assay results.</w:t>
            </w:r>
          </w:p>
          <w:p w14:paraId="3D8C6274" w14:textId="77777777" w:rsidR="00276E30" w:rsidRDefault="00276E30" w:rsidP="00276E30">
            <w:pPr>
              <w:autoSpaceDE w:val="0"/>
              <w:autoSpaceDN w:val="0"/>
              <w:adjustRightInd w:val="0"/>
              <w:rPr>
                <w:rFonts w:cs="Arial"/>
                <w:color w:val="000000"/>
                <w:szCs w:val="20"/>
              </w:rPr>
            </w:pPr>
            <w:r w:rsidRPr="001E66AC">
              <w:rPr>
                <w:rFonts w:cs="Arial"/>
                <w:color w:val="000000"/>
                <w:szCs w:val="20"/>
              </w:rPr>
              <w:t>• Over time, residual liquids</w:t>
            </w:r>
            <w:r>
              <w:rPr>
                <w:rFonts w:cs="Arial"/>
                <w:color w:val="000000"/>
                <w:szCs w:val="20"/>
              </w:rPr>
              <w:t xml:space="preserve"> may dry on the septum surface. </w:t>
            </w:r>
            <w:r w:rsidRPr="001E66AC">
              <w:rPr>
                <w:rFonts w:cs="Arial"/>
                <w:color w:val="000000"/>
                <w:szCs w:val="20"/>
              </w:rPr>
              <w:t>These are typically dried sa</w:t>
            </w:r>
            <w:r>
              <w:rPr>
                <w:rFonts w:cs="Arial"/>
                <w:color w:val="000000"/>
                <w:szCs w:val="20"/>
              </w:rPr>
              <w:t xml:space="preserve">lts and have no effect on assay </w:t>
            </w:r>
            <w:r w:rsidRPr="001E66AC">
              <w:rPr>
                <w:rFonts w:cs="Arial"/>
                <w:color w:val="000000"/>
                <w:szCs w:val="20"/>
              </w:rPr>
              <w:t>efficacy.</w:t>
            </w:r>
          </w:p>
          <w:p w14:paraId="4DA9CBA4" w14:textId="77777777" w:rsidR="00276E30" w:rsidRDefault="00276E30" w:rsidP="00276E30">
            <w:pPr>
              <w:autoSpaceDE w:val="0"/>
              <w:autoSpaceDN w:val="0"/>
              <w:adjustRightInd w:val="0"/>
              <w:rPr>
                <w:rFonts w:cs="Arial"/>
                <w:color w:val="000000"/>
                <w:szCs w:val="20"/>
              </w:rPr>
            </w:pPr>
            <w:r w:rsidRPr="001E66AC">
              <w:rPr>
                <w:rFonts w:cs="Arial"/>
                <w:color w:val="000000"/>
                <w:szCs w:val="20"/>
              </w:rPr>
              <w:t>* Reagents may be stored on o</w:t>
            </w:r>
            <w:r>
              <w:rPr>
                <w:rFonts w:cs="Arial"/>
                <w:color w:val="000000"/>
                <w:szCs w:val="20"/>
              </w:rPr>
              <w:t xml:space="preserve">r off the ARCHITECT iSystem. If </w:t>
            </w:r>
            <w:r w:rsidRPr="001E66AC">
              <w:rPr>
                <w:rFonts w:cs="Arial"/>
                <w:color w:val="000000"/>
                <w:szCs w:val="20"/>
              </w:rPr>
              <w:t>reagents are removed from the sy</w:t>
            </w:r>
            <w:r>
              <w:rPr>
                <w:rFonts w:cs="Arial"/>
                <w:color w:val="000000"/>
                <w:szCs w:val="20"/>
              </w:rPr>
              <w:t xml:space="preserve">stem, store them at 2-8°C (with </w:t>
            </w:r>
            <w:r w:rsidRPr="001E66AC">
              <w:rPr>
                <w:rFonts w:cs="Arial"/>
                <w:color w:val="000000"/>
                <w:szCs w:val="20"/>
              </w:rPr>
              <w:t>septums and replacement caps) in an</w:t>
            </w:r>
            <w:r>
              <w:rPr>
                <w:rFonts w:cs="Arial"/>
                <w:color w:val="000000"/>
                <w:szCs w:val="20"/>
              </w:rPr>
              <w:t xml:space="preserve"> upright position. For reagents </w:t>
            </w:r>
            <w:r w:rsidRPr="001E66AC">
              <w:rPr>
                <w:rFonts w:cs="Arial"/>
                <w:color w:val="000000"/>
                <w:szCs w:val="20"/>
              </w:rPr>
              <w:t>stored off the system, it is rec</w:t>
            </w:r>
            <w:r>
              <w:rPr>
                <w:rFonts w:cs="Arial"/>
                <w:color w:val="000000"/>
                <w:szCs w:val="20"/>
              </w:rPr>
              <w:t xml:space="preserve">ommended that they be stored in </w:t>
            </w:r>
            <w:r w:rsidRPr="001E66AC">
              <w:rPr>
                <w:rFonts w:cs="Arial"/>
                <w:color w:val="000000"/>
                <w:szCs w:val="20"/>
              </w:rPr>
              <w:t>their original trays and boxes to ens</w:t>
            </w:r>
            <w:r>
              <w:rPr>
                <w:rFonts w:cs="Arial"/>
                <w:color w:val="000000"/>
                <w:szCs w:val="20"/>
              </w:rPr>
              <w:t xml:space="preserve">ure they remain upright. If the </w:t>
            </w:r>
            <w:r w:rsidRPr="001E66AC">
              <w:rPr>
                <w:rFonts w:cs="Arial"/>
                <w:color w:val="000000"/>
                <w:szCs w:val="20"/>
              </w:rPr>
              <w:t>microparticle bottle does no</w:t>
            </w:r>
            <w:r>
              <w:rPr>
                <w:rFonts w:cs="Arial"/>
                <w:color w:val="000000"/>
                <w:szCs w:val="20"/>
              </w:rPr>
              <w:t xml:space="preserve">t remain upright (with a septum </w:t>
            </w:r>
            <w:r w:rsidRPr="001E66AC">
              <w:rPr>
                <w:rFonts w:cs="Arial"/>
                <w:color w:val="000000"/>
                <w:szCs w:val="20"/>
              </w:rPr>
              <w:t>installed) while in refrigerated stor</w:t>
            </w:r>
            <w:r>
              <w:rPr>
                <w:rFonts w:cs="Arial"/>
                <w:color w:val="000000"/>
                <w:szCs w:val="20"/>
              </w:rPr>
              <w:t xml:space="preserve">age off the system, the reagent </w:t>
            </w:r>
            <w:r w:rsidRPr="001E66AC">
              <w:rPr>
                <w:rFonts w:cs="Arial"/>
                <w:color w:val="000000"/>
                <w:szCs w:val="20"/>
              </w:rPr>
              <w:t xml:space="preserve">kit must be discarded. </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157C4872" w:rsidR="0081197E" w:rsidRPr="00DC7421" w:rsidRDefault="0081197E" w:rsidP="00276E30">
            <w:pPr>
              <w:autoSpaceDE w:val="0"/>
              <w:autoSpaceDN w:val="0"/>
              <w:adjustRightInd w:val="0"/>
              <w:rPr>
                <w:rFonts w:cs="Arial"/>
                <w:b/>
                <w:bCs/>
              </w:rPr>
            </w:pPr>
            <w:r w:rsidRPr="00DC7421">
              <w:rPr>
                <w:rFonts w:cs="Arial"/>
                <w:b/>
                <w:bCs/>
                <w:color w:val="7030A0"/>
              </w:rPr>
              <w:t>Alinity c</w:t>
            </w:r>
            <w:r w:rsidR="00276E30">
              <w:rPr>
                <w:rFonts w:cs="Arial"/>
                <w:b/>
                <w:bCs/>
                <w:color w:val="7030A0"/>
              </w:rPr>
              <w:t xml:space="preserve"> </w:t>
            </w:r>
            <w:r w:rsidR="00276E30" w:rsidRPr="00276E30">
              <w:rPr>
                <w:rFonts w:cs="Arial"/>
                <w:b/>
                <w:bCs/>
              </w:rPr>
              <w:t>and</w:t>
            </w:r>
            <w:r w:rsidR="00276E30">
              <w:rPr>
                <w:rFonts w:cs="Arial"/>
                <w:b/>
                <w:bCs/>
                <w:color w:val="984806" w:themeColor="accent6" w:themeShade="80"/>
                <w:szCs w:val="20"/>
              </w:rPr>
              <w:t xml:space="preserve"> Architect i1000:</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0C55CB01" w:rsidR="0081197E" w:rsidRPr="00DC7421" w:rsidRDefault="00875465" w:rsidP="00115DD6">
                  <w:pPr>
                    <w:autoSpaceDE w:val="0"/>
                    <w:autoSpaceDN w:val="0"/>
                    <w:adjustRightInd w:val="0"/>
                    <w:rPr>
                      <w:rFonts w:cs="Arial"/>
                      <w:szCs w:val="20"/>
                    </w:rPr>
                  </w:pPr>
                  <w:r>
                    <w:rPr>
                      <w:rFonts w:cs="Arial"/>
                      <w:szCs w:val="20"/>
                    </w:rPr>
                    <w:t>Alinity i Cortisol Reagent Kit</w:t>
                  </w:r>
                </w:p>
              </w:tc>
              <w:tc>
                <w:tcPr>
                  <w:tcW w:w="1710" w:type="dxa"/>
                  <w:vAlign w:val="center"/>
                </w:tcPr>
                <w:p w14:paraId="78062055" w14:textId="6F379CD2" w:rsidR="0081197E" w:rsidRPr="00DC7421" w:rsidRDefault="005B3AA5" w:rsidP="0081197E">
                  <w:pPr>
                    <w:pStyle w:val="BodyText"/>
                    <w:tabs>
                      <w:tab w:val="left" w:pos="3240"/>
                    </w:tabs>
                    <w:rPr>
                      <w:rFonts w:cs="Arial"/>
                      <w:szCs w:val="20"/>
                    </w:rPr>
                  </w:pPr>
                  <w:r>
                    <w:rPr>
                      <w:rFonts w:cs="Arial"/>
                      <w:szCs w:val="20"/>
                    </w:rPr>
                    <w:t>08P3320</w:t>
                  </w:r>
                </w:p>
              </w:tc>
              <w:tc>
                <w:tcPr>
                  <w:tcW w:w="4533" w:type="dxa"/>
                  <w:vAlign w:val="center"/>
                </w:tcPr>
                <w:p w14:paraId="1E13427C" w14:textId="4D4461EB"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4826D0">
                    <w:rPr>
                      <w:rFonts w:ascii="Arial" w:hAnsi="Arial" w:cs="Arial"/>
                      <w:bCs/>
                    </w:rPr>
                    <w:t>2 to 8°C until expiration date</w:t>
                  </w:r>
                </w:p>
                <w:p w14:paraId="188F00FD" w14:textId="25A0054C" w:rsidR="00115DD6" w:rsidRPr="005B3AA5" w:rsidRDefault="005B3AA5" w:rsidP="0081197E">
                  <w:pPr>
                    <w:pStyle w:val="Reagents"/>
                    <w:spacing w:after="80"/>
                    <w:rPr>
                      <w:rFonts w:cs="Arial"/>
                      <w:b/>
                      <w:bCs/>
                    </w:rPr>
                  </w:pPr>
                  <w:r>
                    <w:rPr>
                      <w:rFonts w:ascii="Arial" w:hAnsi="Arial" w:cs="Arial"/>
                      <w:b/>
                      <w:bCs/>
                    </w:rPr>
                    <w:t>Unopened:</w:t>
                  </w:r>
                  <w:r w:rsidR="00B94426" w:rsidRPr="00B94426">
                    <w:rPr>
                      <w:rFonts w:ascii="Arial" w:hAnsi="Arial" w:cs="Arial"/>
                      <w:bCs/>
                    </w:rPr>
                    <w:t xml:space="preserve"> 2 to 8°C until expiration date</w:t>
                  </w:r>
                  <w:r w:rsidR="004826D0">
                    <w:rPr>
                      <w:rFonts w:ascii="Arial" w:hAnsi="Arial" w:cs="Arial"/>
                      <w:bCs/>
                    </w:rPr>
                    <w:t>.  If</w:t>
                  </w:r>
                  <w:r>
                    <w:rPr>
                      <w:rFonts w:ascii="Arial" w:hAnsi="Arial" w:cs="Arial"/>
                      <w:bCs/>
                    </w:rPr>
                    <w:t xml:space="preserve"> the cartridge does not remain upright, gently invert the cartridge 10 times and place in an upright position for 1 hour before use.</w:t>
                  </w:r>
                </w:p>
                <w:p w14:paraId="2EC23D08" w14:textId="74B63F5D" w:rsidR="0081197E" w:rsidRPr="003F688A" w:rsidRDefault="0081197E" w:rsidP="004826D0">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B94426">
                    <w:rPr>
                      <w:rFonts w:ascii="Arial" w:hAnsi="Arial" w:cs="Arial"/>
                      <w:bCs/>
                    </w:rPr>
                    <w:t>System temperature for 30 days</w:t>
                  </w:r>
                  <w:r w:rsidR="005B3AA5">
                    <w:rPr>
                      <w:rFonts w:ascii="Arial" w:hAnsi="Arial" w:cs="Arial"/>
                      <w:bCs/>
                    </w:rPr>
                    <w:t>.  Do not invert after reagent has been loaded on the analyzer.  If the cartridge does not remain upright, discard the cartridge.</w:t>
                  </w:r>
                  <w:r w:rsidR="004826D0">
                    <w:t xml:space="preserve"> </w:t>
                  </w:r>
                  <w:r w:rsidR="004826D0">
                    <w:rPr>
                      <w:rFonts w:ascii="Arial" w:hAnsi="Arial" w:cs="Arial"/>
                      <w:bCs/>
                    </w:rPr>
                    <w:t xml:space="preserve">Do not reuse containers, original reagent caps or replacement caps due to the risk of contamination and potential to compromise reagent </w:t>
                  </w:r>
                  <w:r w:rsidR="004826D0" w:rsidRPr="004826D0">
                    <w:rPr>
                      <w:rFonts w:ascii="Arial" w:hAnsi="Arial" w:cs="Arial"/>
                      <w:bCs/>
                    </w:rPr>
                    <w:t>performance.</w:t>
                  </w:r>
                </w:p>
              </w:tc>
            </w:tr>
            <w:tr w:rsidR="0081197E" w:rsidRPr="00DC7421" w14:paraId="2A1E45AA" w14:textId="77777777" w:rsidTr="00413A69">
              <w:tc>
                <w:tcPr>
                  <w:tcW w:w="2857" w:type="dxa"/>
                  <w:vAlign w:val="center"/>
                </w:tcPr>
                <w:p w14:paraId="417AB88A" w14:textId="56E31BF6" w:rsidR="0081197E" w:rsidRPr="00DC7421" w:rsidRDefault="00B94426" w:rsidP="0081197E">
                  <w:pPr>
                    <w:pStyle w:val="BodyText"/>
                    <w:spacing w:after="0"/>
                    <w:rPr>
                      <w:rFonts w:cs="Arial"/>
                      <w:szCs w:val="20"/>
                    </w:rPr>
                  </w:pPr>
                  <w:r>
                    <w:rPr>
                      <w:rFonts w:cs="Arial"/>
                      <w:szCs w:val="20"/>
                    </w:rPr>
                    <w:t xml:space="preserve">Alinity i </w:t>
                  </w:r>
                  <w:r w:rsidR="00EE30DA">
                    <w:rPr>
                      <w:rFonts w:cs="Arial"/>
                      <w:szCs w:val="20"/>
                    </w:rPr>
                    <w:t>Cortisol Calibrators</w:t>
                  </w:r>
                </w:p>
              </w:tc>
              <w:tc>
                <w:tcPr>
                  <w:tcW w:w="1710" w:type="dxa"/>
                  <w:vAlign w:val="center"/>
                </w:tcPr>
                <w:p w14:paraId="1C065F4D" w14:textId="7315B7EC" w:rsidR="005B3AA5" w:rsidRPr="00DC7421" w:rsidRDefault="005B3AA5" w:rsidP="0081197E">
                  <w:pPr>
                    <w:rPr>
                      <w:rFonts w:cs="Arial"/>
                      <w:szCs w:val="20"/>
                    </w:rPr>
                  </w:pPr>
                  <w:r>
                    <w:rPr>
                      <w:rFonts w:cs="Arial"/>
                      <w:szCs w:val="20"/>
                    </w:rPr>
                    <w:t>08P3301</w:t>
                  </w:r>
                </w:p>
              </w:tc>
              <w:tc>
                <w:tcPr>
                  <w:tcW w:w="4533" w:type="dxa"/>
                  <w:vAlign w:val="center"/>
                </w:tcPr>
                <w:p w14:paraId="3B82C64B" w14:textId="4930ECA9"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EE30DA">
                    <w:rPr>
                      <w:rFonts w:ascii="Arial" w:hAnsi="Arial" w:cs="Arial"/>
                      <w:bCs/>
                    </w:rPr>
                    <w:t xml:space="preserve">-10°C or colder until </w:t>
                  </w:r>
                  <w:r w:rsidR="005B3AA5">
                    <w:rPr>
                      <w:rFonts w:ascii="Arial" w:hAnsi="Arial" w:cs="Arial"/>
                      <w:bCs/>
                    </w:rPr>
                    <w:t xml:space="preserve">manufacturer’s printed </w:t>
                  </w:r>
                  <w:r w:rsidR="00EE30DA">
                    <w:rPr>
                      <w:rFonts w:ascii="Arial" w:hAnsi="Arial" w:cs="Arial"/>
                      <w:bCs/>
                    </w:rPr>
                    <w:t>expiration date</w:t>
                  </w:r>
                </w:p>
                <w:p w14:paraId="22FE035D" w14:textId="507C5462" w:rsidR="0081197E" w:rsidRDefault="0081197E" w:rsidP="0081197E">
                  <w:pPr>
                    <w:pStyle w:val="Reagents"/>
                    <w:spacing w:after="80"/>
                    <w:rPr>
                      <w:rFonts w:ascii="Arial" w:hAnsi="Arial" w:cs="Arial"/>
                      <w:bCs/>
                    </w:rPr>
                  </w:pPr>
                  <w:r w:rsidRPr="00DC7421">
                    <w:rPr>
                      <w:rFonts w:ascii="Arial" w:hAnsi="Arial" w:cs="Arial"/>
                      <w:b/>
                      <w:bCs/>
                    </w:rPr>
                    <w:t xml:space="preserve">Unopened: </w:t>
                  </w:r>
                  <w:r w:rsidR="00EE30DA" w:rsidRPr="00EE30DA">
                    <w:rPr>
                      <w:rFonts w:ascii="Arial" w:hAnsi="Arial" w:cs="Arial"/>
                      <w:b/>
                      <w:bCs/>
                    </w:rPr>
                    <w:t xml:space="preserve"> </w:t>
                  </w:r>
                  <w:r w:rsidR="00EE30DA" w:rsidRPr="005B3AA5">
                    <w:rPr>
                      <w:rFonts w:ascii="Arial" w:hAnsi="Arial" w:cs="Arial"/>
                      <w:bCs/>
                    </w:rPr>
                    <w:t>-10°C or colder until expiration date</w:t>
                  </w:r>
                </w:p>
                <w:p w14:paraId="6B572EAD" w14:textId="20F081CE" w:rsidR="005B3AA5" w:rsidRPr="00DC7421" w:rsidRDefault="005B3AA5" w:rsidP="0081197E">
                  <w:pPr>
                    <w:pStyle w:val="Reagents"/>
                    <w:spacing w:after="80"/>
                    <w:rPr>
                      <w:rFonts w:ascii="Arial" w:hAnsi="Arial" w:cs="Arial"/>
                      <w:bCs/>
                    </w:rPr>
                  </w:pPr>
                  <w:r>
                    <w:rPr>
                      <w:rFonts w:ascii="Arial" w:hAnsi="Arial" w:cs="Arial"/>
                      <w:bCs/>
                    </w:rPr>
                    <w:t>To Use: allow to thaw at room temperature for 45-60 minutes.  Prior to each use, mix thoroughly by gentle inversion 5-10 times.</w:t>
                  </w:r>
                </w:p>
                <w:p w14:paraId="05D3D1A4" w14:textId="1E4D5F1B" w:rsidR="0081197E" w:rsidRPr="004826D0" w:rsidRDefault="0081197E" w:rsidP="004826D0">
                  <w:pPr>
                    <w:pStyle w:val="BodyText"/>
                    <w:spacing w:after="80"/>
                    <w:rPr>
                      <w:rFonts w:cs="Arial"/>
                      <w:bCs/>
                      <w:szCs w:val="20"/>
                    </w:rPr>
                  </w:pPr>
                  <w:r w:rsidRPr="00DC7421">
                    <w:rPr>
                      <w:rFonts w:cs="Arial"/>
                      <w:b/>
                      <w:bCs/>
                      <w:szCs w:val="20"/>
                    </w:rPr>
                    <w:t xml:space="preserve">Opened expiration: </w:t>
                  </w:r>
                  <w:r w:rsidR="00EE30DA">
                    <w:rPr>
                      <w:rFonts w:cs="Arial"/>
                      <w:bCs/>
                      <w:szCs w:val="20"/>
                    </w:rPr>
                    <w:t>2 to 8°C up to 90 days after thawing. After use, return to refrigerated storage and tightly cap with new replacement cap</w:t>
                  </w:r>
                  <w:r w:rsidR="005B3AA5">
                    <w:rPr>
                      <w:rFonts w:cs="Arial"/>
                      <w:bCs/>
                      <w:szCs w:val="20"/>
                    </w:rPr>
                    <w:t>.</w:t>
                  </w:r>
                  <w:r w:rsidR="004826D0">
                    <w:t xml:space="preserve"> </w:t>
                  </w:r>
                  <w:r w:rsidR="004826D0" w:rsidRPr="004826D0">
                    <w:rPr>
                      <w:rFonts w:cs="Arial"/>
                      <w:bCs/>
                      <w:szCs w:val="20"/>
                    </w:rPr>
                    <w:t>The analyzer will track In-use S</w:t>
                  </w:r>
                  <w:r w:rsidR="004826D0">
                    <w:rPr>
                      <w:rFonts w:cs="Arial"/>
                      <w:bCs/>
                      <w:szCs w:val="20"/>
                    </w:rPr>
                    <w:t xml:space="preserve">tability, which is the time the </w:t>
                  </w:r>
                  <w:r w:rsidR="004826D0" w:rsidRPr="004826D0">
                    <w:rPr>
                      <w:rFonts w:cs="Arial"/>
                      <w:bCs/>
                      <w:szCs w:val="20"/>
                    </w:rPr>
                    <w:t>calibra</w:t>
                  </w:r>
                  <w:r w:rsidR="004826D0">
                    <w:rPr>
                      <w:rFonts w:cs="Arial"/>
                      <w:bCs/>
                      <w:szCs w:val="20"/>
                    </w:rPr>
                    <w:t>tor is outside of refrigerated s</w:t>
                  </w:r>
                  <w:r w:rsidR="004826D0" w:rsidRPr="004826D0">
                    <w:rPr>
                      <w:rFonts w:cs="Arial"/>
                      <w:bCs/>
                      <w:szCs w:val="20"/>
                    </w:rPr>
                    <w:t>to</w:t>
                  </w:r>
                  <w:r w:rsidR="004826D0">
                    <w:rPr>
                      <w:rFonts w:cs="Arial"/>
                      <w:bCs/>
                      <w:szCs w:val="20"/>
                    </w:rPr>
                    <w:t xml:space="preserve">rage while on the analyzer. The </w:t>
                  </w:r>
                  <w:r w:rsidR="004826D0" w:rsidRPr="004826D0">
                    <w:rPr>
                      <w:rFonts w:cs="Arial"/>
                      <w:bCs/>
                      <w:szCs w:val="20"/>
                    </w:rPr>
                    <w:t>analyzer will not allow the use o</w:t>
                  </w:r>
                  <w:r w:rsidR="004826D0">
                    <w:rPr>
                      <w:rFonts w:cs="Arial"/>
                      <w:bCs/>
                      <w:szCs w:val="20"/>
                    </w:rPr>
                    <w:t xml:space="preserve">f the calibrator if the In-use Stability </w:t>
                  </w:r>
                  <w:r w:rsidR="004826D0" w:rsidRPr="004826D0">
                    <w:rPr>
                      <w:rFonts w:cs="Arial"/>
                      <w:bCs/>
                      <w:szCs w:val="20"/>
                    </w:rPr>
                    <w:t>has been exceeded.</w:t>
                  </w:r>
                </w:p>
              </w:tc>
            </w:tr>
            <w:tr w:rsidR="00234774" w:rsidRPr="00DC7421" w14:paraId="494EE744" w14:textId="77777777" w:rsidTr="00413A69">
              <w:tc>
                <w:tcPr>
                  <w:tcW w:w="2857" w:type="dxa"/>
                  <w:vAlign w:val="center"/>
                </w:tcPr>
                <w:p w14:paraId="7E34F0E1" w14:textId="591AC573" w:rsidR="00234774" w:rsidRPr="00DC7421" w:rsidRDefault="005B3AA5" w:rsidP="0081197E">
                  <w:pPr>
                    <w:pStyle w:val="BodyText"/>
                    <w:spacing w:after="0"/>
                    <w:rPr>
                      <w:rFonts w:cs="Arial"/>
                      <w:szCs w:val="20"/>
                    </w:rPr>
                  </w:pPr>
                  <w:r>
                    <w:rPr>
                      <w:rFonts w:cs="Arial"/>
                      <w:szCs w:val="20"/>
                    </w:rPr>
                    <w:t>Abbott Architect Cortisol Reagent Kit</w:t>
                  </w:r>
                </w:p>
              </w:tc>
              <w:tc>
                <w:tcPr>
                  <w:tcW w:w="1710" w:type="dxa"/>
                  <w:vAlign w:val="center"/>
                </w:tcPr>
                <w:p w14:paraId="5009F08F" w14:textId="233DCF33" w:rsidR="00234774" w:rsidRPr="00DC7421" w:rsidRDefault="005B3AA5" w:rsidP="0081197E">
                  <w:pPr>
                    <w:rPr>
                      <w:rFonts w:cs="Arial"/>
                      <w:szCs w:val="20"/>
                    </w:rPr>
                  </w:pPr>
                  <w:r>
                    <w:rPr>
                      <w:rFonts w:cs="Arial"/>
                      <w:szCs w:val="20"/>
                    </w:rPr>
                    <w:t>08D1525</w:t>
                  </w:r>
                </w:p>
              </w:tc>
              <w:tc>
                <w:tcPr>
                  <w:tcW w:w="4533" w:type="dxa"/>
                  <w:vAlign w:val="center"/>
                </w:tcPr>
                <w:p w14:paraId="3A6C4422" w14:textId="77777777" w:rsidR="005B3AA5" w:rsidRPr="00DC7421" w:rsidRDefault="005B3AA5" w:rsidP="005B3AA5">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Pr>
                      <w:rFonts w:ascii="Arial" w:hAnsi="Arial" w:cs="Arial"/>
                      <w:bCs/>
                    </w:rPr>
                    <w:t>-10°C or colder until manufacturer’s printed expiration date</w:t>
                  </w:r>
                </w:p>
                <w:p w14:paraId="667E9A6D" w14:textId="4CBE1635" w:rsidR="005B3AA5" w:rsidRPr="00DC7421" w:rsidRDefault="005B3AA5" w:rsidP="005B3AA5">
                  <w:pPr>
                    <w:pStyle w:val="Reagents"/>
                    <w:spacing w:after="80"/>
                    <w:rPr>
                      <w:rFonts w:ascii="Arial" w:hAnsi="Arial" w:cs="Arial"/>
                      <w:bCs/>
                    </w:rPr>
                  </w:pPr>
                  <w:r w:rsidRPr="00DC7421">
                    <w:rPr>
                      <w:rFonts w:ascii="Arial" w:hAnsi="Arial" w:cs="Arial"/>
                      <w:b/>
                      <w:bCs/>
                    </w:rPr>
                    <w:t xml:space="preserve">Unopened: </w:t>
                  </w:r>
                  <w:r w:rsidRPr="005B3AA5">
                    <w:rPr>
                      <w:rFonts w:ascii="Arial" w:hAnsi="Arial" w:cs="Arial"/>
                      <w:bCs/>
                    </w:rPr>
                    <w:t xml:space="preserve"> -10°C or colder until expiration date</w:t>
                  </w:r>
                </w:p>
                <w:p w14:paraId="285E6B80" w14:textId="21F72BC7" w:rsidR="00234774" w:rsidRPr="00DC7421" w:rsidRDefault="005B3AA5" w:rsidP="005B3AA5">
                  <w:pPr>
                    <w:pStyle w:val="Reagents"/>
                    <w:spacing w:after="80"/>
                    <w:rPr>
                      <w:rFonts w:ascii="Arial" w:hAnsi="Arial" w:cs="Arial"/>
                      <w:b/>
                      <w:bCs/>
                    </w:rPr>
                  </w:pPr>
                  <w:r w:rsidRPr="005B3AA5">
                    <w:rPr>
                      <w:rFonts w:ascii="Arial" w:hAnsi="Arial" w:cs="Arial"/>
                      <w:b/>
                      <w:bCs/>
                    </w:rPr>
                    <w:t>Opened expiration</w:t>
                  </w:r>
                  <w:r w:rsidRPr="00DC7421">
                    <w:rPr>
                      <w:rFonts w:cs="Arial"/>
                      <w:b/>
                      <w:bCs/>
                    </w:rPr>
                    <w:t xml:space="preserve">: </w:t>
                  </w:r>
                  <w:r w:rsidRPr="005B3AA5">
                    <w:rPr>
                      <w:rFonts w:ascii="Arial" w:hAnsi="Arial" w:cs="Arial"/>
                      <w:bCs/>
                    </w:rPr>
                    <w:t>2 to 8°C up to 90 days after thawing. After use, return to refrigerated storage and tightly cap with new replacement cap</w:t>
                  </w:r>
                </w:p>
              </w:tc>
            </w:tr>
            <w:tr w:rsidR="00276E30" w:rsidRPr="00DC7421" w14:paraId="362C1E7F" w14:textId="77777777" w:rsidTr="00413A69">
              <w:tc>
                <w:tcPr>
                  <w:tcW w:w="2857" w:type="dxa"/>
                  <w:vAlign w:val="center"/>
                </w:tcPr>
                <w:p w14:paraId="45C354F0" w14:textId="04FAB30F" w:rsidR="00276E30" w:rsidRDefault="005B3AA5" w:rsidP="0081197E">
                  <w:pPr>
                    <w:pStyle w:val="BodyText"/>
                    <w:spacing w:after="0"/>
                    <w:rPr>
                      <w:rFonts w:cs="Arial"/>
                      <w:szCs w:val="20"/>
                    </w:rPr>
                  </w:pPr>
                  <w:r>
                    <w:rPr>
                      <w:rFonts w:cs="Arial"/>
                      <w:szCs w:val="20"/>
                    </w:rPr>
                    <w:t>Abbott Architect Cortisol Calibrator Kit</w:t>
                  </w:r>
                </w:p>
              </w:tc>
              <w:tc>
                <w:tcPr>
                  <w:tcW w:w="1710" w:type="dxa"/>
                  <w:vAlign w:val="center"/>
                </w:tcPr>
                <w:p w14:paraId="719E5BD8" w14:textId="154291C0" w:rsidR="00276E30" w:rsidRPr="00DC7421" w:rsidRDefault="005B3AA5" w:rsidP="0081197E">
                  <w:pPr>
                    <w:rPr>
                      <w:rFonts w:cs="Arial"/>
                      <w:szCs w:val="20"/>
                    </w:rPr>
                  </w:pPr>
                  <w:r>
                    <w:rPr>
                      <w:rFonts w:cs="Arial"/>
                      <w:szCs w:val="20"/>
                    </w:rPr>
                    <w:t>08D1502</w:t>
                  </w:r>
                </w:p>
              </w:tc>
              <w:tc>
                <w:tcPr>
                  <w:tcW w:w="4533" w:type="dxa"/>
                  <w:vAlign w:val="center"/>
                </w:tcPr>
                <w:p w14:paraId="091292BA" w14:textId="77777777" w:rsidR="005B3AA5" w:rsidRPr="00DC7421" w:rsidRDefault="005B3AA5" w:rsidP="005B3AA5">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Pr>
                      <w:rFonts w:ascii="Arial" w:hAnsi="Arial" w:cs="Arial"/>
                      <w:bCs/>
                    </w:rPr>
                    <w:t>-10°C or colder until manufacturer’s printed expiration date</w:t>
                  </w:r>
                </w:p>
                <w:p w14:paraId="28939EC5" w14:textId="32676E88" w:rsidR="005B3AA5" w:rsidRPr="005B3AA5" w:rsidRDefault="005B3AA5" w:rsidP="005B3AA5">
                  <w:pPr>
                    <w:pStyle w:val="Reagents"/>
                    <w:spacing w:after="80"/>
                    <w:rPr>
                      <w:rFonts w:ascii="Arial" w:hAnsi="Arial" w:cs="Arial"/>
                      <w:bCs/>
                    </w:rPr>
                  </w:pPr>
                  <w:r>
                    <w:rPr>
                      <w:rFonts w:ascii="Arial" w:hAnsi="Arial" w:cs="Arial"/>
                      <w:b/>
                      <w:bCs/>
                    </w:rPr>
                    <w:t>Unopened:</w:t>
                  </w:r>
                  <w:r w:rsidRPr="00EE30DA">
                    <w:rPr>
                      <w:rFonts w:ascii="Arial" w:hAnsi="Arial" w:cs="Arial"/>
                      <w:b/>
                      <w:bCs/>
                    </w:rPr>
                    <w:t xml:space="preserve"> </w:t>
                  </w:r>
                  <w:r w:rsidRPr="005B3AA5">
                    <w:rPr>
                      <w:rFonts w:ascii="Arial" w:hAnsi="Arial" w:cs="Arial"/>
                      <w:bCs/>
                    </w:rPr>
                    <w:t>-10°C or colder until expiration date</w:t>
                  </w:r>
                </w:p>
                <w:p w14:paraId="63365372" w14:textId="49212378" w:rsidR="00276E30" w:rsidRPr="00DC7421" w:rsidRDefault="005B3AA5" w:rsidP="00EA3C08">
                  <w:pPr>
                    <w:pStyle w:val="Reagents"/>
                    <w:spacing w:after="80"/>
                    <w:rPr>
                      <w:rFonts w:ascii="Arial" w:hAnsi="Arial" w:cs="Arial"/>
                      <w:b/>
                      <w:bCs/>
                    </w:rPr>
                  </w:pPr>
                  <w:r w:rsidRPr="005B3AA5">
                    <w:rPr>
                      <w:rFonts w:ascii="Arial" w:hAnsi="Arial" w:cs="Arial"/>
                      <w:b/>
                      <w:bCs/>
                    </w:rPr>
                    <w:t>Opened expiration</w:t>
                  </w:r>
                  <w:r w:rsidRPr="00DC7421">
                    <w:rPr>
                      <w:rFonts w:cs="Arial"/>
                      <w:b/>
                      <w:bCs/>
                    </w:rPr>
                    <w:t xml:space="preserve">: </w:t>
                  </w:r>
                  <w:r w:rsidR="00EA3C08" w:rsidRPr="00EA3C08">
                    <w:rPr>
                      <w:rFonts w:ascii="Arial" w:hAnsi="Arial" w:cs="Arial"/>
                      <w:bCs/>
                    </w:rPr>
                    <w:t>Thaw completely at room temperature (15-30°C) for 45-60 minutes.</w:t>
                  </w:r>
                  <w:r w:rsidR="00EA3C08">
                    <w:rPr>
                      <w:rFonts w:ascii="Arial" w:hAnsi="Arial" w:cs="Arial"/>
                      <w:bCs/>
                    </w:rPr>
                    <w:t xml:space="preserve"> </w:t>
                  </w:r>
                  <w:r w:rsidR="00EA3C08" w:rsidRPr="00EA3C08">
                    <w:rPr>
                      <w:rFonts w:ascii="Arial" w:hAnsi="Arial" w:cs="Arial"/>
                      <w:bCs/>
                    </w:rPr>
                    <w:t xml:space="preserve">Prior to use, mix </w:t>
                  </w:r>
                  <w:r w:rsidR="00EA3C08">
                    <w:rPr>
                      <w:rFonts w:ascii="Arial" w:hAnsi="Arial" w:cs="Arial"/>
                      <w:bCs/>
                    </w:rPr>
                    <w:t>thoroughly</w:t>
                  </w:r>
                  <w:r w:rsidR="00EA3C08" w:rsidRPr="00EA3C08">
                    <w:rPr>
                      <w:rFonts w:ascii="Arial" w:hAnsi="Arial" w:cs="Arial"/>
                      <w:bCs/>
                    </w:rPr>
                    <w:t xml:space="preserve"> by inversion 5-10 times.</w:t>
                  </w:r>
                  <w:r w:rsidR="00EA3C08">
                    <w:rPr>
                      <w:rFonts w:ascii="Arial" w:hAnsi="Arial" w:cs="Arial"/>
                      <w:bCs/>
                    </w:rPr>
                    <w:t xml:space="preserve"> </w:t>
                  </w:r>
                  <w:r w:rsidR="00EA3C08" w:rsidRPr="00EA3C08">
                    <w:rPr>
                      <w:rFonts w:ascii="Arial" w:hAnsi="Arial" w:cs="Arial"/>
                      <w:bCs/>
                    </w:rPr>
                    <w:t>After each use, immediately return the thawed calibrators to</w:t>
                  </w:r>
                  <w:r w:rsidR="00EA3C08">
                    <w:rPr>
                      <w:rFonts w:ascii="Arial" w:hAnsi="Arial" w:cs="Arial"/>
                      <w:bCs/>
                    </w:rPr>
                    <w:t xml:space="preserve"> </w:t>
                  </w:r>
                  <w:r w:rsidR="00EA3C08" w:rsidRPr="00EA3C08">
                    <w:rPr>
                      <w:rFonts w:ascii="Arial" w:hAnsi="Arial" w:cs="Arial"/>
                      <w:bCs/>
                    </w:rPr>
                    <w:t>refrigerated storage (2-8°C) for up to 90 days after thaw.</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EA3C08">
        <w:trPr>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05C97A8A" w14:textId="0AAEE5E2" w:rsidR="009475C8" w:rsidRDefault="00EA3C08">
            <w:pPr>
              <w:rPr>
                <w:szCs w:val="20"/>
              </w:rPr>
            </w:pPr>
            <w:r>
              <w:rPr>
                <w:szCs w:val="20"/>
              </w:rPr>
              <w:t>No special disposal of reagents or calibrators indicated.</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2"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lastRenderedPageBreak/>
              <w:t>Calibration</w:t>
            </w:r>
          </w:p>
        </w:tc>
        <w:tc>
          <w:tcPr>
            <w:tcW w:w="9360" w:type="dxa"/>
            <w:gridSpan w:val="4"/>
            <w:tcBorders>
              <w:top w:val="single" w:sz="18" w:space="0" w:color="BFBFBF"/>
              <w:left w:val="nil"/>
              <w:bottom w:val="single" w:sz="18" w:space="0" w:color="BFBFBF"/>
              <w:right w:val="nil"/>
            </w:tcBorders>
          </w:tcPr>
          <w:p w14:paraId="29D65B97" w14:textId="4677474A" w:rsidR="00EA3C08" w:rsidRPr="00EA3C08" w:rsidRDefault="00EA3C08" w:rsidP="00EA3C08">
            <w:pPr>
              <w:autoSpaceDE w:val="0"/>
              <w:autoSpaceDN w:val="0"/>
              <w:adjustRightInd w:val="0"/>
            </w:pPr>
            <w:r w:rsidRPr="00DC7421">
              <w:rPr>
                <w:rFonts w:cs="Arial"/>
                <w:b/>
                <w:bCs/>
                <w:color w:val="7030A0"/>
              </w:rPr>
              <w:t>Alinity c</w:t>
            </w:r>
            <w:r>
              <w:rPr>
                <w:rFonts w:cs="Arial"/>
                <w:b/>
                <w:bCs/>
                <w:color w:val="7030A0"/>
              </w:rPr>
              <w:t xml:space="preserve"> </w:t>
            </w:r>
            <w:r w:rsidRPr="00276E30">
              <w:rPr>
                <w:rFonts w:cs="Arial"/>
                <w:b/>
                <w:bCs/>
              </w:rPr>
              <w:t>and</w:t>
            </w:r>
            <w:r>
              <w:rPr>
                <w:rFonts w:cs="Arial"/>
                <w:b/>
                <w:bCs/>
                <w:color w:val="984806" w:themeColor="accent6" w:themeShade="80"/>
                <w:szCs w:val="20"/>
              </w:rPr>
              <w:t xml:space="preserve"> Architect i1000:</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7DC3355E" w:rsidR="00F50200" w:rsidRPr="00DC7421" w:rsidRDefault="0099642E" w:rsidP="00A32948">
                  <w:pPr>
                    <w:pStyle w:val="CalVerTable"/>
                    <w:ind w:left="0" w:firstLine="0"/>
                    <w:rPr>
                      <w:rFonts w:ascii="Arial" w:hAnsi="Arial" w:cs="Arial"/>
                    </w:rPr>
                  </w:pPr>
                  <w:r>
                    <w:rPr>
                      <w:rFonts w:ascii="Arial" w:hAnsi="Arial" w:cs="Arial"/>
                    </w:rPr>
                    <w:t>1.0 – 59.8</w:t>
                  </w:r>
                  <w:r w:rsidR="003B32FF">
                    <w:rPr>
                      <w:rFonts w:ascii="Arial" w:hAnsi="Arial" w:cs="Arial"/>
                    </w:rPr>
                    <w:t xml:space="preserve"> µg/dL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100C1773" w:rsidR="00F50200" w:rsidRPr="00DC7421" w:rsidRDefault="003B32FF" w:rsidP="00440E37">
                  <w:pPr>
                    <w:pStyle w:val="BodyText"/>
                    <w:rPr>
                      <w:rFonts w:cs="Arial"/>
                      <w:szCs w:val="20"/>
                    </w:rPr>
                  </w:pPr>
                  <w:r>
                    <w:rPr>
                      <w:rFonts w:cs="Arial"/>
                      <w:szCs w:val="20"/>
                    </w:rPr>
                    <w:t>Abbott Alinity i or Architect Calibrator Kits</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3AEC53C5" w14:textId="77777777" w:rsidR="005B66A7" w:rsidRDefault="003B32FF" w:rsidP="001D1786">
                  <w:pPr>
                    <w:pStyle w:val="CalVerTable"/>
                    <w:ind w:left="0" w:firstLine="0"/>
                    <w:rPr>
                      <w:rFonts w:ascii="Arial" w:hAnsi="Arial" w:cs="Arial"/>
                    </w:rPr>
                  </w:pPr>
                  <w:r>
                    <w:rPr>
                      <w:rFonts w:ascii="Arial" w:hAnsi="Arial" w:cs="Arial"/>
                    </w:rPr>
                    <w:t>CAL A: 0.0</w:t>
                  </w:r>
                </w:p>
                <w:p w14:paraId="6C9A5F05" w14:textId="77777777" w:rsidR="003B32FF" w:rsidRDefault="003B32FF" w:rsidP="001D1786">
                  <w:pPr>
                    <w:pStyle w:val="CalVerTable"/>
                    <w:ind w:left="0" w:firstLine="0"/>
                    <w:rPr>
                      <w:rFonts w:ascii="Arial" w:hAnsi="Arial" w:cs="Arial"/>
                    </w:rPr>
                  </w:pPr>
                  <w:r>
                    <w:rPr>
                      <w:rFonts w:ascii="Arial" w:hAnsi="Arial" w:cs="Arial"/>
                    </w:rPr>
                    <w:t>CAL B: 3.0</w:t>
                  </w:r>
                </w:p>
                <w:p w14:paraId="1787ECB4" w14:textId="77777777" w:rsidR="003B32FF" w:rsidRDefault="003B32FF" w:rsidP="001D1786">
                  <w:pPr>
                    <w:pStyle w:val="CalVerTable"/>
                    <w:ind w:left="0" w:firstLine="0"/>
                    <w:rPr>
                      <w:rFonts w:ascii="Arial" w:hAnsi="Arial" w:cs="Arial"/>
                    </w:rPr>
                  </w:pPr>
                  <w:r>
                    <w:rPr>
                      <w:rFonts w:ascii="Arial" w:hAnsi="Arial" w:cs="Arial"/>
                    </w:rPr>
                    <w:t>CAL C: 5.4</w:t>
                  </w:r>
                </w:p>
                <w:p w14:paraId="4694B5F8" w14:textId="77777777" w:rsidR="003B32FF" w:rsidRDefault="003B32FF" w:rsidP="001D1786">
                  <w:pPr>
                    <w:pStyle w:val="CalVerTable"/>
                    <w:ind w:left="0" w:firstLine="0"/>
                    <w:rPr>
                      <w:rFonts w:ascii="Arial" w:hAnsi="Arial" w:cs="Arial"/>
                    </w:rPr>
                  </w:pPr>
                  <w:r>
                    <w:rPr>
                      <w:rFonts w:ascii="Arial" w:hAnsi="Arial" w:cs="Arial"/>
                    </w:rPr>
                    <w:t>CAL D: 10.7</w:t>
                  </w:r>
                </w:p>
                <w:p w14:paraId="2AE87733" w14:textId="77777777" w:rsidR="003B32FF" w:rsidRDefault="003B32FF" w:rsidP="001D1786">
                  <w:pPr>
                    <w:pStyle w:val="CalVerTable"/>
                    <w:ind w:left="0" w:firstLine="0"/>
                    <w:rPr>
                      <w:rFonts w:ascii="Arial" w:hAnsi="Arial" w:cs="Arial"/>
                    </w:rPr>
                  </w:pPr>
                  <w:r>
                    <w:rPr>
                      <w:rFonts w:ascii="Arial" w:hAnsi="Arial" w:cs="Arial"/>
                    </w:rPr>
                    <w:t>CAL E: 25.2</w:t>
                  </w:r>
                </w:p>
                <w:p w14:paraId="5CCFFFE0" w14:textId="15959D57" w:rsidR="003B32FF" w:rsidRPr="00DC7421" w:rsidRDefault="003B32FF" w:rsidP="001D1786">
                  <w:pPr>
                    <w:pStyle w:val="CalVerTable"/>
                    <w:ind w:left="0" w:firstLine="0"/>
                    <w:rPr>
                      <w:rFonts w:ascii="Arial" w:hAnsi="Arial" w:cs="Arial"/>
                    </w:rPr>
                  </w:pPr>
                  <w:r>
                    <w:rPr>
                      <w:rFonts w:ascii="Arial" w:hAnsi="Arial" w:cs="Arial"/>
                    </w:rPr>
                    <w:t>CAL F: 59.8</w:t>
                  </w:r>
                </w:p>
              </w:tc>
            </w:tr>
            <w:tr w:rsidR="00F50200" w:rsidRPr="00DC7421" w14:paraId="5CCFFFE4" w14:textId="77777777" w:rsidTr="001C1CFA">
              <w:tc>
                <w:tcPr>
                  <w:tcW w:w="2947" w:type="dxa"/>
                </w:tcPr>
                <w:p w14:paraId="5CCFFFE2" w14:textId="3331B911"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524009A0" w:rsidR="00F50200" w:rsidRPr="00DC7421" w:rsidRDefault="003B32FF" w:rsidP="005B66A7">
                  <w:pPr>
                    <w:pStyle w:val="CalVerTable"/>
                    <w:ind w:left="0" w:firstLine="0"/>
                    <w:rPr>
                      <w:rFonts w:ascii="Arial" w:hAnsi="Arial" w:cs="Arial"/>
                    </w:rPr>
                  </w:pPr>
                  <w:r>
                    <w:rPr>
                      <w:rFonts w:ascii="Arial" w:hAnsi="Arial" w:cs="Arial"/>
                    </w:rPr>
                    <w:t>6</w:t>
                  </w:r>
                  <w:r w:rsidR="009475C8">
                    <w:rPr>
                      <w:rFonts w:ascii="Arial" w:hAnsi="Arial" w:cs="Arial"/>
                    </w:rPr>
                    <w:t xml:space="preserve"> Levels</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463FA66A" w:rsidR="00F50200" w:rsidRPr="00DC7421" w:rsidRDefault="003B32FF" w:rsidP="004A698D">
                  <w:pPr>
                    <w:pStyle w:val="Pa10"/>
                    <w:rPr>
                      <w:rFonts w:ascii="Arial" w:hAnsi="Arial" w:cs="Arial"/>
                      <w:sz w:val="20"/>
                      <w:szCs w:val="20"/>
                    </w:rPr>
                  </w:pPr>
                  <w:r w:rsidRPr="003B32FF">
                    <w:rPr>
                      <w:rFonts w:ascii="Arial" w:hAnsi="Arial" w:cs="Arial"/>
                      <w:sz w:val="20"/>
                      <w:szCs w:val="20"/>
                    </w:rPr>
                    <w:t>With every new lot number, after maintenance</w:t>
                  </w:r>
                  <w:r>
                    <w:rPr>
                      <w:rFonts w:ascii="Arial" w:hAnsi="Arial" w:cs="Arial"/>
                      <w:sz w:val="20"/>
                      <w:szCs w:val="20"/>
                    </w:rPr>
                    <w:t xml:space="preserve"> on</w:t>
                  </w:r>
                  <w:r w:rsidRPr="003B32FF">
                    <w:rPr>
                      <w:rFonts w:ascii="Arial" w:hAnsi="Arial" w:cs="Arial"/>
                      <w:sz w:val="20"/>
                      <w:szCs w:val="20"/>
                    </w:rPr>
                    <w:t xml:space="preserve"> or service of major instrument parts, as indicated by quality controls, and as directed by field service representatives.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00D08D68" w:rsidR="00F50200" w:rsidRPr="00DC7421" w:rsidRDefault="009475C8" w:rsidP="003B32FF">
                  <w:pPr>
                    <w:autoSpaceDE w:val="0"/>
                    <w:autoSpaceDN w:val="0"/>
                    <w:adjustRightInd w:val="0"/>
                    <w:rPr>
                      <w:rFonts w:cs="Arial"/>
                      <w:szCs w:val="20"/>
                    </w:rPr>
                  </w:pPr>
                  <w:r w:rsidRPr="00DC7421">
                    <w:rPr>
                      <w:rFonts w:cs="Arial"/>
                      <w:szCs w:val="20"/>
                    </w:rPr>
                    <w:t xml:space="preserve">AMR is verified </w:t>
                  </w:r>
                  <w:r w:rsidR="003B32FF">
                    <w:rPr>
                      <w:rFonts w:cs="Arial"/>
                      <w:szCs w:val="20"/>
                    </w:rPr>
                    <w:t>with every calibration and at least every 6 months.</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45DE468D" w14:textId="77777777" w:rsidR="003B32FF" w:rsidRDefault="003B32FF" w:rsidP="003B32FF">
            <w:pPr>
              <w:autoSpaceDE w:val="0"/>
              <w:autoSpaceDN w:val="0"/>
              <w:adjustRightInd w:val="0"/>
              <w:rPr>
                <w:rFonts w:cs="Arial"/>
                <w:b/>
                <w:bCs/>
                <w:color w:val="984806" w:themeColor="accent6" w:themeShade="80"/>
                <w:szCs w:val="20"/>
              </w:rPr>
            </w:pPr>
            <w:r w:rsidRPr="00DC7421">
              <w:rPr>
                <w:rFonts w:cs="Arial"/>
                <w:b/>
                <w:bCs/>
                <w:color w:val="7030A0"/>
              </w:rPr>
              <w:t>Alinity c</w:t>
            </w:r>
            <w:r>
              <w:rPr>
                <w:rFonts w:cs="Arial"/>
                <w:b/>
                <w:bCs/>
                <w:color w:val="7030A0"/>
              </w:rPr>
              <w:t xml:space="preserve"> </w:t>
            </w:r>
            <w:r w:rsidRPr="00276E30">
              <w:rPr>
                <w:rFonts w:cs="Arial"/>
                <w:b/>
                <w:bCs/>
              </w:rPr>
              <w:t>and</w:t>
            </w:r>
            <w:r>
              <w:rPr>
                <w:rFonts w:cs="Arial"/>
                <w:b/>
                <w:bCs/>
                <w:color w:val="984806" w:themeColor="accent6" w:themeShade="80"/>
                <w:szCs w:val="20"/>
              </w:rPr>
              <w:t xml:space="preserve"> Architect i1000:</w:t>
            </w:r>
          </w:p>
          <w:p w14:paraId="4B1D0F56" w14:textId="10228DD2" w:rsidR="003B32FF" w:rsidRDefault="003B32FF" w:rsidP="003B32FF">
            <w:pPr>
              <w:autoSpaceDE w:val="0"/>
              <w:autoSpaceDN w:val="0"/>
              <w:adjustRightInd w:val="0"/>
              <w:rPr>
                <w:szCs w:val="20"/>
              </w:rPr>
            </w:pPr>
            <w:r>
              <w:rPr>
                <w:rFonts w:cs="Arial"/>
                <w:b/>
                <w:bCs/>
                <w:szCs w:val="20"/>
              </w:rPr>
              <w:t xml:space="preserve">QC Materials: </w:t>
            </w:r>
            <w:r>
              <w:rPr>
                <w:szCs w:val="20"/>
              </w:rPr>
              <w:t xml:space="preserve">BioRad Liquichek Immunoassay Plus Levels 1,2 and 3 </w:t>
            </w:r>
          </w:p>
          <w:p w14:paraId="34E23DB8" w14:textId="77777777" w:rsidR="003B32FF" w:rsidRDefault="003B32FF" w:rsidP="003B32FF">
            <w:pPr>
              <w:pStyle w:val="Default"/>
              <w:rPr>
                <w:sz w:val="20"/>
                <w:szCs w:val="20"/>
              </w:rPr>
            </w:pPr>
          </w:p>
          <w:p w14:paraId="66668FC3" w14:textId="77777777" w:rsidR="003B32FF" w:rsidRDefault="003B32FF" w:rsidP="003B32FF">
            <w:pPr>
              <w:pStyle w:val="Default"/>
              <w:rPr>
                <w:sz w:val="20"/>
                <w:szCs w:val="20"/>
              </w:rPr>
            </w:pPr>
            <w:r>
              <w:rPr>
                <w:b/>
                <w:bCs/>
                <w:sz w:val="20"/>
                <w:szCs w:val="20"/>
              </w:rPr>
              <w:t xml:space="preserve">Frequency: </w:t>
            </w:r>
            <w:r>
              <w:rPr>
                <w:sz w:val="20"/>
                <w:szCs w:val="20"/>
              </w:rPr>
              <w:t xml:space="preserve">Three levels each day of use. </w:t>
            </w:r>
          </w:p>
          <w:p w14:paraId="07A61677" w14:textId="77777777" w:rsidR="003B32FF" w:rsidRDefault="003B32FF" w:rsidP="003B32FF">
            <w:pPr>
              <w:pStyle w:val="Default"/>
              <w:rPr>
                <w:sz w:val="20"/>
                <w:szCs w:val="20"/>
              </w:rPr>
            </w:pPr>
          </w:p>
          <w:p w14:paraId="09B898EB" w14:textId="77777777" w:rsidR="003B32FF" w:rsidRDefault="003B32FF" w:rsidP="003B32FF">
            <w:pPr>
              <w:pStyle w:val="Default"/>
              <w:rPr>
                <w:sz w:val="20"/>
                <w:szCs w:val="20"/>
              </w:rPr>
            </w:pPr>
            <w:r>
              <w:rPr>
                <w:b/>
                <w:bCs/>
                <w:sz w:val="20"/>
                <w:szCs w:val="20"/>
              </w:rPr>
              <w:t xml:space="preserve">Stability: </w:t>
            </w:r>
            <w:r>
              <w:rPr>
                <w:sz w:val="20"/>
                <w:szCs w:val="20"/>
              </w:rPr>
              <w:t>5 Days at 2-8°C (due to the inclusion of Estradiol in the control) at 2-8°C</w:t>
            </w:r>
          </w:p>
          <w:p w14:paraId="09CF2001" w14:textId="77777777" w:rsidR="003B32FF" w:rsidRDefault="003B32FF" w:rsidP="003B32FF">
            <w:pPr>
              <w:pStyle w:val="Default"/>
              <w:rPr>
                <w:sz w:val="20"/>
                <w:szCs w:val="20"/>
              </w:rPr>
            </w:pPr>
          </w:p>
          <w:p w14:paraId="6A0B756A" w14:textId="77777777" w:rsidR="003B32FF" w:rsidRDefault="003B32FF" w:rsidP="003B32FF">
            <w:pPr>
              <w:pStyle w:val="Default"/>
              <w:rPr>
                <w:sz w:val="20"/>
                <w:szCs w:val="20"/>
              </w:rPr>
            </w:pPr>
            <w:r>
              <w:rPr>
                <w:b/>
                <w:bCs/>
                <w:sz w:val="20"/>
                <w:szCs w:val="20"/>
              </w:rPr>
              <w:t>Preparation</w:t>
            </w:r>
            <w:r>
              <w:rPr>
                <w:sz w:val="20"/>
                <w:szCs w:val="20"/>
              </w:rPr>
              <w:t xml:space="preserve">: Let vials thaw for 30 minutes at room temperature and gently swirl to ensure homogeneity. Do not allow to stand at room temperature longer than 20 minutes after completely thawed.   </w:t>
            </w:r>
          </w:p>
          <w:p w14:paraId="54A46668" w14:textId="77777777" w:rsidR="003B32FF" w:rsidRDefault="003B32FF" w:rsidP="003B32FF">
            <w:pPr>
              <w:pStyle w:val="Default"/>
              <w:rPr>
                <w:sz w:val="20"/>
                <w:szCs w:val="20"/>
              </w:rPr>
            </w:pPr>
          </w:p>
          <w:p w14:paraId="41F98A22" w14:textId="77777777" w:rsidR="003B32FF" w:rsidRPr="00DC7421" w:rsidRDefault="003B32FF" w:rsidP="003B32FF">
            <w:pPr>
              <w:jc w:val="both"/>
              <w:rPr>
                <w:rFonts w:cs="Arial"/>
                <w:szCs w:val="20"/>
              </w:rPr>
            </w:pPr>
            <w:r w:rsidRPr="00DC7421">
              <w:rPr>
                <w:rFonts w:cs="Arial"/>
                <w:b/>
                <w:bCs/>
                <w:szCs w:val="20"/>
              </w:rPr>
              <w:t>Acceptable ranges:</w:t>
            </w:r>
            <w:r w:rsidRPr="00DC7421">
              <w:rPr>
                <w:rFonts w:cs="Arial"/>
                <w:szCs w:val="20"/>
              </w:rPr>
              <w:t xml:space="preserve"> </w:t>
            </w:r>
          </w:p>
          <w:p w14:paraId="1D3518D7" w14:textId="77777777" w:rsidR="003B32FF" w:rsidRPr="00DC7421" w:rsidRDefault="003B32FF" w:rsidP="003B32FF">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1906A575" w14:textId="77777777" w:rsidR="003B32FF" w:rsidRPr="00DC7421" w:rsidRDefault="003B32FF" w:rsidP="003B32FF">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2F063992" w14:textId="77777777" w:rsidR="003B32FF" w:rsidRPr="00DC7421" w:rsidRDefault="003B32FF" w:rsidP="003B32FF">
            <w:pPr>
              <w:pStyle w:val="ListParagraph"/>
              <w:numPr>
                <w:ilvl w:val="0"/>
                <w:numId w:val="19"/>
              </w:numPr>
              <w:jc w:val="both"/>
              <w:rPr>
                <w:rFonts w:cs="Arial"/>
                <w:szCs w:val="20"/>
              </w:rPr>
            </w:pPr>
            <w:r w:rsidRPr="00DC7421">
              <w:rPr>
                <w:rFonts w:cs="Arial"/>
                <w:szCs w:val="20"/>
              </w:rPr>
              <w:t>Refer to the Westgard Rules in C</w:t>
            </w:r>
            <w:r>
              <w:rPr>
                <w:rFonts w:cs="Arial"/>
                <w:szCs w:val="20"/>
              </w:rPr>
              <w:t xml:space="preserve">hemistry procedure </w:t>
            </w:r>
            <w:r w:rsidRPr="00DC7421">
              <w:rPr>
                <w:rFonts w:cs="Arial"/>
                <w:szCs w:val="20"/>
              </w:rPr>
              <w:t xml:space="preserve">for current Westgard rules in place for each analyte.  </w:t>
            </w:r>
          </w:p>
          <w:p w14:paraId="1CDB5522" w14:textId="77777777" w:rsidR="003B32FF" w:rsidRPr="00DC7421" w:rsidRDefault="003B32FF" w:rsidP="003B32FF">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255DAA95" w14:textId="77777777" w:rsidR="003B32FF" w:rsidRPr="00DC7421" w:rsidRDefault="003B32FF" w:rsidP="003B32FF">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1565D692" w14:textId="77777777" w:rsidR="003B32FF" w:rsidRDefault="003B32FF" w:rsidP="003B32FF">
            <w:pPr>
              <w:autoSpaceDE w:val="0"/>
              <w:autoSpaceDN w:val="0"/>
              <w:adjustRightInd w:val="0"/>
              <w:ind w:left="360"/>
              <w:jc w:val="both"/>
              <w:rPr>
                <w:rFonts w:cs="Arial"/>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1DC1E6AC" w14:textId="77777777" w:rsidR="00867FBC" w:rsidRDefault="00867FBC" w:rsidP="00867FBC">
            <w:pPr>
              <w:autoSpaceDE w:val="0"/>
              <w:autoSpaceDN w:val="0"/>
              <w:adjustRightInd w:val="0"/>
              <w:rPr>
                <w:rFonts w:cs="Arial"/>
                <w:b/>
                <w:bCs/>
                <w:color w:val="984806" w:themeColor="accent6" w:themeShade="80"/>
                <w:szCs w:val="20"/>
              </w:rPr>
            </w:pPr>
            <w:r w:rsidRPr="00DC7421">
              <w:rPr>
                <w:rFonts w:cs="Arial"/>
                <w:b/>
                <w:bCs/>
                <w:color w:val="7030A0"/>
              </w:rPr>
              <w:t>Alinity c</w:t>
            </w:r>
            <w:r>
              <w:rPr>
                <w:rFonts w:cs="Arial"/>
                <w:b/>
                <w:bCs/>
                <w:color w:val="7030A0"/>
              </w:rPr>
              <w:t xml:space="preserve"> </w:t>
            </w:r>
            <w:r w:rsidRPr="00276E30">
              <w:rPr>
                <w:rFonts w:cs="Arial"/>
                <w:b/>
                <w:bCs/>
              </w:rPr>
              <w:t>and</w:t>
            </w:r>
            <w:r>
              <w:rPr>
                <w:rFonts w:cs="Arial"/>
                <w:b/>
                <w:bCs/>
                <w:color w:val="984806" w:themeColor="accent6" w:themeShade="80"/>
                <w:szCs w:val="20"/>
              </w:rPr>
              <w:t xml:space="preserve"> Architect i1000:</w:t>
            </w:r>
          </w:p>
          <w:p w14:paraId="08842D25" w14:textId="758E7270" w:rsidR="00867FBC" w:rsidRPr="00867FBC" w:rsidRDefault="00867FBC" w:rsidP="00867FBC">
            <w:pPr>
              <w:autoSpaceDE w:val="0"/>
              <w:autoSpaceDN w:val="0"/>
              <w:adjustRightInd w:val="0"/>
              <w:rPr>
                <w:rFonts w:cs="Arial"/>
                <w:szCs w:val="20"/>
              </w:rPr>
            </w:pPr>
            <w:r w:rsidRPr="00867FBC">
              <w:rPr>
                <w:rFonts w:cs="Arial"/>
                <w:szCs w:val="20"/>
              </w:rPr>
              <w:t>A study based on guidance from the CLSI Protocol EP07-A2. Serum</w:t>
            </w:r>
            <w:r>
              <w:rPr>
                <w:rFonts w:cs="Arial"/>
                <w:szCs w:val="20"/>
              </w:rPr>
              <w:t xml:space="preserve"> </w:t>
            </w:r>
            <w:r w:rsidRPr="00867FBC">
              <w:rPr>
                <w:rFonts w:cs="Arial"/>
                <w:szCs w:val="20"/>
              </w:rPr>
              <w:t>specimens with cortisol levels betwe</w:t>
            </w:r>
            <w:r>
              <w:rPr>
                <w:rFonts w:cs="Arial"/>
                <w:szCs w:val="20"/>
              </w:rPr>
              <w:t>en 5.1 and 34.2 μg/dL</w:t>
            </w:r>
            <w:r w:rsidRPr="00867FBC">
              <w:rPr>
                <w:rFonts w:cs="Arial"/>
                <w:szCs w:val="20"/>
              </w:rPr>
              <w:t xml:space="preserve"> were</w:t>
            </w:r>
            <w:r>
              <w:rPr>
                <w:rFonts w:cs="Arial"/>
                <w:szCs w:val="20"/>
              </w:rPr>
              <w:t xml:space="preserve"> </w:t>
            </w:r>
            <w:r w:rsidRPr="00867FBC">
              <w:rPr>
                <w:rFonts w:cs="Arial"/>
                <w:szCs w:val="20"/>
              </w:rPr>
              <w:t>supplemented with the following potentially interfering compounds.</w:t>
            </w:r>
          </w:p>
          <w:p w14:paraId="32BB2795" w14:textId="56DD8A4C" w:rsidR="00867FBC" w:rsidRDefault="00867FBC" w:rsidP="00867FBC">
            <w:pPr>
              <w:autoSpaceDE w:val="0"/>
              <w:autoSpaceDN w:val="0"/>
              <w:adjustRightInd w:val="0"/>
              <w:rPr>
                <w:rFonts w:cs="Arial"/>
                <w:szCs w:val="20"/>
              </w:rPr>
            </w:pPr>
            <w:r w:rsidRPr="00867FBC">
              <w:rPr>
                <w:rFonts w:cs="Arial"/>
                <w:szCs w:val="20"/>
              </w:rPr>
              <w:t>The average amount of interference observed during the study</w:t>
            </w:r>
            <w:r>
              <w:rPr>
                <w:rFonts w:cs="Arial"/>
                <w:szCs w:val="20"/>
              </w:rPr>
              <w:t xml:space="preserve"> ranged from -7.8% to 13.2%.</w:t>
            </w:r>
          </w:p>
          <w:p w14:paraId="0C0F6346" w14:textId="77777777" w:rsidR="00867FBC" w:rsidRDefault="00867FBC" w:rsidP="00867FBC">
            <w:pPr>
              <w:autoSpaceDE w:val="0"/>
              <w:autoSpaceDN w:val="0"/>
              <w:adjustRightInd w:val="0"/>
              <w:rPr>
                <w:rFonts w:cs="Arial"/>
                <w:szCs w:val="20"/>
              </w:rPr>
            </w:pPr>
          </w:p>
          <w:p w14:paraId="68214096" w14:textId="41C15C15" w:rsidR="00867FBC" w:rsidRPr="00867FBC" w:rsidRDefault="00867FBC" w:rsidP="00867FBC">
            <w:pPr>
              <w:autoSpaceDE w:val="0"/>
              <w:autoSpaceDN w:val="0"/>
              <w:adjustRightInd w:val="0"/>
              <w:rPr>
                <w:rFonts w:cs="Arial"/>
                <w:szCs w:val="20"/>
              </w:rPr>
            </w:pPr>
            <w:r w:rsidRPr="00867FBC">
              <w:rPr>
                <w:rFonts w:cs="Arial"/>
                <w:szCs w:val="20"/>
              </w:rPr>
              <w:t>Bilirubin 20 mg/dL</w:t>
            </w:r>
          </w:p>
          <w:p w14:paraId="5EB7B945" w14:textId="77777777" w:rsidR="00867FBC" w:rsidRPr="00867FBC" w:rsidRDefault="00867FBC" w:rsidP="00867FBC">
            <w:pPr>
              <w:autoSpaceDE w:val="0"/>
              <w:autoSpaceDN w:val="0"/>
              <w:adjustRightInd w:val="0"/>
              <w:rPr>
                <w:rFonts w:cs="Arial"/>
                <w:szCs w:val="20"/>
              </w:rPr>
            </w:pPr>
            <w:r w:rsidRPr="00867FBC">
              <w:rPr>
                <w:rFonts w:cs="Arial"/>
                <w:szCs w:val="20"/>
              </w:rPr>
              <w:t>Hemoglobin 500 mg/dL</w:t>
            </w:r>
          </w:p>
          <w:p w14:paraId="494B72CB" w14:textId="77777777" w:rsidR="00867FBC" w:rsidRPr="00867FBC" w:rsidRDefault="00867FBC" w:rsidP="00867FBC">
            <w:pPr>
              <w:autoSpaceDE w:val="0"/>
              <w:autoSpaceDN w:val="0"/>
              <w:adjustRightInd w:val="0"/>
              <w:rPr>
                <w:rFonts w:cs="Arial"/>
                <w:szCs w:val="20"/>
              </w:rPr>
            </w:pPr>
            <w:r w:rsidRPr="00867FBC">
              <w:rPr>
                <w:rFonts w:cs="Arial"/>
                <w:szCs w:val="20"/>
              </w:rPr>
              <w:t>Total Protein (Low) 3 g/dL</w:t>
            </w:r>
          </w:p>
          <w:p w14:paraId="6E7FB0B5" w14:textId="77777777" w:rsidR="00867FBC" w:rsidRPr="00867FBC" w:rsidRDefault="00867FBC" w:rsidP="00867FBC">
            <w:pPr>
              <w:autoSpaceDE w:val="0"/>
              <w:autoSpaceDN w:val="0"/>
              <w:adjustRightInd w:val="0"/>
              <w:rPr>
                <w:rFonts w:cs="Arial"/>
                <w:szCs w:val="20"/>
              </w:rPr>
            </w:pPr>
            <w:r w:rsidRPr="00867FBC">
              <w:rPr>
                <w:rFonts w:cs="Arial"/>
                <w:szCs w:val="20"/>
              </w:rPr>
              <w:t>Total Protein (High) 10 g/dL</w:t>
            </w:r>
          </w:p>
          <w:p w14:paraId="15327D98" w14:textId="77777777" w:rsidR="000244AC" w:rsidRDefault="00867FBC" w:rsidP="00867FBC">
            <w:pPr>
              <w:autoSpaceDE w:val="0"/>
              <w:autoSpaceDN w:val="0"/>
              <w:adjustRightInd w:val="0"/>
              <w:rPr>
                <w:rFonts w:cs="Arial"/>
                <w:szCs w:val="20"/>
              </w:rPr>
            </w:pPr>
            <w:r w:rsidRPr="00867FBC">
              <w:rPr>
                <w:rFonts w:cs="Arial"/>
                <w:szCs w:val="20"/>
              </w:rPr>
              <w:t>Triglycerides 2000 mg/dL</w:t>
            </w:r>
          </w:p>
          <w:p w14:paraId="4D08EB30" w14:textId="77777777" w:rsidR="00867FBC" w:rsidRDefault="00867FBC" w:rsidP="00867FBC">
            <w:pPr>
              <w:autoSpaceDE w:val="0"/>
              <w:autoSpaceDN w:val="0"/>
              <w:adjustRightInd w:val="0"/>
              <w:rPr>
                <w:rFonts w:cs="Arial"/>
                <w:szCs w:val="20"/>
              </w:rPr>
            </w:pPr>
          </w:p>
          <w:p w14:paraId="6A336867" w14:textId="77777777" w:rsidR="00867FBC" w:rsidRDefault="00867FBC" w:rsidP="00867FBC">
            <w:pPr>
              <w:autoSpaceDE w:val="0"/>
              <w:autoSpaceDN w:val="0"/>
              <w:adjustRightInd w:val="0"/>
              <w:rPr>
                <w:rFonts w:cs="Arial"/>
                <w:szCs w:val="20"/>
              </w:rPr>
            </w:pPr>
            <w:r>
              <w:rPr>
                <w:rFonts w:cs="Arial"/>
                <w:szCs w:val="20"/>
              </w:rPr>
              <w:t>See Limitations section for more information.</w:t>
            </w:r>
          </w:p>
          <w:p w14:paraId="5CD00011" w14:textId="31F66C71" w:rsidR="00867FBC" w:rsidRPr="00DC7421" w:rsidRDefault="00867FBC" w:rsidP="00867FBC">
            <w:pPr>
              <w:autoSpaceDE w:val="0"/>
              <w:autoSpaceDN w:val="0"/>
              <w:adjustRightInd w:val="0"/>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51391AB2" w:rsidR="00E3253B" w:rsidRDefault="00250A09" w:rsidP="0039587D">
            <w:pPr>
              <w:rPr>
                <w:rFonts w:cs="Arial"/>
                <w:b/>
                <w:bCs/>
                <w:color w:val="0000FF"/>
                <w:szCs w:val="20"/>
              </w:rPr>
            </w:pPr>
            <w:r>
              <w:rPr>
                <w:rFonts w:cs="Arial"/>
                <w:b/>
                <w:bCs/>
                <w:color w:val="0000FF"/>
                <w:szCs w:val="20"/>
              </w:rPr>
              <w:lastRenderedPageBreak/>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4A11248D" w14:textId="77777777" w:rsidR="000F24FD" w:rsidRPr="000F24FD" w:rsidRDefault="000F24FD" w:rsidP="000F24FD">
            <w:pPr>
              <w:jc w:val="both"/>
              <w:rPr>
                <w:rFonts w:cs="Arial"/>
                <w:b/>
              </w:rPr>
            </w:pPr>
            <w:r w:rsidRPr="000F24FD">
              <w:rPr>
                <w:rFonts w:cs="Arial"/>
                <w:b/>
              </w:rPr>
              <w:t>AM/PM Window Reference Ranges:</w:t>
            </w:r>
          </w:p>
          <w:p w14:paraId="0EB40613" w14:textId="77777777" w:rsidR="000F24FD" w:rsidRPr="000F24FD" w:rsidRDefault="000F24FD" w:rsidP="000F24FD">
            <w:pPr>
              <w:jc w:val="both"/>
              <w:rPr>
                <w:rFonts w:cs="Arial"/>
              </w:rPr>
            </w:pPr>
          </w:p>
          <w:tbl>
            <w:tblPr>
              <w:tblStyle w:val="TableGrid"/>
              <w:tblW w:w="0" w:type="auto"/>
              <w:tblLayout w:type="fixed"/>
              <w:tblLook w:val="04A0" w:firstRow="1" w:lastRow="0" w:firstColumn="1" w:lastColumn="0" w:noHBand="0" w:noVBand="1"/>
            </w:tblPr>
            <w:tblGrid>
              <w:gridCol w:w="2893"/>
              <w:gridCol w:w="2893"/>
              <w:gridCol w:w="2893"/>
            </w:tblGrid>
            <w:tr w:rsidR="000F24FD" w:rsidRPr="000F24FD" w14:paraId="61FF167B" w14:textId="77777777" w:rsidTr="00817F9E">
              <w:tc>
                <w:tcPr>
                  <w:tcW w:w="2893" w:type="dxa"/>
                </w:tcPr>
                <w:p w14:paraId="2B59BA01" w14:textId="77777777" w:rsidR="000F24FD" w:rsidRPr="000F24FD" w:rsidRDefault="000F24FD" w:rsidP="000F24FD">
                  <w:pPr>
                    <w:jc w:val="both"/>
                    <w:rPr>
                      <w:rFonts w:cs="Arial"/>
                    </w:rPr>
                  </w:pPr>
                </w:p>
              </w:tc>
              <w:tc>
                <w:tcPr>
                  <w:tcW w:w="2893" w:type="dxa"/>
                </w:tcPr>
                <w:p w14:paraId="2C418D8F" w14:textId="77777777" w:rsidR="000F24FD" w:rsidRPr="000F24FD" w:rsidRDefault="000F24FD" w:rsidP="000F24FD">
                  <w:pPr>
                    <w:jc w:val="both"/>
                    <w:rPr>
                      <w:rFonts w:cs="Arial"/>
                      <w:b/>
                    </w:rPr>
                  </w:pPr>
                  <w:r w:rsidRPr="000F24FD">
                    <w:rPr>
                      <w:rFonts w:cs="Arial"/>
                      <w:b/>
                    </w:rPr>
                    <w:t>Age</w:t>
                  </w:r>
                </w:p>
              </w:tc>
              <w:tc>
                <w:tcPr>
                  <w:tcW w:w="2893" w:type="dxa"/>
                </w:tcPr>
                <w:p w14:paraId="69E06E94" w14:textId="77777777" w:rsidR="000F24FD" w:rsidRPr="000F24FD" w:rsidRDefault="000F24FD" w:rsidP="000F24FD">
                  <w:pPr>
                    <w:jc w:val="both"/>
                    <w:rPr>
                      <w:rFonts w:cs="Arial"/>
                      <w:b/>
                    </w:rPr>
                  </w:pPr>
                  <w:r w:rsidRPr="000F24FD">
                    <w:rPr>
                      <w:rFonts w:cs="Arial"/>
                      <w:b/>
                    </w:rPr>
                    <w:t>Reference Range</w:t>
                  </w:r>
                </w:p>
              </w:tc>
            </w:tr>
            <w:tr w:rsidR="000F24FD" w:rsidRPr="000F24FD" w14:paraId="5B0205BF" w14:textId="77777777" w:rsidTr="00817F9E">
              <w:tc>
                <w:tcPr>
                  <w:tcW w:w="2893" w:type="dxa"/>
                </w:tcPr>
                <w:p w14:paraId="120E4A0C" w14:textId="77777777" w:rsidR="000F24FD" w:rsidRPr="000F24FD" w:rsidRDefault="000F24FD" w:rsidP="000F24FD">
                  <w:pPr>
                    <w:jc w:val="both"/>
                    <w:rPr>
                      <w:rFonts w:cs="Arial"/>
                    </w:rPr>
                  </w:pPr>
                  <w:r w:rsidRPr="000F24FD">
                    <w:rPr>
                      <w:rFonts w:cs="Arial"/>
                      <w:b/>
                    </w:rPr>
                    <w:t>Timeframe:</w:t>
                  </w:r>
                  <w:r w:rsidRPr="000F24FD">
                    <w:rPr>
                      <w:rFonts w:cs="Arial"/>
                    </w:rPr>
                    <w:t xml:space="preserve"> 0500-1100 am</w:t>
                  </w:r>
                </w:p>
              </w:tc>
              <w:tc>
                <w:tcPr>
                  <w:tcW w:w="2893" w:type="dxa"/>
                </w:tcPr>
                <w:p w14:paraId="493B6E46" w14:textId="77777777" w:rsidR="000F24FD" w:rsidRPr="000F24FD" w:rsidRDefault="000F24FD" w:rsidP="000F24FD">
                  <w:pPr>
                    <w:jc w:val="both"/>
                    <w:rPr>
                      <w:rFonts w:cs="Arial"/>
                    </w:rPr>
                  </w:pPr>
                  <w:r w:rsidRPr="000F24FD">
                    <w:rPr>
                      <w:rFonts w:cs="Arial"/>
                    </w:rPr>
                    <w:t>0-24 months</w:t>
                  </w:r>
                </w:p>
              </w:tc>
              <w:tc>
                <w:tcPr>
                  <w:tcW w:w="2893" w:type="dxa"/>
                </w:tcPr>
                <w:p w14:paraId="08024AF3" w14:textId="77777777" w:rsidR="000F24FD" w:rsidRPr="000F24FD" w:rsidRDefault="000F24FD" w:rsidP="000F24FD">
                  <w:pPr>
                    <w:jc w:val="both"/>
                    <w:rPr>
                      <w:rFonts w:cs="Arial"/>
                    </w:rPr>
                  </w:pPr>
                  <w:r w:rsidRPr="000F24FD">
                    <w:rPr>
                      <w:rFonts w:cs="Arial"/>
                    </w:rPr>
                    <w:t xml:space="preserve">0.8-28.6 </w:t>
                  </w:r>
                  <w:r w:rsidRPr="000F24FD">
                    <w:rPr>
                      <w:rFonts w:eastAsia="HelenPro-Regular" w:cs="Arial"/>
                    </w:rPr>
                    <w:t>μg/dL</w:t>
                  </w:r>
                </w:p>
              </w:tc>
            </w:tr>
            <w:tr w:rsidR="000F24FD" w:rsidRPr="000F24FD" w14:paraId="3DC2EFA8" w14:textId="77777777" w:rsidTr="00817F9E">
              <w:tc>
                <w:tcPr>
                  <w:tcW w:w="2893" w:type="dxa"/>
                </w:tcPr>
                <w:p w14:paraId="77A35670" w14:textId="77777777" w:rsidR="000F24FD" w:rsidRPr="000F24FD" w:rsidRDefault="000F24FD" w:rsidP="000F24FD">
                  <w:pPr>
                    <w:jc w:val="both"/>
                    <w:rPr>
                      <w:rFonts w:cs="Arial"/>
                    </w:rPr>
                  </w:pPr>
                </w:p>
              </w:tc>
              <w:tc>
                <w:tcPr>
                  <w:tcW w:w="2893" w:type="dxa"/>
                </w:tcPr>
                <w:p w14:paraId="5037EFA9" w14:textId="77777777" w:rsidR="000F24FD" w:rsidRPr="000F24FD" w:rsidRDefault="000F24FD" w:rsidP="000F24FD">
                  <w:pPr>
                    <w:jc w:val="both"/>
                    <w:rPr>
                      <w:rFonts w:cs="Arial"/>
                    </w:rPr>
                  </w:pPr>
                  <w:r w:rsidRPr="000F24FD">
                    <w:rPr>
                      <w:rFonts w:cs="Arial"/>
                    </w:rPr>
                    <w:t>2-11 years</w:t>
                  </w:r>
                </w:p>
              </w:tc>
              <w:tc>
                <w:tcPr>
                  <w:tcW w:w="2893" w:type="dxa"/>
                </w:tcPr>
                <w:p w14:paraId="0CF212AB" w14:textId="77777777" w:rsidR="000F24FD" w:rsidRPr="000F24FD" w:rsidRDefault="000F24FD" w:rsidP="000F24FD">
                  <w:pPr>
                    <w:jc w:val="both"/>
                    <w:rPr>
                      <w:rFonts w:cs="Arial"/>
                    </w:rPr>
                  </w:pPr>
                  <w:r w:rsidRPr="000F24FD">
                    <w:rPr>
                      <w:rFonts w:cs="Arial"/>
                    </w:rPr>
                    <w:t>0.8-27.7</w:t>
                  </w:r>
                  <w:r w:rsidRPr="000F24FD">
                    <w:rPr>
                      <w:rFonts w:eastAsia="HelenPro-Regular" w:cs="Arial"/>
                    </w:rPr>
                    <w:t xml:space="preserve"> μg/dL</w:t>
                  </w:r>
                </w:p>
              </w:tc>
            </w:tr>
            <w:tr w:rsidR="000F24FD" w:rsidRPr="000F24FD" w14:paraId="08A44748" w14:textId="77777777" w:rsidTr="00817F9E">
              <w:tc>
                <w:tcPr>
                  <w:tcW w:w="2893" w:type="dxa"/>
                </w:tcPr>
                <w:p w14:paraId="7A70C915" w14:textId="77777777" w:rsidR="000F24FD" w:rsidRPr="000F24FD" w:rsidRDefault="000F24FD" w:rsidP="000F24FD">
                  <w:pPr>
                    <w:jc w:val="both"/>
                    <w:rPr>
                      <w:rFonts w:cs="Arial"/>
                    </w:rPr>
                  </w:pPr>
                </w:p>
              </w:tc>
              <w:tc>
                <w:tcPr>
                  <w:tcW w:w="2893" w:type="dxa"/>
                </w:tcPr>
                <w:p w14:paraId="53DF2EA7" w14:textId="77777777" w:rsidR="000F24FD" w:rsidRPr="000F24FD" w:rsidRDefault="000F24FD" w:rsidP="000F24FD">
                  <w:pPr>
                    <w:jc w:val="both"/>
                    <w:rPr>
                      <w:rFonts w:cs="Arial"/>
                    </w:rPr>
                  </w:pPr>
                  <w:r w:rsidRPr="000F24FD">
                    <w:rPr>
                      <w:rFonts w:cs="Arial"/>
                    </w:rPr>
                    <w:t>11-18 years</w:t>
                  </w:r>
                </w:p>
              </w:tc>
              <w:tc>
                <w:tcPr>
                  <w:tcW w:w="2893" w:type="dxa"/>
                </w:tcPr>
                <w:p w14:paraId="340D989B" w14:textId="77777777" w:rsidR="000F24FD" w:rsidRPr="000F24FD" w:rsidRDefault="000F24FD" w:rsidP="000F24FD">
                  <w:pPr>
                    <w:jc w:val="both"/>
                    <w:rPr>
                      <w:rFonts w:cs="Arial"/>
                    </w:rPr>
                  </w:pPr>
                  <w:r w:rsidRPr="000F24FD">
                    <w:rPr>
                      <w:rFonts w:cs="Arial"/>
                    </w:rPr>
                    <w:t>0.8-23.5</w:t>
                  </w:r>
                  <w:r w:rsidRPr="000F24FD">
                    <w:rPr>
                      <w:rFonts w:eastAsia="HelenPro-Regular" w:cs="Arial"/>
                    </w:rPr>
                    <w:t xml:space="preserve"> μg/dL</w:t>
                  </w:r>
                </w:p>
              </w:tc>
            </w:tr>
            <w:tr w:rsidR="000F24FD" w:rsidRPr="000F24FD" w14:paraId="420314D0" w14:textId="77777777" w:rsidTr="00817F9E">
              <w:tc>
                <w:tcPr>
                  <w:tcW w:w="2893" w:type="dxa"/>
                </w:tcPr>
                <w:p w14:paraId="214F47E3" w14:textId="77777777" w:rsidR="000F24FD" w:rsidRPr="000F24FD" w:rsidRDefault="000F24FD" w:rsidP="000F24FD">
                  <w:pPr>
                    <w:jc w:val="both"/>
                    <w:rPr>
                      <w:rFonts w:cs="Arial"/>
                    </w:rPr>
                  </w:pPr>
                </w:p>
              </w:tc>
              <w:tc>
                <w:tcPr>
                  <w:tcW w:w="2893" w:type="dxa"/>
                </w:tcPr>
                <w:p w14:paraId="798581D0" w14:textId="77777777" w:rsidR="000F24FD" w:rsidRPr="000F24FD" w:rsidRDefault="000F24FD" w:rsidP="000F24FD">
                  <w:pPr>
                    <w:jc w:val="both"/>
                    <w:rPr>
                      <w:rFonts w:cs="Arial"/>
                    </w:rPr>
                  </w:pPr>
                  <w:r w:rsidRPr="000F24FD">
                    <w:rPr>
                      <w:rFonts w:cs="Arial"/>
                    </w:rPr>
                    <w:t>&gt;18 years</w:t>
                  </w:r>
                </w:p>
              </w:tc>
              <w:tc>
                <w:tcPr>
                  <w:tcW w:w="2893" w:type="dxa"/>
                </w:tcPr>
                <w:p w14:paraId="11D20B2A" w14:textId="77777777" w:rsidR="000F24FD" w:rsidRPr="000F24FD" w:rsidRDefault="000F24FD" w:rsidP="000F24FD">
                  <w:pPr>
                    <w:jc w:val="both"/>
                    <w:rPr>
                      <w:rFonts w:cs="Arial"/>
                    </w:rPr>
                  </w:pPr>
                  <w:r w:rsidRPr="000F24FD">
                    <w:rPr>
                      <w:rFonts w:cs="Arial"/>
                    </w:rPr>
                    <w:t xml:space="preserve">4.2-21.0 </w:t>
                  </w:r>
                  <w:r w:rsidRPr="000F24FD">
                    <w:rPr>
                      <w:rFonts w:eastAsia="HelenPro-Regular" w:cs="Arial"/>
                    </w:rPr>
                    <w:t>μg/dL</w:t>
                  </w:r>
                </w:p>
              </w:tc>
            </w:tr>
            <w:tr w:rsidR="000F24FD" w:rsidRPr="000F24FD" w14:paraId="67DF36D5" w14:textId="77777777" w:rsidTr="00817F9E">
              <w:tc>
                <w:tcPr>
                  <w:tcW w:w="2893" w:type="dxa"/>
                </w:tcPr>
                <w:p w14:paraId="0B423F24" w14:textId="77777777" w:rsidR="000F24FD" w:rsidRPr="000F24FD" w:rsidRDefault="000F24FD" w:rsidP="000F24FD">
                  <w:pPr>
                    <w:jc w:val="both"/>
                    <w:rPr>
                      <w:rFonts w:cs="Arial"/>
                    </w:rPr>
                  </w:pPr>
                  <w:r w:rsidRPr="000F24FD">
                    <w:rPr>
                      <w:rFonts w:cs="Arial"/>
                      <w:b/>
                    </w:rPr>
                    <w:t xml:space="preserve">Timeframe: </w:t>
                  </w:r>
                  <w:r w:rsidRPr="000F24FD">
                    <w:rPr>
                      <w:rFonts w:cs="Arial"/>
                    </w:rPr>
                    <w:t>1700-2300 pm</w:t>
                  </w:r>
                </w:p>
              </w:tc>
              <w:tc>
                <w:tcPr>
                  <w:tcW w:w="2893" w:type="dxa"/>
                </w:tcPr>
                <w:p w14:paraId="077CF7D0" w14:textId="77777777" w:rsidR="000F24FD" w:rsidRPr="000F24FD" w:rsidRDefault="000F24FD" w:rsidP="000F24FD">
                  <w:pPr>
                    <w:jc w:val="both"/>
                    <w:rPr>
                      <w:rFonts w:cs="Arial"/>
                    </w:rPr>
                  </w:pPr>
                  <w:r w:rsidRPr="000F24FD">
                    <w:rPr>
                      <w:rFonts w:cs="Arial"/>
                    </w:rPr>
                    <w:t>0-24 months</w:t>
                  </w:r>
                </w:p>
              </w:tc>
              <w:tc>
                <w:tcPr>
                  <w:tcW w:w="2893" w:type="dxa"/>
                </w:tcPr>
                <w:p w14:paraId="603B8EB9" w14:textId="77777777" w:rsidR="000F24FD" w:rsidRPr="000F24FD" w:rsidRDefault="000F24FD" w:rsidP="000F24FD">
                  <w:pPr>
                    <w:jc w:val="both"/>
                    <w:rPr>
                      <w:rFonts w:cs="Arial"/>
                    </w:rPr>
                  </w:pPr>
                  <w:r w:rsidRPr="000F24FD">
                    <w:rPr>
                      <w:rFonts w:cs="Arial"/>
                    </w:rPr>
                    <w:t xml:space="preserve">0.8-25.5 </w:t>
                  </w:r>
                  <w:r w:rsidRPr="000F24FD">
                    <w:rPr>
                      <w:rFonts w:eastAsia="HelenPro-Regular" w:cs="Arial"/>
                    </w:rPr>
                    <w:t>μg/dL</w:t>
                  </w:r>
                </w:p>
              </w:tc>
            </w:tr>
            <w:tr w:rsidR="000F24FD" w:rsidRPr="000F24FD" w14:paraId="42265143" w14:textId="77777777" w:rsidTr="00817F9E">
              <w:tc>
                <w:tcPr>
                  <w:tcW w:w="2893" w:type="dxa"/>
                </w:tcPr>
                <w:p w14:paraId="79476B3B" w14:textId="77777777" w:rsidR="000F24FD" w:rsidRPr="000F24FD" w:rsidRDefault="000F24FD" w:rsidP="000F24FD">
                  <w:pPr>
                    <w:jc w:val="both"/>
                    <w:rPr>
                      <w:rFonts w:cs="Arial"/>
                      <w:b/>
                    </w:rPr>
                  </w:pPr>
                </w:p>
              </w:tc>
              <w:tc>
                <w:tcPr>
                  <w:tcW w:w="2893" w:type="dxa"/>
                </w:tcPr>
                <w:p w14:paraId="43E9BF2E" w14:textId="77777777" w:rsidR="000F24FD" w:rsidRPr="000F24FD" w:rsidRDefault="000F24FD" w:rsidP="000F24FD">
                  <w:pPr>
                    <w:jc w:val="both"/>
                    <w:rPr>
                      <w:rFonts w:cs="Arial"/>
                    </w:rPr>
                  </w:pPr>
                  <w:r w:rsidRPr="000F24FD">
                    <w:rPr>
                      <w:rFonts w:cs="Arial"/>
                    </w:rPr>
                    <w:t>2-11 years</w:t>
                  </w:r>
                </w:p>
              </w:tc>
              <w:tc>
                <w:tcPr>
                  <w:tcW w:w="2893" w:type="dxa"/>
                </w:tcPr>
                <w:p w14:paraId="79580E37" w14:textId="77777777" w:rsidR="000F24FD" w:rsidRPr="000F24FD" w:rsidRDefault="000F24FD" w:rsidP="000F24FD">
                  <w:pPr>
                    <w:jc w:val="both"/>
                    <w:rPr>
                      <w:rFonts w:cs="Arial"/>
                    </w:rPr>
                  </w:pPr>
                  <w:r w:rsidRPr="000F24FD">
                    <w:rPr>
                      <w:rFonts w:cs="Arial"/>
                    </w:rPr>
                    <w:t xml:space="preserve">0.8-20.2 </w:t>
                  </w:r>
                  <w:r w:rsidRPr="000F24FD">
                    <w:rPr>
                      <w:rFonts w:eastAsia="HelenPro-Regular" w:cs="Arial"/>
                    </w:rPr>
                    <w:t>μg/dL</w:t>
                  </w:r>
                </w:p>
              </w:tc>
            </w:tr>
            <w:tr w:rsidR="000F24FD" w:rsidRPr="000F24FD" w14:paraId="105D22C2" w14:textId="77777777" w:rsidTr="00817F9E">
              <w:tc>
                <w:tcPr>
                  <w:tcW w:w="2893" w:type="dxa"/>
                </w:tcPr>
                <w:p w14:paraId="530845CA" w14:textId="77777777" w:rsidR="000F24FD" w:rsidRPr="000F24FD" w:rsidRDefault="000F24FD" w:rsidP="000F24FD">
                  <w:pPr>
                    <w:jc w:val="both"/>
                    <w:rPr>
                      <w:rFonts w:cs="Arial"/>
                      <w:b/>
                    </w:rPr>
                  </w:pPr>
                </w:p>
              </w:tc>
              <w:tc>
                <w:tcPr>
                  <w:tcW w:w="2893" w:type="dxa"/>
                </w:tcPr>
                <w:p w14:paraId="7F6A3709" w14:textId="77777777" w:rsidR="000F24FD" w:rsidRPr="000F24FD" w:rsidRDefault="000F24FD" w:rsidP="000F24FD">
                  <w:pPr>
                    <w:jc w:val="both"/>
                    <w:rPr>
                      <w:rFonts w:cs="Arial"/>
                    </w:rPr>
                  </w:pPr>
                  <w:r w:rsidRPr="000F24FD">
                    <w:rPr>
                      <w:rFonts w:cs="Arial"/>
                    </w:rPr>
                    <w:t>11-18 years</w:t>
                  </w:r>
                </w:p>
              </w:tc>
              <w:tc>
                <w:tcPr>
                  <w:tcW w:w="2893" w:type="dxa"/>
                </w:tcPr>
                <w:p w14:paraId="28CE609D" w14:textId="77777777" w:rsidR="000F24FD" w:rsidRPr="000F24FD" w:rsidRDefault="000F24FD" w:rsidP="000F24FD">
                  <w:pPr>
                    <w:jc w:val="both"/>
                    <w:rPr>
                      <w:rFonts w:cs="Arial"/>
                    </w:rPr>
                  </w:pPr>
                  <w:r w:rsidRPr="000F24FD">
                    <w:rPr>
                      <w:rFonts w:cs="Arial"/>
                    </w:rPr>
                    <w:t xml:space="preserve">0.8-18.5 </w:t>
                  </w:r>
                  <w:r w:rsidRPr="000F24FD">
                    <w:rPr>
                      <w:rFonts w:eastAsia="HelenPro-Regular" w:cs="Arial"/>
                    </w:rPr>
                    <w:t>μg/dL</w:t>
                  </w:r>
                </w:p>
              </w:tc>
            </w:tr>
            <w:tr w:rsidR="000F24FD" w:rsidRPr="000F24FD" w14:paraId="24FE333D" w14:textId="77777777" w:rsidTr="00817F9E">
              <w:tc>
                <w:tcPr>
                  <w:tcW w:w="2893" w:type="dxa"/>
                </w:tcPr>
                <w:p w14:paraId="600B1709" w14:textId="77777777" w:rsidR="000F24FD" w:rsidRPr="000F24FD" w:rsidRDefault="000F24FD" w:rsidP="000F24FD">
                  <w:pPr>
                    <w:jc w:val="both"/>
                    <w:rPr>
                      <w:rFonts w:cs="Arial"/>
                      <w:b/>
                    </w:rPr>
                  </w:pPr>
                </w:p>
              </w:tc>
              <w:tc>
                <w:tcPr>
                  <w:tcW w:w="2893" w:type="dxa"/>
                </w:tcPr>
                <w:p w14:paraId="247F94B4" w14:textId="77777777" w:rsidR="000F24FD" w:rsidRPr="000F24FD" w:rsidRDefault="000F24FD" w:rsidP="000F24FD">
                  <w:pPr>
                    <w:jc w:val="both"/>
                    <w:rPr>
                      <w:rFonts w:cs="Arial"/>
                    </w:rPr>
                  </w:pPr>
                  <w:r w:rsidRPr="000F24FD">
                    <w:rPr>
                      <w:rFonts w:cs="Arial"/>
                    </w:rPr>
                    <w:t>&gt;18 years</w:t>
                  </w:r>
                </w:p>
              </w:tc>
              <w:tc>
                <w:tcPr>
                  <w:tcW w:w="2893" w:type="dxa"/>
                </w:tcPr>
                <w:p w14:paraId="4D788E76" w14:textId="77777777" w:rsidR="000F24FD" w:rsidRPr="000F24FD" w:rsidRDefault="000F24FD" w:rsidP="000F24FD">
                  <w:pPr>
                    <w:jc w:val="both"/>
                    <w:rPr>
                      <w:rFonts w:cs="Arial"/>
                    </w:rPr>
                  </w:pPr>
                  <w:r w:rsidRPr="000F24FD">
                    <w:rPr>
                      <w:rFonts w:cs="Arial"/>
                    </w:rPr>
                    <w:t xml:space="preserve">2.5-13.4 </w:t>
                  </w:r>
                  <w:r w:rsidRPr="000F24FD">
                    <w:rPr>
                      <w:rFonts w:eastAsia="HelenPro-Regular" w:cs="Arial"/>
                    </w:rPr>
                    <w:t>μg/dL</w:t>
                  </w:r>
                </w:p>
              </w:tc>
            </w:tr>
          </w:tbl>
          <w:p w14:paraId="470073FE" w14:textId="77777777" w:rsidR="000F24FD" w:rsidRPr="000F24FD" w:rsidRDefault="000F24FD" w:rsidP="000F24FD">
            <w:pPr>
              <w:jc w:val="both"/>
              <w:rPr>
                <w:rFonts w:cs="Arial"/>
              </w:rPr>
            </w:pPr>
          </w:p>
          <w:p w14:paraId="776EA007" w14:textId="77777777" w:rsidR="000F24FD" w:rsidRPr="000F24FD" w:rsidRDefault="000F24FD" w:rsidP="000F24FD">
            <w:pPr>
              <w:jc w:val="both"/>
              <w:rPr>
                <w:rFonts w:cs="Arial"/>
                <w:b/>
              </w:rPr>
            </w:pPr>
            <w:r w:rsidRPr="000F24FD">
              <w:rPr>
                <w:rFonts w:cs="Arial"/>
                <w:b/>
              </w:rPr>
              <w:t>For results drawn outside of the AM and PM windows, use random cortisol ranges.</w:t>
            </w:r>
          </w:p>
          <w:p w14:paraId="69FE14B1" w14:textId="77777777" w:rsidR="000F24FD" w:rsidRPr="000F24FD" w:rsidRDefault="000F24FD" w:rsidP="000F24FD">
            <w:pPr>
              <w:jc w:val="both"/>
              <w:rPr>
                <w:rFonts w:cs="Arial"/>
              </w:rPr>
            </w:pPr>
          </w:p>
          <w:p w14:paraId="536CB6B9" w14:textId="77777777" w:rsidR="000F24FD" w:rsidRPr="000F24FD" w:rsidRDefault="000F24FD" w:rsidP="000F24FD">
            <w:pPr>
              <w:jc w:val="both"/>
              <w:rPr>
                <w:rFonts w:cs="Arial"/>
                <w:b/>
              </w:rPr>
            </w:pPr>
            <w:r w:rsidRPr="000F24FD">
              <w:rPr>
                <w:rFonts w:cs="Arial"/>
                <w:b/>
              </w:rPr>
              <w:t>Random Cortisol Ranges:</w:t>
            </w:r>
          </w:p>
          <w:p w14:paraId="0CAAAAAE" w14:textId="77777777" w:rsidR="000F24FD" w:rsidRPr="000F24FD" w:rsidRDefault="000F24FD" w:rsidP="000F24FD">
            <w:pPr>
              <w:jc w:val="both"/>
              <w:rPr>
                <w:rFonts w:cs="Arial"/>
              </w:rPr>
            </w:pPr>
          </w:p>
          <w:tbl>
            <w:tblPr>
              <w:tblStyle w:val="TableGrid"/>
              <w:tblW w:w="0" w:type="auto"/>
              <w:tblLayout w:type="fixed"/>
              <w:tblLook w:val="04A0" w:firstRow="1" w:lastRow="0" w:firstColumn="1" w:lastColumn="0" w:noHBand="0" w:noVBand="1"/>
            </w:tblPr>
            <w:tblGrid>
              <w:gridCol w:w="4339"/>
              <w:gridCol w:w="4340"/>
            </w:tblGrid>
            <w:tr w:rsidR="000F24FD" w:rsidRPr="000F24FD" w14:paraId="54616F99" w14:textId="77777777" w:rsidTr="00817F9E">
              <w:tc>
                <w:tcPr>
                  <w:tcW w:w="4339" w:type="dxa"/>
                </w:tcPr>
                <w:p w14:paraId="0A629607" w14:textId="77777777" w:rsidR="000F24FD" w:rsidRPr="000F24FD" w:rsidRDefault="000F24FD" w:rsidP="000F24FD">
                  <w:pPr>
                    <w:jc w:val="both"/>
                    <w:rPr>
                      <w:rFonts w:cs="Arial"/>
                      <w:b/>
                    </w:rPr>
                  </w:pPr>
                  <w:r w:rsidRPr="000F24FD">
                    <w:rPr>
                      <w:rFonts w:cs="Arial"/>
                      <w:b/>
                    </w:rPr>
                    <w:t>Age</w:t>
                  </w:r>
                </w:p>
              </w:tc>
              <w:tc>
                <w:tcPr>
                  <w:tcW w:w="4340" w:type="dxa"/>
                </w:tcPr>
                <w:p w14:paraId="03224298" w14:textId="77777777" w:rsidR="000F24FD" w:rsidRPr="000F24FD" w:rsidRDefault="000F24FD" w:rsidP="000F24FD">
                  <w:pPr>
                    <w:jc w:val="both"/>
                    <w:rPr>
                      <w:rFonts w:cs="Arial"/>
                      <w:b/>
                    </w:rPr>
                  </w:pPr>
                  <w:r w:rsidRPr="000F24FD">
                    <w:rPr>
                      <w:rFonts w:cs="Arial"/>
                      <w:b/>
                    </w:rPr>
                    <w:t>Reference Range</w:t>
                  </w:r>
                </w:p>
              </w:tc>
            </w:tr>
            <w:tr w:rsidR="000F24FD" w:rsidRPr="000F24FD" w14:paraId="4922BD96" w14:textId="77777777" w:rsidTr="00817F9E">
              <w:tc>
                <w:tcPr>
                  <w:tcW w:w="4339" w:type="dxa"/>
                </w:tcPr>
                <w:p w14:paraId="39032B22" w14:textId="77777777" w:rsidR="000F24FD" w:rsidRPr="000F24FD" w:rsidRDefault="000F24FD" w:rsidP="000F24FD">
                  <w:pPr>
                    <w:jc w:val="both"/>
                    <w:rPr>
                      <w:rFonts w:cs="Arial"/>
                    </w:rPr>
                  </w:pPr>
                  <w:r w:rsidRPr="000F24FD">
                    <w:rPr>
                      <w:rFonts w:cs="Arial"/>
                    </w:rPr>
                    <w:t>2-14 days</w:t>
                  </w:r>
                </w:p>
              </w:tc>
              <w:tc>
                <w:tcPr>
                  <w:tcW w:w="4340" w:type="dxa"/>
                </w:tcPr>
                <w:p w14:paraId="499A8D12" w14:textId="77777777" w:rsidR="000F24FD" w:rsidRPr="000F24FD" w:rsidRDefault="000F24FD" w:rsidP="000F24FD">
                  <w:pPr>
                    <w:jc w:val="both"/>
                    <w:rPr>
                      <w:rFonts w:cs="Arial"/>
                    </w:rPr>
                  </w:pPr>
                  <w:r w:rsidRPr="000F24FD">
                    <w:rPr>
                      <w:rFonts w:cs="Arial"/>
                    </w:rPr>
                    <w:t xml:space="preserve">0.5-12.3 </w:t>
                  </w:r>
                  <w:r w:rsidRPr="000F24FD">
                    <w:rPr>
                      <w:rFonts w:eastAsia="HelenPro-Regular" w:cs="Arial"/>
                    </w:rPr>
                    <w:t>μg/dL</w:t>
                  </w:r>
                </w:p>
              </w:tc>
            </w:tr>
            <w:tr w:rsidR="000F24FD" w:rsidRPr="000F24FD" w14:paraId="52014968" w14:textId="77777777" w:rsidTr="00817F9E">
              <w:tc>
                <w:tcPr>
                  <w:tcW w:w="4339" w:type="dxa"/>
                </w:tcPr>
                <w:p w14:paraId="54CFF95C" w14:textId="77777777" w:rsidR="000F24FD" w:rsidRPr="000F24FD" w:rsidRDefault="000F24FD" w:rsidP="000F24FD">
                  <w:pPr>
                    <w:jc w:val="both"/>
                    <w:rPr>
                      <w:rFonts w:cs="Arial"/>
                    </w:rPr>
                  </w:pPr>
                  <w:r w:rsidRPr="000F24FD">
                    <w:rPr>
                      <w:rFonts w:cs="Arial"/>
                    </w:rPr>
                    <w:t>15 days to &lt;1 year</w:t>
                  </w:r>
                </w:p>
              </w:tc>
              <w:tc>
                <w:tcPr>
                  <w:tcW w:w="4340" w:type="dxa"/>
                </w:tcPr>
                <w:p w14:paraId="499E1E68" w14:textId="77777777" w:rsidR="000F24FD" w:rsidRPr="000F24FD" w:rsidRDefault="000F24FD" w:rsidP="000F24FD">
                  <w:pPr>
                    <w:jc w:val="both"/>
                    <w:rPr>
                      <w:rFonts w:cs="Arial"/>
                    </w:rPr>
                  </w:pPr>
                  <w:r w:rsidRPr="000F24FD">
                    <w:rPr>
                      <w:rFonts w:cs="Arial"/>
                    </w:rPr>
                    <w:t xml:space="preserve">0.5-16.6 </w:t>
                  </w:r>
                  <w:r w:rsidRPr="000F24FD">
                    <w:rPr>
                      <w:rFonts w:eastAsia="HelenPro-Regular" w:cs="Arial"/>
                    </w:rPr>
                    <w:t>μg/dL</w:t>
                  </w:r>
                </w:p>
              </w:tc>
            </w:tr>
            <w:tr w:rsidR="000F24FD" w:rsidRPr="000F24FD" w14:paraId="678E0EA7" w14:textId="77777777" w:rsidTr="00817F9E">
              <w:tc>
                <w:tcPr>
                  <w:tcW w:w="4339" w:type="dxa"/>
                </w:tcPr>
                <w:p w14:paraId="1669FB84" w14:textId="77777777" w:rsidR="000F24FD" w:rsidRPr="000F24FD" w:rsidRDefault="000F24FD" w:rsidP="000F24FD">
                  <w:pPr>
                    <w:jc w:val="both"/>
                    <w:rPr>
                      <w:rFonts w:cs="Arial"/>
                    </w:rPr>
                  </w:pPr>
                  <w:r w:rsidRPr="000F24FD">
                    <w:rPr>
                      <w:rFonts w:cs="Arial"/>
                    </w:rPr>
                    <w:t>1 year to &lt;9 years</w:t>
                  </w:r>
                </w:p>
              </w:tc>
              <w:tc>
                <w:tcPr>
                  <w:tcW w:w="4340" w:type="dxa"/>
                </w:tcPr>
                <w:p w14:paraId="7AE2BD88" w14:textId="77777777" w:rsidR="000F24FD" w:rsidRPr="000F24FD" w:rsidRDefault="000F24FD" w:rsidP="000F24FD">
                  <w:pPr>
                    <w:jc w:val="both"/>
                    <w:rPr>
                      <w:rFonts w:cs="Arial"/>
                    </w:rPr>
                  </w:pPr>
                  <w:r w:rsidRPr="000F24FD">
                    <w:rPr>
                      <w:rFonts w:cs="Arial"/>
                    </w:rPr>
                    <w:t xml:space="preserve">1.7-10.8 </w:t>
                  </w:r>
                  <w:r w:rsidRPr="000F24FD">
                    <w:rPr>
                      <w:rFonts w:eastAsia="HelenPro-Regular" w:cs="Arial"/>
                    </w:rPr>
                    <w:t>μg/dL</w:t>
                  </w:r>
                </w:p>
              </w:tc>
            </w:tr>
            <w:tr w:rsidR="000F24FD" w:rsidRPr="000F24FD" w14:paraId="0330A57E" w14:textId="77777777" w:rsidTr="00817F9E">
              <w:tc>
                <w:tcPr>
                  <w:tcW w:w="4339" w:type="dxa"/>
                </w:tcPr>
                <w:p w14:paraId="4FD50D6F" w14:textId="77777777" w:rsidR="000F24FD" w:rsidRPr="000F24FD" w:rsidRDefault="000F24FD" w:rsidP="000F24FD">
                  <w:pPr>
                    <w:jc w:val="both"/>
                    <w:rPr>
                      <w:rFonts w:cs="Arial"/>
                    </w:rPr>
                  </w:pPr>
                  <w:r w:rsidRPr="000F24FD">
                    <w:rPr>
                      <w:rFonts w:cs="Arial"/>
                    </w:rPr>
                    <w:t>9 years to &lt;14 years</w:t>
                  </w:r>
                </w:p>
              </w:tc>
              <w:tc>
                <w:tcPr>
                  <w:tcW w:w="4340" w:type="dxa"/>
                </w:tcPr>
                <w:p w14:paraId="3B714353" w14:textId="77777777" w:rsidR="000F24FD" w:rsidRPr="000F24FD" w:rsidRDefault="000F24FD" w:rsidP="000F24FD">
                  <w:pPr>
                    <w:jc w:val="both"/>
                    <w:rPr>
                      <w:rFonts w:cs="Arial"/>
                    </w:rPr>
                  </w:pPr>
                  <w:r w:rsidRPr="000F24FD">
                    <w:rPr>
                      <w:rFonts w:cs="Arial"/>
                    </w:rPr>
                    <w:t xml:space="preserve">2.2-12.7 </w:t>
                  </w:r>
                  <w:r w:rsidRPr="000F24FD">
                    <w:rPr>
                      <w:rFonts w:eastAsia="HelenPro-Regular" w:cs="Arial"/>
                    </w:rPr>
                    <w:t>μg/dL</w:t>
                  </w:r>
                </w:p>
              </w:tc>
            </w:tr>
            <w:tr w:rsidR="000F24FD" w:rsidRPr="000F24FD" w14:paraId="4323B3BB" w14:textId="77777777" w:rsidTr="00817F9E">
              <w:tc>
                <w:tcPr>
                  <w:tcW w:w="4339" w:type="dxa"/>
                </w:tcPr>
                <w:p w14:paraId="7C497A2F" w14:textId="77777777" w:rsidR="000F24FD" w:rsidRPr="000F24FD" w:rsidRDefault="000F24FD" w:rsidP="000F24FD">
                  <w:pPr>
                    <w:jc w:val="both"/>
                    <w:rPr>
                      <w:rFonts w:cs="Arial"/>
                    </w:rPr>
                  </w:pPr>
                  <w:r w:rsidRPr="000F24FD">
                    <w:rPr>
                      <w:rFonts w:cs="Arial"/>
                    </w:rPr>
                    <w:t>14 years to &lt;17 year</w:t>
                  </w:r>
                </w:p>
              </w:tc>
              <w:tc>
                <w:tcPr>
                  <w:tcW w:w="4340" w:type="dxa"/>
                </w:tcPr>
                <w:p w14:paraId="29E14BBF" w14:textId="77777777" w:rsidR="000F24FD" w:rsidRPr="000F24FD" w:rsidRDefault="000F24FD" w:rsidP="000F24FD">
                  <w:pPr>
                    <w:jc w:val="both"/>
                    <w:rPr>
                      <w:rFonts w:cs="Arial"/>
                    </w:rPr>
                  </w:pPr>
                  <w:r w:rsidRPr="000F24FD">
                    <w:rPr>
                      <w:rFonts w:cs="Arial"/>
                    </w:rPr>
                    <w:t xml:space="preserve">2.8-16.4 </w:t>
                  </w:r>
                  <w:r w:rsidRPr="000F24FD">
                    <w:rPr>
                      <w:rFonts w:eastAsia="HelenPro-Regular" w:cs="Arial"/>
                    </w:rPr>
                    <w:t>μg/dL</w:t>
                  </w:r>
                </w:p>
              </w:tc>
            </w:tr>
            <w:tr w:rsidR="000F24FD" w:rsidRPr="000F24FD" w14:paraId="57B85891" w14:textId="77777777" w:rsidTr="00817F9E">
              <w:tc>
                <w:tcPr>
                  <w:tcW w:w="4339" w:type="dxa"/>
                </w:tcPr>
                <w:p w14:paraId="4BB2E280" w14:textId="77777777" w:rsidR="000F24FD" w:rsidRPr="000F24FD" w:rsidRDefault="000F24FD" w:rsidP="000F24FD">
                  <w:pPr>
                    <w:jc w:val="both"/>
                    <w:rPr>
                      <w:rFonts w:cs="Arial"/>
                    </w:rPr>
                  </w:pPr>
                  <w:r w:rsidRPr="000F24FD">
                    <w:rPr>
                      <w:rFonts w:cs="Arial"/>
                    </w:rPr>
                    <w:t>17-19 years</w:t>
                  </w:r>
                </w:p>
              </w:tc>
              <w:tc>
                <w:tcPr>
                  <w:tcW w:w="4340" w:type="dxa"/>
                </w:tcPr>
                <w:p w14:paraId="28A832FA" w14:textId="77777777" w:rsidR="000F24FD" w:rsidRPr="000F24FD" w:rsidRDefault="000F24FD" w:rsidP="000F24FD">
                  <w:pPr>
                    <w:jc w:val="both"/>
                    <w:rPr>
                      <w:rFonts w:cs="Arial"/>
                    </w:rPr>
                  </w:pPr>
                  <w:r w:rsidRPr="000F24FD">
                    <w:rPr>
                      <w:rFonts w:cs="Arial"/>
                    </w:rPr>
                    <w:t xml:space="preserve">3.5-18.3 </w:t>
                  </w:r>
                  <w:r w:rsidRPr="000F24FD">
                    <w:rPr>
                      <w:rFonts w:eastAsia="HelenPro-Regular" w:cs="Arial"/>
                    </w:rPr>
                    <w:t>μg/dL</w:t>
                  </w:r>
                </w:p>
              </w:tc>
            </w:tr>
            <w:tr w:rsidR="00A36D95" w:rsidRPr="000F24FD" w14:paraId="08FD6087" w14:textId="77777777" w:rsidTr="00817F9E">
              <w:tc>
                <w:tcPr>
                  <w:tcW w:w="4339" w:type="dxa"/>
                </w:tcPr>
                <w:p w14:paraId="79A67E64" w14:textId="7B6CD749" w:rsidR="00A36D95" w:rsidRPr="000F24FD" w:rsidRDefault="00A36D95" w:rsidP="000F24FD">
                  <w:pPr>
                    <w:jc w:val="both"/>
                    <w:rPr>
                      <w:rFonts w:cs="Arial"/>
                    </w:rPr>
                  </w:pPr>
                  <w:r>
                    <w:rPr>
                      <w:rFonts w:cs="Arial"/>
                    </w:rPr>
                    <w:t>Adult</w:t>
                  </w:r>
                </w:p>
              </w:tc>
              <w:tc>
                <w:tcPr>
                  <w:tcW w:w="4340" w:type="dxa"/>
                </w:tcPr>
                <w:p w14:paraId="034BAB75" w14:textId="152FEAC0" w:rsidR="00A36D95" w:rsidRPr="000F24FD" w:rsidRDefault="00A36D95" w:rsidP="000F24FD">
                  <w:pPr>
                    <w:jc w:val="both"/>
                    <w:rPr>
                      <w:rFonts w:cs="Arial"/>
                    </w:rPr>
                  </w:pPr>
                  <w:r>
                    <w:rPr>
                      <w:rFonts w:cs="Arial"/>
                    </w:rPr>
                    <w:t xml:space="preserve">2.9 -19.4 </w:t>
                  </w:r>
                  <w:r w:rsidRPr="000F24FD">
                    <w:rPr>
                      <w:rFonts w:eastAsia="HelenPro-Regular" w:cs="Arial"/>
                    </w:rPr>
                    <w:t>μg/dL</w:t>
                  </w:r>
                  <w:bookmarkStart w:id="0" w:name="_GoBack"/>
                  <w:bookmarkEnd w:id="0"/>
                </w:p>
              </w:tc>
            </w:tr>
          </w:tbl>
          <w:p w14:paraId="562A91E9" w14:textId="77777777" w:rsidR="000F24FD" w:rsidRPr="000F24FD" w:rsidRDefault="000F24FD" w:rsidP="000F24FD">
            <w:pPr>
              <w:jc w:val="both"/>
              <w:rPr>
                <w:rFonts w:cs="Arial"/>
              </w:rPr>
            </w:pPr>
          </w:p>
          <w:p w14:paraId="55441CA4" w14:textId="77777777" w:rsidR="0039587D" w:rsidRDefault="000F24FD" w:rsidP="000F24FD">
            <w:pPr>
              <w:rPr>
                <w:rFonts w:cs="Arial"/>
              </w:rPr>
            </w:pPr>
            <w:r w:rsidRPr="000F24FD">
              <w:rPr>
                <w:rFonts w:cs="Arial"/>
              </w:rPr>
              <w:t>Results in Sunquest will flag according to the AM Reference Intervals.</w:t>
            </w:r>
          </w:p>
          <w:p w14:paraId="5CD00018" w14:textId="3A2C6C50" w:rsidR="000F24FD" w:rsidRPr="00DC7421" w:rsidRDefault="000F24FD" w:rsidP="000F24FD">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310BA8C7" w:rsidR="00E3253B" w:rsidRPr="00DC7421" w:rsidRDefault="000F24FD"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2400388B" w14:textId="010BF529" w:rsidR="006355F2" w:rsidRPr="006355F2" w:rsidRDefault="006355F2" w:rsidP="006355F2">
            <w:pPr>
              <w:autoSpaceDE w:val="0"/>
              <w:autoSpaceDN w:val="0"/>
              <w:adjustRightInd w:val="0"/>
              <w:rPr>
                <w:rFonts w:cs="Arial"/>
                <w:bCs/>
                <w:szCs w:val="20"/>
              </w:rPr>
            </w:pPr>
            <w:r w:rsidRPr="006355F2">
              <w:rPr>
                <w:rFonts w:cs="Arial"/>
                <w:bCs/>
                <w:szCs w:val="20"/>
              </w:rPr>
              <w:t>Due to the diurnal variation of cortisol levels in normal subjects,</w:t>
            </w:r>
            <w:r w:rsidR="00A84D7E">
              <w:rPr>
                <w:rFonts w:cs="Arial"/>
                <w:bCs/>
                <w:szCs w:val="20"/>
              </w:rPr>
              <w:t xml:space="preserve"> </w:t>
            </w:r>
            <w:r w:rsidRPr="006355F2">
              <w:rPr>
                <w:rFonts w:cs="Arial"/>
                <w:bCs/>
                <w:szCs w:val="20"/>
              </w:rPr>
              <w:t>all serum/plasma cortisol measurements should be referenced to</w:t>
            </w:r>
            <w:r w:rsidR="00A84D7E">
              <w:rPr>
                <w:rFonts w:cs="Arial"/>
                <w:bCs/>
                <w:szCs w:val="20"/>
              </w:rPr>
              <w:t xml:space="preserve"> </w:t>
            </w:r>
            <w:r w:rsidRPr="006355F2">
              <w:rPr>
                <w:rFonts w:cs="Arial"/>
                <w:bCs/>
                <w:szCs w:val="20"/>
              </w:rPr>
              <w:t>the time of day of sample collection.</w:t>
            </w:r>
          </w:p>
          <w:p w14:paraId="3EBFECCF" w14:textId="77777777" w:rsidR="00A84D7E" w:rsidRDefault="00A84D7E" w:rsidP="006355F2">
            <w:pPr>
              <w:autoSpaceDE w:val="0"/>
              <w:autoSpaceDN w:val="0"/>
              <w:adjustRightInd w:val="0"/>
              <w:rPr>
                <w:rFonts w:cs="Arial"/>
                <w:b/>
                <w:bCs/>
                <w:szCs w:val="20"/>
              </w:rPr>
            </w:pPr>
          </w:p>
          <w:p w14:paraId="4B96C393" w14:textId="2246F414" w:rsidR="006355F2" w:rsidRPr="006355F2" w:rsidRDefault="006355F2" w:rsidP="006355F2">
            <w:pPr>
              <w:autoSpaceDE w:val="0"/>
              <w:autoSpaceDN w:val="0"/>
              <w:adjustRightInd w:val="0"/>
              <w:rPr>
                <w:rFonts w:cs="Arial"/>
                <w:bCs/>
                <w:szCs w:val="20"/>
              </w:rPr>
            </w:pPr>
            <w:r w:rsidRPr="006355F2">
              <w:rPr>
                <w:rFonts w:cs="Arial"/>
                <w:bCs/>
                <w:szCs w:val="20"/>
              </w:rPr>
              <w:t>Patients receiving fludrocortisone, prednisolone or prednisone</w:t>
            </w:r>
            <w:r w:rsidR="00A84D7E">
              <w:rPr>
                <w:rFonts w:cs="Arial"/>
                <w:bCs/>
                <w:szCs w:val="20"/>
              </w:rPr>
              <w:t xml:space="preserve"> </w:t>
            </w:r>
            <w:r w:rsidRPr="006355F2">
              <w:rPr>
                <w:rFonts w:cs="Arial"/>
                <w:bCs/>
                <w:szCs w:val="20"/>
              </w:rPr>
              <w:t xml:space="preserve">(which is converted to prednisolone </w:t>
            </w:r>
            <w:r w:rsidRPr="006355F2">
              <w:rPr>
                <w:rFonts w:cs="Arial"/>
                <w:bCs/>
                <w:i/>
                <w:iCs/>
                <w:szCs w:val="20"/>
              </w:rPr>
              <w:t>in vivo</w:t>
            </w:r>
            <w:r w:rsidRPr="006355F2">
              <w:rPr>
                <w:rFonts w:cs="Arial"/>
                <w:bCs/>
                <w:szCs w:val="20"/>
              </w:rPr>
              <w:t>) may show artificially</w:t>
            </w:r>
            <w:r w:rsidR="00A84D7E">
              <w:rPr>
                <w:rFonts w:cs="Arial"/>
                <w:bCs/>
                <w:szCs w:val="20"/>
              </w:rPr>
              <w:t xml:space="preserve"> </w:t>
            </w:r>
            <w:r w:rsidRPr="006355F2">
              <w:rPr>
                <w:rFonts w:cs="Arial"/>
                <w:bCs/>
                <w:szCs w:val="20"/>
              </w:rPr>
              <w:t>elevated cortisol values due to cross-reactivity. Cross-reactivity to</w:t>
            </w:r>
            <w:r w:rsidR="00A84D7E">
              <w:rPr>
                <w:rFonts w:cs="Arial"/>
                <w:bCs/>
                <w:szCs w:val="20"/>
              </w:rPr>
              <w:t xml:space="preserve"> </w:t>
            </w:r>
            <w:r w:rsidRPr="006355F2">
              <w:rPr>
                <w:rFonts w:cs="Arial"/>
                <w:bCs/>
                <w:szCs w:val="20"/>
              </w:rPr>
              <w:t>endogenous and synthetic steroids is reported in the SPECIFIC</w:t>
            </w:r>
            <w:r w:rsidR="00A84D7E">
              <w:rPr>
                <w:rFonts w:cs="Arial"/>
                <w:bCs/>
                <w:szCs w:val="20"/>
              </w:rPr>
              <w:t xml:space="preserve"> PERFORMANCE </w:t>
            </w:r>
            <w:r w:rsidR="00867FBC">
              <w:rPr>
                <w:rFonts w:cs="Arial"/>
                <w:bCs/>
                <w:szCs w:val="20"/>
              </w:rPr>
              <w:t>C</w:t>
            </w:r>
            <w:r w:rsidRPr="006355F2">
              <w:rPr>
                <w:rFonts w:cs="Arial"/>
                <w:bCs/>
                <w:szCs w:val="20"/>
              </w:rPr>
              <w:t>HARACTERIST</w:t>
            </w:r>
            <w:r w:rsidR="00867FBC">
              <w:rPr>
                <w:rFonts w:cs="Arial"/>
                <w:bCs/>
                <w:szCs w:val="20"/>
              </w:rPr>
              <w:t>ICS, Specificity section in the</w:t>
            </w:r>
            <w:r w:rsidR="00A84D7E">
              <w:rPr>
                <w:rFonts w:cs="Arial"/>
                <w:bCs/>
                <w:szCs w:val="20"/>
              </w:rPr>
              <w:t xml:space="preserve"> </w:t>
            </w:r>
            <w:r w:rsidRPr="006355F2">
              <w:rPr>
                <w:rFonts w:cs="Arial"/>
                <w:bCs/>
                <w:szCs w:val="20"/>
              </w:rPr>
              <w:t>package insert.</w:t>
            </w:r>
          </w:p>
          <w:p w14:paraId="08482C97" w14:textId="77777777" w:rsidR="00A84D7E" w:rsidRDefault="00A84D7E" w:rsidP="006355F2">
            <w:pPr>
              <w:autoSpaceDE w:val="0"/>
              <w:autoSpaceDN w:val="0"/>
              <w:adjustRightInd w:val="0"/>
              <w:rPr>
                <w:rFonts w:cs="Arial"/>
                <w:b/>
                <w:bCs/>
                <w:szCs w:val="20"/>
              </w:rPr>
            </w:pPr>
          </w:p>
          <w:p w14:paraId="48AED1FF" w14:textId="51A4C906" w:rsidR="006355F2" w:rsidRPr="006355F2" w:rsidRDefault="006355F2" w:rsidP="006355F2">
            <w:pPr>
              <w:autoSpaceDE w:val="0"/>
              <w:autoSpaceDN w:val="0"/>
              <w:adjustRightInd w:val="0"/>
              <w:rPr>
                <w:rFonts w:cs="Arial"/>
                <w:bCs/>
                <w:szCs w:val="20"/>
              </w:rPr>
            </w:pPr>
            <w:r w:rsidRPr="006355F2">
              <w:rPr>
                <w:rFonts w:cs="Arial"/>
                <w:bCs/>
                <w:szCs w:val="20"/>
              </w:rPr>
              <w:t>If the cortisol results are inconsistent with clinical evidence,</w:t>
            </w:r>
            <w:r w:rsidR="00A84D7E">
              <w:rPr>
                <w:rFonts w:cs="Arial"/>
                <w:bCs/>
                <w:szCs w:val="20"/>
              </w:rPr>
              <w:t xml:space="preserve"> </w:t>
            </w:r>
            <w:r w:rsidRPr="006355F2">
              <w:rPr>
                <w:rFonts w:cs="Arial"/>
                <w:bCs/>
                <w:szCs w:val="20"/>
              </w:rPr>
              <w:t>additional testing is suggested to confirm the result.</w:t>
            </w:r>
          </w:p>
          <w:p w14:paraId="2676F235" w14:textId="77777777" w:rsidR="00A84D7E" w:rsidRDefault="00A84D7E" w:rsidP="006355F2">
            <w:pPr>
              <w:autoSpaceDE w:val="0"/>
              <w:autoSpaceDN w:val="0"/>
              <w:adjustRightInd w:val="0"/>
              <w:rPr>
                <w:rFonts w:cs="Arial"/>
                <w:b/>
                <w:bCs/>
                <w:szCs w:val="20"/>
              </w:rPr>
            </w:pPr>
          </w:p>
          <w:p w14:paraId="01E962A2" w14:textId="7EF04C41" w:rsidR="006355F2" w:rsidRDefault="006355F2" w:rsidP="006355F2">
            <w:pPr>
              <w:autoSpaceDE w:val="0"/>
              <w:autoSpaceDN w:val="0"/>
              <w:adjustRightInd w:val="0"/>
              <w:rPr>
                <w:rFonts w:cs="Arial"/>
                <w:bCs/>
                <w:szCs w:val="20"/>
              </w:rPr>
            </w:pPr>
            <w:r w:rsidRPr="006355F2">
              <w:rPr>
                <w:rFonts w:cs="Arial"/>
                <w:bCs/>
                <w:szCs w:val="20"/>
              </w:rPr>
              <w:t>For diagnostic purposes, results should be used in conjunction</w:t>
            </w:r>
            <w:r w:rsidR="00A84D7E">
              <w:rPr>
                <w:rFonts w:cs="Arial"/>
                <w:bCs/>
                <w:szCs w:val="20"/>
              </w:rPr>
              <w:t xml:space="preserve"> </w:t>
            </w:r>
            <w:r w:rsidRPr="006355F2">
              <w:rPr>
                <w:rFonts w:cs="Arial"/>
                <w:bCs/>
                <w:szCs w:val="20"/>
              </w:rPr>
              <w:t>with other data; e.g., symptoms, results of other tests, clinical</w:t>
            </w:r>
            <w:r w:rsidR="00A84D7E">
              <w:rPr>
                <w:rFonts w:cs="Arial"/>
                <w:bCs/>
                <w:szCs w:val="20"/>
              </w:rPr>
              <w:t xml:space="preserve"> </w:t>
            </w:r>
            <w:r w:rsidRPr="006355F2">
              <w:rPr>
                <w:rFonts w:cs="Arial"/>
                <w:bCs/>
                <w:szCs w:val="20"/>
              </w:rPr>
              <w:t>impressions, etc.</w:t>
            </w:r>
          </w:p>
          <w:p w14:paraId="63AA53AB" w14:textId="77777777" w:rsidR="00A84D7E" w:rsidRPr="006355F2" w:rsidRDefault="00A84D7E" w:rsidP="006355F2">
            <w:pPr>
              <w:autoSpaceDE w:val="0"/>
              <w:autoSpaceDN w:val="0"/>
              <w:adjustRightInd w:val="0"/>
              <w:rPr>
                <w:rFonts w:cs="Arial"/>
                <w:bCs/>
                <w:szCs w:val="20"/>
              </w:rPr>
            </w:pPr>
          </w:p>
          <w:p w14:paraId="29DE9607" w14:textId="04546754" w:rsidR="006355F2" w:rsidRDefault="006355F2" w:rsidP="006355F2">
            <w:pPr>
              <w:autoSpaceDE w:val="0"/>
              <w:autoSpaceDN w:val="0"/>
              <w:adjustRightInd w:val="0"/>
              <w:rPr>
                <w:rFonts w:cs="Arial"/>
                <w:bCs/>
                <w:szCs w:val="20"/>
              </w:rPr>
            </w:pPr>
            <w:r w:rsidRPr="006355F2">
              <w:rPr>
                <w:rFonts w:cs="Arial"/>
                <w:bCs/>
                <w:szCs w:val="20"/>
              </w:rPr>
              <w:t>Specimens from patients who have received preparations</w:t>
            </w:r>
            <w:r w:rsidR="00A84D7E">
              <w:rPr>
                <w:rFonts w:cs="Arial"/>
                <w:bCs/>
                <w:szCs w:val="20"/>
              </w:rPr>
              <w:t xml:space="preserve"> </w:t>
            </w:r>
            <w:r w:rsidRPr="006355F2">
              <w:rPr>
                <w:rFonts w:cs="Arial"/>
                <w:bCs/>
                <w:szCs w:val="20"/>
              </w:rPr>
              <w:t>of mouse monoclonal antibodies for diagnosis or therapy</w:t>
            </w:r>
            <w:r w:rsidR="00A84D7E">
              <w:rPr>
                <w:rFonts w:cs="Arial"/>
                <w:bCs/>
                <w:szCs w:val="20"/>
              </w:rPr>
              <w:t xml:space="preserve"> </w:t>
            </w:r>
            <w:r w:rsidRPr="006355F2">
              <w:rPr>
                <w:rFonts w:cs="Arial"/>
                <w:bCs/>
                <w:szCs w:val="20"/>
              </w:rPr>
              <w:t>may contain human ant</w:t>
            </w:r>
            <w:r w:rsidR="00A84D7E">
              <w:rPr>
                <w:rFonts w:cs="Arial"/>
                <w:bCs/>
                <w:szCs w:val="20"/>
              </w:rPr>
              <w:t>i-mouse antibodies (HAMA).</w:t>
            </w:r>
            <w:r w:rsidRPr="006355F2">
              <w:rPr>
                <w:rFonts w:cs="Arial"/>
                <w:bCs/>
                <w:szCs w:val="20"/>
              </w:rPr>
              <w:t xml:space="preserve"> Such</w:t>
            </w:r>
            <w:r w:rsidR="00A84D7E">
              <w:rPr>
                <w:rFonts w:cs="Arial"/>
                <w:bCs/>
                <w:szCs w:val="20"/>
              </w:rPr>
              <w:t xml:space="preserve"> </w:t>
            </w:r>
            <w:r w:rsidRPr="006355F2">
              <w:rPr>
                <w:rFonts w:cs="Arial"/>
                <w:bCs/>
                <w:szCs w:val="20"/>
              </w:rPr>
              <w:t>specimens may show either falsely elevated or depressed values</w:t>
            </w:r>
            <w:r w:rsidR="00A84D7E">
              <w:rPr>
                <w:rFonts w:cs="Arial"/>
                <w:bCs/>
                <w:szCs w:val="20"/>
              </w:rPr>
              <w:t xml:space="preserve"> </w:t>
            </w:r>
            <w:r w:rsidRPr="006355F2">
              <w:rPr>
                <w:rFonts w:cs="Arial"/>
                <w:bCs/>
                <w:szCs w:val="20"/>
              </w:rPr>
              <w:t>when tested with assay kits that employ mouse monoclonal</w:t>
            </w:r>
            <w:r w:rsidR="00A84D7E">
              <w:rPr>
                <w:rFonts w:cs="Arial"/>
                <w:bCs/>
                <w:szCs w:val="20"/>
              </w:rPr>
              <w:t xml:space="preserve"> antibodies.</w:t>
            </w:r>
            <w:r w:rsidRPr="006355F2">
              <w:rPr>
                <w:rFonts w:cs="Arial"/>
                <w:bCs/>
                <w:szCs w:val="20"/>
              </w:rPr>
              <w:t xml:space="preserve"> Assay results that are not consistent with other</w:t>
            </w:r>
            <w:r w:rsidR="00A84D7E">
              <w:rPr>
                <w:rFonts w:cs="Arial"/>
                <w:bCs/>
                <w:szCs w:val="20"/>
              </w:rPr>
              <w:t xml:space="preserve"> </w:t>
            </w:r>
            <w:r w:rsidRPr="006355F2">
              <w:rPr>
                <w:rFonts w:cs="Arial"/>
                <w:bCs/>
                <w:szCs w:val="20"/>
              </w:rPr>
              <w:t>clinical observations may require additional information for</w:t>
            </w:r>
            <w:r w:rsidR="00A84D7E">
              <w:rPr>
                <w:rFonts w:cs="Arial"/>
                <w:bCs/>
                <w:szCs w:val="20"/>
              </w:rPr>
              <w:t xml:space="preserve"> </w:t>
            </w:r>
            <w:r w:rsidRPr="006355F2">
              <w:rPr>
                <w:rFonts w:cs="Arial"/>
                <w:bCs/>
                <w:szCs w:val="20"/>
              </w:rPr>
              <w:t>diagnosis.</w:t>
            </w:r>
          </w:p>
          <w:p w14:paraId="350CA675" w14:textId="77777777" w:rsidR="00A84D7E" w:rsidRPr="006355F2" w:rsidRDefault="00A84D7E" w:rsidP="006355F2">
            <w:pPr>
              <w:autoSpaceDE w:val="0"/>
              <w:autoSpaceDN w:val="0"/>
              <w:adjustRightInd w:val="0"/>
              <w:rPr>
                <w:rFonts w:cs="Arial"/>
                <w:bCs/>
                <w:szCs w:val="20"/>
              </w:rPr>
            </w:pPr>
          </w:p>
          <w:p w14:paraId="60AC116E" w14:textId="248C9D85" w:rsidR="006355F2" w:rsidRPr="006355F2" w:rsidRDefault="006355F2" w:rsidP="006355F2">
            <w:pPr>
              <w:autoSpaceDE w:val="0"/>
              <w:autoSpaceDN w:val="0"/>
              <w:adjustRightInd w:val="0"/>
              <w:rPr>
                <w:rFonts w:cs="Arial"/>
                <w:bCs/>
                <w:szCs w:val="20"/>
              </w:rPr>
            </w:pPr>
            <w:r w:rsidRPr="006355F2">
              <w:rPr>
                <w:rFonts w:cs="Arial"/>
                <w:bCs/>
                <w:szCs w:val="20"/>
              </w:rPr>
              <w:t>Heterophilic antibodies in human serum can react with reagent</w:t>
            </w:r>
            <w:r w:rsidR="00A84D7E">
              <w:rPr>
                <w:rFonts w:cs="Arial"/>
                <w:bCs/>
                <w:szCs w:val="20"/>
              </w:rPr>
              <w:t xml:space="preserve"> </w:t>
            </w:r>
            <w:r w:rsidRPr="006355F2">
              <w:rPr>
                <w:rFonts w:cs="Arial"/>
                <w:bCs/>
                <w:szCs w:val="20"/>
              </w:rPr>
              <w:t xml:space="preserve">immunoglobulins, interfering with </w:t>
            </w:r>
            <w:r w:rsidRPr="006355F2">
              <w:rPr>
                <w:rFonts w:cs="Arial"/>
                <w:bCs/>
                <w:i/>
                <w:iCs/>
                <w:szCs w:val="20"/>
              </w:rPr>
              <w:t xml:space="preserve">in vitro </w:t>
            </w:r>
            <w:r w:rsidR="00A84D7E">
              <w:rPr>
                <w:rFonts w:cs="Arial"/>
                <w:bCs/>
                <w:szCs w:val="20"/>
              </w:rPr>
              <w:t>immunoassays.</w:t>
            </w:r>
            <w:r w:rsidRPr="006355F2">
              <w:rPr>
                <w:rFonts w:cs="Arial"/>
                <w:bCs/>
                <w:szCs w:val="20"/>
              </w:rPr>
              <w:t xml:space="preserve"> The</w:t>
            </w:r>
            <w:r w:rsidR="00A84D7E">
              <w:rPr>
                <w:rFonts w:cs="Arial"/>
                <w:bCs/>
                <w:szCs w:val="20"/>
              </w:rPr>
              <w:t xml:space="preserve"> </w:t>
            </w:r>
            <w:r w:rsidRPr="006355F2">
              <w:rPr>
                <w:rFonts w:cs="Arial"/>
                <w:bCs/>
                <w:szCs w:val="20"/>
              </w:rPr>
              <w:t>presence of heterophilic antibodies in a patient specimen may</w:t>
            </w:r>
            <w:r w:rsidR="00A84D7E">
              <w:rPr>
                <w:rFonts w:cs="Arial"/>
                <w:bCs/>
                <w:szCs w:val="20"/>
              </w:rPr>
              <w:t xml:space="preserve"> </w:t>
            </w:r>
            <w:r w:rsidRPr="006355F2">
              <w:rPr>
                <w:rFonts w:cs="Arial"/>
                <w:bCs/>
                <w:szCs w:val="20"/>
              </w:rPr>
              <w:t xml:space="preserve">cause anomalous values to be </w:t>
            </w:r>
            <w:r w:rsidR="00A84D7E">
              <w:rPr>
                <w:rFonts w:cs="Arial"/>
                <w:bCs/>
                <w:szCs w:val="20"/>
              </w:rPr>
              <w:t>observed.</w:t>
            </w:r>
            <w:r w:rsidRPr="006355F2">
              <w:rPr>
                <w:rFonts w:cs="Arial"/>
                <w:bCs/>
                <w:szCs w:val="20"/>
              </w:rPr>
              <w:t xml:space="preserve"> Additional information</w:t>
            </w:r>
            <w:r w:rsidR="00A84D7E">
              <w:rPr>
                <w:rFonts w:cs="Arial"/>
                <w:bCs/>
                <w:szCs w:val="20"/>
              </w:rPr>
              <w:t xml:space="preserve"> </w:t>
            </w:r>
            <w:r w:rsidRPr="006355F2">
              <w:rPr>
                <w:rFonts w:cs="Arial"/>
                <w:bCs/>
                <w:szCs w:val="20"/>
              </w:rPr>
              <w:t>may be required for diagnosis.</w:t>
            </w:r>
          </w:p>
          <w:p w14:paraId="70A24F9E" w14:textId="77777777" w:rsidR="00A84D7E" w:rsidRDefault="00A84D7E" w:rsidP="006355F2">
            <w:pPr>
              <w:autoSpaceDE w:val="0"/>
              <w:autoSpaceDN w:val="0"/>
              <w:adjustRightInd w:val="0"/>
              <w:rPr>
                <w:rFonts w:cs="Arial"/>
                <w:b/>
                <w:bCs/>
                <w:szCs w:val="20"/>
              </w:rPr>
            </w:pPr>
          </w:p>
          <w:p w14:paraId="2339A91F" w14:textId="77777777" w:rsidR="00DC7421" w:rsidRDefault="006355F2" w:rsidP="006355F2">
            <w:pPr>
              <w:autoSpaceDE w:val="0"/>
              <w:autoSpaceDN w:val="0"/>
              <w:adjustRightInd w:val="0"/>
              <w:rPr>
                <w:rFonts w:cs="Arial"/>
                <w:bCs/>
                <w:szCs w:val="20"/>
              </w:rPr>
            </w:pPr>
            <w:r w:rsidRPr="006355F2">
              <w:rPr>
                <w:rFonts w:cs="Arial"/>
                <w:bCs/>
                <w:szCs w:val="20"/>
              </w:rPr>
              <w:t>The concentration of cortisol in a given specimen, determined</w:t>
            </w:r>
            <w:r w:rsidR="00A84D7E">
              <w:rPr>
                <w:rFonts w:cs="Arial"/>
                <w:bCs/>
                <w:szCs w:val="20"/>
              </w:rPr>
              <w:t xml:space="preserve"> </w:t>
            </w:r>
            <w:r w:rsidRPr="006355F2">
              <w:rPr>
                <w:rFonts w:cs="Arial"/>
                <w:bCs/>
                <w:szCs w:val="20"/>
              </w:rPr>
              <w:t>with assays from different manufacturers, can vary due to</w:t>
            </w:r>
            <w:r w:rsidR="00A84D7E">
              <w:rPr>
                <w:rFonts w:cs="Arial"/>
                <w:bCs/>
                <w:szCs w:val="20"/>
              </w:rPr>
              <w:t xml:space="preserve"> </w:t>
            </w:r>
            <w:r w:rsidRPr="006355F2">
              <w:rPr>
                <w:rFonts w:cs="Arial"/>
                <w:bCs/>
                <w:szCs w:val="20"/>
              </w:rPr>
              <w:t>differences in assay methods, calibration, and reagent specificity.</w:t>
            </w:r>
          </w:p>
          <w:p w14:paraId="5CD00021" w14:textId="444A2649" w:rsidR="000F24FD" w:rsidRPr="00DC7421" w:rsidRDefault="000F24FD" w:rsidP="006355F2">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lastRenderedPageBreak/>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2EDEE503" w14:textId="77777777" w:rsidTr="005C0FCC">
              <w:tc>
                <w:tcPr>
                  <w:tcW w:w="9067" w:type="dxa"/>
                  <w:gridSpan w:val="2"/>
                </w:tcPr>
                <w:p w14:paraId="04C5AF33" w14:textId="6EE6147A" w:rsidR="00F83DB0" w:rsidRPr="003F4FD3" w:rsidRDefault="003F4FD3" w:rsidP="003F4FD3">
                  <w:pPr>
                    <w:autoSpaceDE w:val="0"/>
                    <w:autoSpaceDN w:val="0"/>
                    <w:adjustRightInd w:val="0"/>
                    <w:rPr>
                      <w:rFonts w:cs="Arial"/>
                      <w:b/>
                      <w:bCs/>
                      <w:color w:val="984806" w:themeColor="accent6" w:themeShade="80"/>
                      <w:szCs w:val="20"/>
                    </w:rPr>
                  </w:pPr>
                  <w:r w:rsidRPr="00DC7421">
                    <w:rPr>
                      <w:rFonts w:cs="Arial"/>
                      <w:b/>
                      <w:bCs/>
                      <w:color w:val="7030A0"/>
                    </w:rPr>
                    <w:t>Alinity c</w:t>
                  </w:r>
                  <w:r>
                    <w:rPr>
                      <w:rFonts w:cs="Arial"/>
                      <w:b/>
                      <w:bCs/>
                      <w:color w:val="7030A0"/>
                    </w:rPr>
                    <w:t xml:space="preserve"> </w:t>
                  </w:r>
                  <w:r w:rsidRPr="00276E30">
                    <w:rPr>
                      <w:rFonts w:cs="Arial"/>
                      <w:b/>
                      <w:bCs/>
                    </w:rPr>
                    <w:t>and</w:t>
                  </w:r>
                  <w:r>
                    <w:rPr>
                      <w:rFonts w:cs="Arial"/>
                      <w:b/>
                      <w:bCs/>
                      <w:color w:val="984806" w:themeColor="accent6" w:themeShade="80"/>
                      <w:szCs w:val="20"/>
                    </w:rPr>
                    <w:t xml:space="preserve"> Architect i1000:</w:t>
                  </w:r>
                </w:p>
              </w:tc>
            </w:tr>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7B2853" w14:textId="6410D07C" w:rsidR="00EE30DA" w:rsidRPr="00EE30DA" w:rsidRDefault="00867FBC" w:rsidP="00EE30DA">
                  <w:pPr>
                    <w:autoSpaceDE w:val="0"/>
                    <w:autoSpaceDN w:val="0"/>
                    <w:adjustRightInd w:val="0"/>
                    <w:rPr>
                      <w:rFonts w:cs="Arial"/>
                      <w:szCs w:val="20"/>
                    </w:rPr>
                  </w:pPr>
                  <w:r>
                    <w:rPr>
                      <w:rFonts w:cs="Arial"/>
                      <w:szCs w:val="20"/>
                    </w:rPr>
                    <w:t>1:2</w:t>
                  </w:r>
                </w:p>
                <w:p w14:paraId="1B18B669" w14:textId="1F6D6070" w:rsidR="00F83DB0" w:rsidRPr="00A23086" w:rsidRDefault="00F83DB0" w:rsidP="00EE30DA">
                  <w:pPr>
                    <w:autoSpaceDE w:val="0"/>
                    <w:autoSpaceDN w:val="0"/>
                    <w:adjustRightInd w:val="0"/>
                    <w:rPr>
                      <w:rFonts w:cs="Arial"/>
                      <w:szCs w:val="20"/>
                      <w:highlight w:val="yellow"/>
                    </w:rPr>
                  </w:pP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2E4C584B" w14:textId="4EA20EBE" w:rsidR="00EE30DA" w:rsidRDefault="00EE30DA" w:rsidP="00EE30DA">
                  <w:pPr>
                    <w:autoSpaceDE w:val="0"/>
                    <w:autoSpaceDN w:val="0"/>
                    <w:adjustRightInd w:val="0"/>
                    <w:rPr>
                      <w:rFonts w:cs="Arial"/>
                      <w:szCs w:val="20"/>
                    </w:rPr>
                  </w:pPr>
                  <w:r w:rsidRPr="00867FBC">
                    <w:rPr>
                      <w:rFonts w:cs="Arial"/>
                      <w:szCs w:val="20"/>
                    </w:rPr>
                    <w:t>1:4</w:t>
                  </w:r>
                </w:p>
                <w:p w14:paraId="3A1C73CD" w14:textId="77777777" w:rsidR="00867FBC" w:rsidRPr="00867FBC" w:rsidRDefault="00867FBC" w:rsidP="00EE30DA">
                  <w:pPr>
                    <w:autoSpaceDE w:val="0"/>
                    <w:autoSpaceDN w:val="0"/>
                    <w:adjustRightInd w:val="0"/>
                    <w:rPr>
                      <w:rFonts w:cs="Arial"/>
                      <w:szCs w:val="20"/>
                    </w:rPr>
                  </w:pPr>
                </w:p>
                <w:p w14:paraId="573B8C2D" w14:textId="04D51EE5" w:rsidR="00EE30DA" w:rsidRPr="00867FBC" w:rsidRDefault="00EE30DA" w:rsidP="00EE30DA">
                  <w:pPr>
                    <w:autoSpaceDE w:val="0"/>
                    <w:autoSpaceDN w:val="0"/>
                    <w:adjustRightInd w:val="0"/>
                    <w:rPr>
                      <w:rFonts w:cs="Arial"/>
                      <w:szCs w:val="20"/>
                    </w:rPr>
                  </w:pPr>
                  <w:r w:rsidRPr="00867FBC">
                    <w:rPr>
                      <w:rFonts w:cs="Arial"/>
                      <w:szCs w:val="20"/>
                    </w:rPr>
                    <w:t xml:space="preserve">Add 50 </w:t>
                  </w:r>
                  <w:r w:rsidRPr="00867FBC">
                    <w:rPr>
                      <w:rFonts w:cs="Arial" w:hint="eastAsia"/>
                      <w:szCs w:val="20"/>
                    </w:rPr>
                    <w:t>μ</w:t>
                  </w:r>
                  <w:r w:rsidRPr="00867FBC">
                    <w:rPr>
                      <w:rFonts w:cs="Arial"/>
                      <w:szCs w:val="20"/>
                    </w:rPr>
                    <w:t xml:space="preserve">L of the sample to 150 </w:t>
                  </w:r>
                  <w:r w:rsidRPr="00867FBC">
                    <w:rPr>
                      <w:rFonts w:cs="Arial" w:hint="eastAsia"/>
                      <w:szCs w:val="20"/>
                    </w:rPr>
                    <w:t>μ</w:t>
                  </w:r>
                  <w:r w:rsidRPr="00867FBC">
                    <w:rPr>
                      <w:rFonts w:cs="Arial"/>
                      <w:szCs w:val="20"/>
                    </w:rPr>
                    <w:t>L of Cortisol Calibrator A.</w:t>
                  </w:r>
                  <w:r w:rsidR="00867FBC">
                    <w:rPr>
                      <w:rFonts w:cs="Arial"/>
                      <w:szCs w:val="20"/>
                    </w:rPr>
                    <w:t xml:space="preserve"> </w:t>
                  </w:r>
                  <w:r w:rsidRPr="00867FBC">
                    <w:rPr>
                      <w:rFonts w:cs="Arial"/>
                      <w:szCs w:val="20"/>
                    </w:rPr>
                    <w:t>The operator must enter the dilution factor in the Specimen or</w:t>
                  </w:r>
                  <w:r w:rsidR="00867FBC">
                    <w:rPr>
                      <w:rFonts w:cs="Arial"/>
                      <w:szCs w:val="20"/>
                    </w:rPr>
                    <w:t xml:space="preserve"> </w:t>
                  </w:r>
                  <w:r w:rsidRPr="00867FBC">
                    <w:rPr>
                      <w:rFonts w:cs="Arial"/>
                      <w:szCs w:val="20"/>
                    </w:rPr>
                    <w:t>Control tab of the Create Order screen. The system will use this</w:t>
                  </w:r>
                  <w:r w:rsidR="00867FBC">
                    <w:rPr>
                      <w:rFonts w:cs="Arial"/>
                      <w:szCs w:val="20"/>
                    </w:rPr>
                    <w:t xml:space="preserve"> </w:t>
                  </w:r>
                  <w:r w:rsidRPr="00867FBC">
                    <w:rPr>
                      <w:rFonts w:cs="Arial"/>
                      <w:szCs w:val="20"/>
                    </w:rPr>
                    <w:t>dilution factor to automatically calculate the concentration of the</w:t>
                  </w:r>
                  <w:r w:rsidR="00867FBC">
                    <w:rPr>
                      <w:rFonts w:cs="Arial"/>
                      <w:szCs w:val="20"/>
                    </w:rPr>
                    <w:t xml:space="preserve"> </w:t>
                  </w:r>
                  <w:r w:rsidRPr="00867FBC">
                    <w:rPr>
                      <w:rFonts w:cs="Arial"/>
                      <w:szCs w:val="20"/>
                    </w:rPr>
                    <w:t xml:space="preserve">sample and report the result. The result should be &gt; 3.0 </w:t>
                  </w:r>
                  <w:r w:rsidRPr="00867FBC">
                    <w:rPr>
                      <w:rFonts w:cs="Arial" w:hint="eastAsia"/>
                      <w:szCs w:val="20"/>
                    </w:rPr>
                    <w:t>μ</w:t>
                  </w:r>
                  <w:r w:rsidRPr="00867FBC">
                    <w:rPr>
                      <w:rFonts w:cs="Arial"/>
                      <w:szCs w:val="20"/>
                    </w:rPr>
                    <w:t>g/dL</w:t>
                  </w:r>
                  <w:r w:rsidR="00867FBC">
                    <w:rPr>
                      <w:rFonts w:cs="Arial"/>
                      <w:szCs w:val="20"/>
                    </w:rPr>
                    <w:t xml:space="preserve"> </w:t>
                  </w:r>
                  <w:r w:rsidRPr="00867FBC">
                    <w:rPr>
                      <w:rFonts w:cs="Arial"/>
                      <w:szCs w:val="20"/>
                    </w:rPr>
                    <w:t>before the dilution factor is applied.</w:t>
                  </w:r>
                </w:p>
                <w:p w14:paraId="5209586A" w14:textId="0FE30013" w:rsidR="00F83DB0" w:rsidRPr="00A23086" w:rsidRDefault="00F83DB0" w:rsidP="00EE30DA">
                  <w:pPr>
                    <w:autoSpaceDE w:val="0"/>
                    <w:autoSpaceDN w:val="0"/>
                    <w:adjustRightInd w:val="0"/>
                    <w:rPr>
                      <w:rFonts w:cs="Arial"/>
                      <w:szCs w:val="20"/>
                      <w:highlight w:val="yellow"/>
                    </w:rPr>
                  </w:pP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15A30A2F" w:rsidR="00F83DB0" w:rsidRPr="00EC40A2" w:rsidRDefault="003F4FD3" w:rsidP="003F4FD3">
                  <w:pPr>
                    <w:autoSpaceDE w:val="0"/>
                    <w:autoSpaceDN w:val="0"/>
                    <w:adjustRightInd w:val="0"/>
                    <w:rPr>
                      <w:rFonts w:cs="Arial"/>
                      <w:szCs w:val="20"/>
                    </w:rPr>
                  </w:pPr>
                  <w:r w:rsidRPr="00DC7421">
                    <w:rPr>
                      <w:rFonts w:cs="Arial"/>
                      <w:b/>
                      <w:bCs/>
                      <w:color w:val="7030A0"/>
                    </w:rPr>
                    <w:t>Alinity c</w:t>
                  </w:r>
                  <w:r>
                    <w:rPr>
                      <w:rFonts w:cs="Arial"/>
                      <w:b/>
                      <w:bCs/>
                      <w:color w:val="7030A0"/>
                    </w:rPr>
                    <w:t xml:space="preserve"> </w:t>
                  </w:r>
                  <w:r>
                    <w:rPr>
                      <w:rFonts w:cs="Arial"/>
                      <w:b/>
                      <w:bCs/>
                    </w:rPr>
                    <w:t>or</w:t>
                  </w:r>
                  <w:r>
                    <w:rPr>
                      <w:rFonts w:cs="Arial"/>
                      <w:b/>
                      <w:bCs/>
                      <w:color w:val="984806" w:themeColor="accent6" w:themeShade="80"/>
                      <w:szCs w:val="20"/>
                    </w:rPr>
                    <w:t xml:space="preserve"> Architect i1000 </w:t>
                  </w:r>
                  <w:r w:rsidRPr="003F4FD3">
                    <w:rPr>
                      <w:rFonts w:cs="Arial"/>
                      <w:bCs/>
                      <w:szCs w:val="20"/>
                    </w:rPr>
                    <w:t>Co</w:t>
                  </w:r>
                  <w:r w:rsidR="00EE30DA">
                    <w:rPr>
                      <w:rFonts w:cs="Arial"/>
                      <w:szCs w:val="20"/>
                    </w:rPr>
                    <w:t>rtisol Calibrator A</w:t>
                  </w:r>
                </w:p>
              </w:tc>
            </w:tr>
            <w:tr w:rsidR="00F83DB0" w:rsidRPr="00EC40A2" w14:paraId="130A8B4A" w14:textId="77777777" w:rsidTr="005C0FCC">
              <w:tc>
                <w:tcPr>
                  <w:tcW w:w="1867" w:type="dxa"/>
                </w:tcPr>
                <w:p w14:paraId="3BF17F7E" w14:textId="77777777" w:rsidR="00F83DB0" w:rsidRPr="00EC40A2" w:rsidRDefault="00F83DB0" w:rsidP="00F83DB0">
                  <w:pPr>
                    <w:rPr>
                      <w:rFonts w:cs="Arial"/>
                      <w:szCs w:val="20"/>
                    </w:rPr>
                  </w:pPr>
                  <w:r w:rsidRPr="00EC40A2">
                    <w:rPr>
                      <w:rFonts w:cs="Arial"/>
                      <w:szCs w:val="20"/>
                    </w:rPr>
                    <w:t>Manual Dilution:</w:t>
                  </w:r>
                </w:p>
              </w:tc>
              <w:tc>
                <w:tcPr>
                  <w:tcW w:w="7200" w:type="dxa"/>
                </w:tcPr>
                <w:p w14:paraId="3AB4E9ED" w14:textId="41345869" w:rsidR="00F83DB0" w:rsidRPr="00EC40A2"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4" w:history="1">
                    <w:r w:rsidRPr="00EC40A2">
                      <w:rPr>
                        <w:rStyle w:val="Hyperlink"/>
                        <w:rFonts w:cs="Arial"/>
                        <w:szCs w:val="20"/>
                      </w:rPr>
                      <w:t>Alinity Operator’s Manual</w:t>
                    </w:r>
                  </w:hyperlink>
                  <w:r w:rsidRPr="00EC40A2">
                    <w:rPr>
                      <w:rFonts w:cs="Arial"/>
                      <w:szCs w:val="20"/>
                    </w:rPr>
                    <w:t xml:space="preserve"> </w:t>
                  </w:r>
                  <w:r w:rsidR="00867FBC">
                    <w:rPr>
                      <w:rFonts w:cs="Arial"/>
                      <w:szCs w:val="20"/>
                    </w:rPr>
                    <w:t xml:space="preserve">or </w:t>
                  </w:r>
                  <w:hyperlink r:id="rId15" w:history="1">
                    <w:r w:rsidR="00867FBC" w:rsidRPr="00867FBC">
                      <w:rPr>
                        <w:rStyle w:val="Hyperlink"/>
                        <w:rFonts w:cs="Arial"/>
                        <w:szCs w:val="20"/>
                      </w:rPr>
                      <w:t>Architect Operator’s Manual</w:t>
                    </w:r>
                  </w:hyperlink>
                  <w:r w:rsidR="00867FBC">
                    <w:rPr>
                      <w:rFonts w:cs="Arial"/>
                      <w:szCs w:val="20"/>
                    </w:rPr>
                    <w:t xml:space="preserve"> </w:t>
                  </w:r>
                  <w:r w:rsidRPr="00EC40A2">
                    <w:rPr>
                      <w:rFonts w:cs="Arial"/>
                      <w:szCs w:val="20"/>
                    </w:rPr>
                    <w:t>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497F0B2E" w14:textId="77777777" w:rsidR="00F83DB0" w:rsidRPr="00EC40A2" w:rsidRDefault="00F83DB0" w:rsidP="00F83DB0">
                  <w:pPr>
                    <w:autoSpaceDE w:val="0"/>
                    <w:autoSpaceDN w:val="0"/>
                    <w:adjustRightInd w:val="0"/>
                    <w:rPr>
                      <w:rFonts w:eastAsia="HelenPro-Regular" w:cs="Arial"/>
                      <w:szCs w:val="20"/>
                    </w:rPr>
                  </w:pPr>
                </w:p>
                <w:p w14:paraId="29DCB4A3" w14:textId="3173AC8F" w:rsidR="00F83DB0" w:rsidRPr="00EC40A2" w:rsidRDefault="00F83DB0" w:rsidP="003F4FD3">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 xml:space="preserve">e of the measuring interval of </w:t>
                  </w:r>
                  <w:r w:rsidR="00867FBC">
                    <w:rPr>
                      <w:rFonts w:eastAsia="HelenPro-Regular" w:cs="Arial"/>
                      <w:szCs w:val="20"/>
                    </w:rPr>
                    <w:t>1</w:t>
                  </w:r>
                  <w:r w:rsidRPr="00EC40A2">
                    <w:rPr>
                      <w:rFonts w:eastAsia="HelenPro-Regular" w:cs="Arial"/>
                      <w:szCs w:val="20"/>
                    </w:rPr>
                    <w:t>, do no</w:t>
                  </w:r>
                  <w:r>
                    <w:rPr>
                      <w:rFonts w:eastAsia="HelenPro-Regular" w:cs="Arial"/>
                      <w:szCs w:val="20"/>
                    </w:rPr>
                    <w:t>t report the result. Rerun and/or</w:t>
                  </w:r>
                  <w:r w:rsidRPr="00EC40A2">
                    <w:rPr>
                      <w:rFonts w:eastAsia="HelenPro-Regular" w:cs="Arial"/>
                      <w:szCs w:val="20"/>
                    </w:rPr>
                    <w:t xml:space="preserve"> invest</w:t>
                  </w:r>
                  <w:r>
                    <w:rPr>
                      <w:rFonts w:eastAsia="HelenPro-Regular" w:cs="Arial"/>
                      <w:szCs w:val="20"/>
                    </w:rPr>
                    <w:t>igate for other possible causes of error.</w:t>
                  </w: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207B1F4" w14:textId="77777777" w:rsidR="003F4FD3" w:rsidRPr="003F4FD3" w:rsidRDefault="003F4FD3" w:rsidP="003F4FD3">
            <w:pPr>
              <w:pStyle w:val="Header"/>
              <w:tabs>
                <w:tab w:val="clear" w:pos="4320"/>
                <w:tab w:val="clear" w:pos="8640"/>
              </w:tabs>
              <w:rPr>
                <w:rFonts w:cs="Arial"/>
                <w:szCs w:val="20"/>
              </w:rPr>
            </w:pPr>
            <w:r w:rsidRPr="00DC7421">
              <w:rPr>
                <w:rFonts w:cs="Arial"/>
                <w:b/>
                <w:bCs/>
                <w:color w:val="7030A0"/>
              </w:rPr>
              <w:t>Alinity c</w:t>
            </w:r>
            <w:r>
              <w:rPr>
                <w:rFonts w:cs="Arial"/>
                <w:b/>
                <w:bCs/>
                <w:color w:val="7030A0"/>
              </w:rPr>
              <w:t xml:space="preserve"> </w:t>
            </w:r>
            <w:r w:rsidRPr="00276E30">
              <w:rPr>
                <w:rFonts w:cs="Arial"/>
                <w:b/>
                <w:bCs/>
              </w:rPr>
              <w:t>and</w:t>
            </w:r>
            <w:r>
              <w:rPr>
                <w:rFonts w:cs="Arial"/>
                <w:b/>
                <w:bCs/>
                <w:color w:val="984806" w:themeColor="accent6" w:themeShade="80"/>
                <w:szCs w:val="20"/>
              </w:rPr>
              <w:t xml:space="preserve"> Architect i1000:</w:t>
            </w:r>
          </w:p>
          <w:p w14:paraId="7EEC7ABE" w14:textId="0B749422"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3F4FD3">
              <w:rPr>
                <w:rFonts w:cs="Arial"/>
                <w:szCs w:val="20"/>
              </w:rPr>
              <w:t>1.0</w:t>
            </w:r>
            <w:r w:rsidR="00E47DE5">
              <w:rPr>
                <w:rFonts w:cs="Arial"/>
                <w:szCs w:val="20"/>
              </w:rPr>
              <w:t xml:space="preserve"> </w:t>
            </w:r>
            <w:r>
              <w:rPr>
                <w:rFonts w:cs="Arial"/>
                <w:szCs w:val="20"/>
              </w:rPr>
              <w:t xml:space="preserve">and </w:t>
            </w:r>
            <w:r w:rsidR="003F4FD3">
              <w:rPr>
                <w:rFonts w:cs="Arial"/>
                <w:szCs w:val="20"/>
              </w:rPr>
              <w:t>59.8 µg/dL</w:t>
            </w:r>
            <w:r w:rsidR="00E47DE5" w:rsidRPr="00DC7421">
              <w:rPr>
                <w:rFonts w:cs="Arial"/>
                <w:szCs w:val="20"/>
              </w:rPr>
              <w:t xml:space="preserve"> </w:t>
            </w:r>
            <w:r w:rsidRPr="00DC7421">
              <w:rPr>
                <w:rFonts w:cs="Arial"/>
                <w:szCs w:val="20"/>
              </w:rPr>
              <w:t>without error messages are released</w:t>
            </w:r>
          </w:p>
          <w:p w14:paraId="512DB6C5" w14:textId="3314EA29" w:rsidR="00F84C8E" w:rsidRPr="00DC7421" w:rsidRDefault="00F84C8E" w:rsidP="00F84C8E">
            <w:pPr>
              <w:numPr>
                <w:ilvl w:val="0"/>
                <w:numId w:val="40"/>
              </w:numPr>
              <w:rPr>
                <w:rFonts w:cs="Arial"/>
                <w:szCs w:val="20"/>
              </w:rPr>
            </w:pPr>
            <w:r>
              <w:rPr>
                <w:rFonts w:cs="Arial"/>
                <w:szCs w:val="20"/>
              </w:rPr>
              <w:t xml:space="preserve">Results below </w:t>
            </w:r>
            <w:r w:rsidR="003F4FD3">
              <w:rPr>
                <w:rFonts w:cs="Arial"/>
                <w:szCs w:val="20"/>
              </w:rPr>
              <w:t>1.0</w:t>
            </w:r>
            <w:r w:rsidR="00E47DE5">
              <w:rPr>
                <w:rFonts w:cs="Arial"/>
                <w:szCs w:val="20"/>
              </w:rPr>
              <w:t xml:space="preserve"> </w:t>
            </w:r>
            <w:r>
              <w:rPr>
                <w:rFonts w:cs="Arial"/>
                <w:szCs w:val="20"/>
              </w:rPr>
              <w:t xml:space="preserve">without error messages are reported as &lt; </w:t>
            </w:r>
            <w:r w:rsidR="003F4FD3">
              <w:rPr>
                <w:rFonts w:cs="Arial"/>
                <w:szCs w:val="20"/>
              </w:rPr>
              <w:t>1.0 µg/dL</w:t>
            </w:r>
            <w:r>
              <w:rPr>
                <w:rFonts w:cs="Arial"/>
                <w:szCs w:val="20"/>
              </w:rPr>
              <w:t>.</w:t>
            </w:r>
          </w:p>
          <w:p w14:paraId="61C98532" w14:textId="52AED7F4" w:rsidR="00F84C8E" w:rsidRDefault="00F84C8E" w:rsidP="00F84C8E">
            <w:pPr>
              <w:numPr>
                <w:ilvl w:val="0"/>
                <w:numId w:val="40"/>
              </w:numPr>
              <w:rPr>
                <w:rFonts w:cs="Arial"/>
                <w:szCs w:val="20"/>
              </w:rPr>
            </w:pPr>
            <w:r>
              <w:rPr>
                <w:rFonts w:cs="Arial"/>
                <w:szCs w:val="20"/>
              </w:rPr>
              <w:t>Results &gt;</w:t>
            </w:r>
            <w:r w:rsidR="003F4FD3">
              <w:rPr>
                <w:rFonts w:cs="Arial"/>
                <w:szCs w:val="20"/>
              </w:rPr>
              <w:t xml:space="preserve"> 59.8</w:t>
            </w:r>
            <w:r w:rsidR="00E47DE5">
              <w:rPr>
                <w:rFonts w:cs="Arial"/>
                <w:szCs w:val="20"/>
              </w:rPr>
              <w:t xml:space="preserve"> </w:t>
            </w:r>
            <w:r>
              <w:rPr>
                <w:rFonts w:cs="Arial"/>
                <w:szCs w:val="20"/>
              </w:rPr>
              <w:t xml:space="preserve">should be diluted using the onboard automated </w:t>
            </w:r>
            <w:r w:rsidR="003F4FD3">
              <w:rPr>
                <w:rFonts w:cs="Arial"/>
                <w:szCs w:val="20"/>
              </w:rPr>
              <w:t>1:2 dilution</w:t>
            </w:r>
            <w:r>
              <w:rPr>
                <w:rFonts w:cs="Arial"/>
                <w:szCs w:val="20"/>
              </w:rPr>
              <w:t>.  Release results without error messages following this dilution.</w:t>
            </w:r>
          </w:p>
          <w:p w14:paraId="4F53E898" w14:textId="7502A713" w:rsidR="003F4FD3" w:rsidRPr="003F4FD3" w:rsidRDefault="003F4FD3" w:rsidP="003F4FD3">
            <w:pPr>
              <w:pStyle w:val="ListParagraph"/>
              <w:numPr>
                <w:ilvl w:val="0"/>
                <w:numId w:val="40"/>
              </w:numPr>
              <w:rPr>
                <w:rFonts w:cs="Arial"/>
                <w:szCs w:val="20"/>
              </w:rPr>
            </w:pPr>
            <w:r>
              <w:rPr>
                <w:rFonts w:cs="Arial"/>
                <w:szCs w:val="20"/>
              </w:rPr>
              <w:t>Results &gt; 119.6</w:t>
            </w:r>
            <w:r w:rsidRPr="003F4FD3">
              <w:rPr>
                <w:rFonts w:cs="Arial"/>
                <w:szCs w:val="20"/>
              </w:rPr>
              <w:t xml:space="preserve"> should be dil</w:t>
            </w:r>
            <w:r>
              <w:rPr>
                <w:rFonts w:cs="Arial"/>
                <w:szCs w:val="20"/>
              </w:rPr>
              <w:t>uted using the onboard manual 1:4 dilution</w:t>
            </w:r>
            <w:r w:rsidRPr="003F4FD3">
              <w:rPr>
                <w:rFonts w:cs="Arial"/>
                <w:szCs w:val="20"/>
              </w:rPr>
              <w:t>.  Release results without error messages following this dilution.</w:t>
            </w:r>
          </w:p>
          <w:p w14:paraId="1F94B248" w14:textId="268827A2" w:rsidR="00F83DB0" w:rsidRDefault="00F84C8E" w:rsidP="003F4FD3">
            <w:pPr>
              <w:numPr>
                <w:ilvl w:val="0"/>
                <w:numId w:val="40"/>
              </w:numPr>
              <w:rPr>
                <w:rFonts w:cs="Arial"/>
                <w:szCs w:val="20"/>
              </w:rPr>
            </w:pPr>
            <w:r>
              <w:rPr>
                <w:rFonts w:cs="Arial"/>
                <w:szCs w:val="20"/>
              </w:rPr>
              <w:t xml:space="preserve">Results &gt; </w:t>
            </w:r>
            <w:r w:rsidR="003F4FD3">
              <w:rPr>
                <w:rFonts w:cs="Arial"/>
                <w:szCs w:val="20"/>
              </w:rPr>
              <w:t>239.2</w:t>
            </w:r>
            <w:r w:rsidR="00E47DE5">
              <w:rPr>
                <w:rFonts w:cs="Arial"/>
                <w:szCs w:val="20"/>
              </w:rPr>
              <w:t xml:space="preserve"> </w:t>
            </w:r>
            <w:r w:rsidRPr="00A166AA">
              <w:rPr>
                <w:rFonts w:cs="Arial"/>
                <w:szCs w:val="20"/>
              </w:rPr>
              <w:t>following automate</w:t>
            </w:r>
            <w:r>
              <w:rPr>
                <w:rFonts w:cs="Arial"/>
                <w:szCs w:val="20"/>
              </w:rPr>
              <w:t xml:space="preserve">d dilution are reported as &gt; </w:t>
            </w:r>
            <w:r w:rsidR="003F4FD3">
              <w:rPr>
                <w:rFonts w:cs="Arial"/>
                <w:szCs w:val="20"/>
              </w:rPr>
              <w:t>239.2 µg/dL</w:t>
            </w:r>
            <w:r w:rsidRPr="00A166AA">
              <w:rPr>
                <w:rFonts w:cs="Arial"/>
                <w:szCs w:val="20"/>
              </w:rPr>
              <w:t>.</w:t>
            </w:r>
          </w:p>
          <w:p w14:paraId="5CD0003C" w14:textId="1F2668F1" w:rsidR="003F4FD3" w:rsidRPr="003F4FD3" w:rsidRDefault="003F4FD3" w:rsidP="003F4FD3">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3330022F"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3F4FD3">
              <w:rPr>
                <w:rFonts w:cs="Arial"/>
                <w:szCs w:val="20"/>
              </w:rPr>
              <w:t xml:space="preserve"> Samples are retained 14</w:t>
            </w:r>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16D14BF9" w14:textId="2DF6E4D6" w:rsidR="00905B86" w:rsidRPr="00905B86" w:rsidRDefault="00905B86" w:rsidP="00905B86">
            <w:pPr>
              <w:numPr>
                <w:ilvl w:val="0"/>
                <w:numId w:val="33"/>
              </w:numPr>
              <w:rPr>
                <w:rFonts w:cs="Arial"/>
                <w:szCs w:val="20"/>
              </w:rPr>
            </w:pPr>
            <w:r>
              <w:rPr>
                <w:rFonts w:cs="Arial"/>
                <w:szCs w:val="20"/>
              </w:rPr>
              <w:t>Abbott Alinity i Cortisol</w:t>
            </w:r>
            <w:r w:rsidRPr="00905B86">
              <w:rPr>
                <w:rFonts w:cs="Arial"/>
                <w:szCs w:val="20"/>
              </w:rPr>
              <w:t xml:space="preserve"> Reagent Instructions for Use, Abbott Diagnostics Division, Abbott Park, IL USA.  Revised February 2018</w:t>
            </w:r>
          </w:p>
          <w:p w14:paraId="765C5031" w14:textId="2E8B3284" w:rsidR="00905B86" w:rsidRPr="00905B86" w:rsidRDefault="00905B86" w:rsidP="00905B86">
            <w:pPr>
              <w:numPr>
                <w:ilvl w:val="0"/>
                <w:numId w:val="33"/>
              </w:numPr>
              <w:rPr>
                <w:rFonts w:cs="Arial"/>
                <w:szCs w:val="20"/>
              </w:rPr>
            </w:pPr>
            <w:r>
              <w:rPr>
                <w:rFonts w:cs="Arial"/>
                <w:szCs w:val="20"/>
              </w:rPr>
              <w:t>Abbott Alinity i Cortisol</w:t>
            </w:r>
            <w:r w:rsidRPr="00905B86">
              <w:rPr>
                <w:rFonts w:cs="Arial"/>
                <w:szCs w:val="20"/>
              </w:rPr>
              <w:t xml:space="preserve"> Calibrator Kit Package Insert, Abbott Diagnostics Division, Abbott Park</w:t>
            </w:r>
            <w:r>
              <w:rPr>
                <w:rFonts w:cs="Arial"/>
                <w:szCs w:val="20"/>
              </w:rPr>
              <w:t>, IL USA.  Revised March 2018</w:t>
            </w:r>
          </w:p>
          <w:p w14:paraId="4E7D659B" w14:textId="30023DAD" w:rsidR="00905B86" w:rsidRPr="00905B86" w:rsidRDefault="00905B86" w:rsidP="00905B86">
            <w:pPr>
              <w:numPr>
                <w:ilvl w:val="0"/>
                <w:numId w:val="33"/>
              </w:numPr>
              <w:rPr>
                <w:rFonts w:cs="Arial"/>
                <w:szCs w:val="20"/>
              </w:rPr>
            </w:pPr>
            <w:r>
              <w:rPr>
                <w:rFonts w:cs="Arial"/>
                <w:szCs w:val="20"/>
              </w:rPr>
              <w:t>Abbott Architect Cortisol</w:t>
            </w:r>
            <w:r w:rsidRPr="00905B86">
              <w:rPr>
                <w:rFonts w:cs="Arial"/>
                <w:szCs w:val="20"/>
              </w:rPr>
              <w:t xml:space="preserve"> Reagent Instructions for Use, Abbott Diagnostics Division, Abbott Park, IL USA.  Revised November 2015</w:t>
            </w:r>
          </w:p>
          <w:p w14:paraId="3BAFC440" w14:textId="0FBC627D" w:rsidR="00905B86" w:rsidRDefault="00905B86" w:rsidP="00905B86">
            <w:pPr>
              <w:numPr>
                <w:ilvl w:val="0"/>
                <w:numId w:val="33"/>
              </w:numPr>
              <w:rPr>
                <w:rFonts w:cs="Arial"/>
                <w:szCs w:val="20"/>
              </w:rPr>
            </w:pPr>
            <w:r>
              <w:rPr>
                <w:rFonts w:cs="Arial"/>
                <w:szCs w:val="20"/>
              </w:rPr>
              <w:t>Abbott Architect Cortisol</w:t>
            </w:r>
            <w:r w:rsidRPr="00905B86">
              <w:rPr>
                <w:rFonts w:cs="Arial"/>
                <w:szCs w:val="20"/>
              </w:rPr>
              <w:t xml:space="preserve"> Calibrator Kit Package Insert, Abbott Diagnostics Division, Abbott</w:t>
            </w:r>
            <w:r>
              <w:rPr>
                <w:rFonts w:cs="Arial"/>
                <w:szCs w:val="20"/>
              </w:rPr>
              <w:t xml:space="preserve"> Park, IL USA.  Revised January</w:t>
            </w:r>
            <w:r w:rsidRPr="00905B86">
              <w:rPr>
                <w:rFonts w:cs="Arial"/>
                <w:szCs w:val="20"/>
              </w:rPr>
              <w:t xml:space="preserve"> 2015</w:t>
            </w:r>
          </w:p>
          <w:p w14:paraId="5D977338" w14:textId="36923CF7" w:rsidR="000F24FD" w:rsidRPr="000F24FD" w:rsidRDefault="000F24FD" w:rsidP="000F24FD">
            <w:pPr>
              <w:pStyle w:val="ListParagraph"/>
              <w:numPr>
                <w:ilvl w:val="0"/>
                <w:numId w:val="33"/>
              </w:numPr>
              <w:rPr>
                <w:rFonts w:cs="Arial"/>
                <w:szCs w:val="20"/>
              </w:rPr>
            </w:pPr>
            <w:r w:rsidRPr="000F24FD">
              <w:rPr>
                <w:rFonts w:cs="Arial"/>
                <w:szCs w:val="20"/>
              </w:rPr>
              <w:t>Bio-Rad Lyphochek Immunoassay Plus Control Product Insert, Bio-Rad Laboratories, Irvine, CA 92618 May 2017</w:t>
            </w:r>
          </w:p>
          <w:p w14:paraId="61089607" w14:textId="77777777" w:rsidR="00905B86" w:rsidRPr="00905B86" w:rsidRDefault="00905B86" w:rsidP="00905B86">
            <w:pPr>
              <w:numPr>
                <w:ilvl w:val="0"/>
                <w:numId w:val="33"/>
              </w:numPr>
              <w:rPr>
                <w:rFonts w:cs="Arial"/>
                <w:szCs w:val="20"/>
              </w:rPr>
            </w:pPr>
            <w:r w:rsidRPr="00905B86">
              <w:rPr>
                <w:rFonts w:cs="Arial"/>
                <w:szCs w:val="20"/>
              </w:rPr>
              <w:t>CALIPER Reference Interval Studies, accessed 10/27/2020.</w:t>
            </w:r>
          </w:p>
          <w:p w14:paraId="5CD00046" w14:textId="77777777" w:rsidR="00E3253B" w:rsidRPr="00DC7421" w:rsidRDefault="00E3253B" w:rsidP="000F24FD">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53D08E0E"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4C788D21" w:rsidR="00F50200" w:rsidRPr="00DC7421" w:rsidRDefault="00EE30DA">
            <w:pPr>
              <w:rPr>
                <w:rFonts w:cs="Arial"/>
                <w:iCs/>
                <w:szCs w:val="20"/>
              </w:rPr>
            </w:pPr>
            <w:r>
              <w:rPr>
                <w:rFonts w:cs="Arial"/>
                <w:iCs/>
                <w:szCs w:val="20"/>
              </w:rPr>
              <w:t>Michelle Anton</w:t>
            </w:r>
          </w:p>
        </w:tc>
        <w:tc>
          <w:tcPr>
            <w:tcW w:w="1530" w:type="dxa"/>
            <w:tcBorders>
              <w:top w:val="single" w:sz="4" w:space="0" w:color="auto"/>
              <w:left w:val="single" w:sz="4" w:space="0" w:color="auto"/>
              <w:bottom w:val="single" w:sz="4" w:space="0" w:color="auto"/>
              <w:right w:val="single" w:sz="4" w:space="0" w:color="auto"/>
            </w:tcBorders>
          </w:tcPr>
          <w:p w14:paraId="5CD00051" w14:textId="522DF3FB" w:rsidR="00F50200" w:rsidRPr="00DC7421"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64197B7F" w:rsidR="00F50200" w:rsidRPr="00F84C8E" w:rsidRDefault="003F4FD3">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40A3A4FC" w:rsidR="00F50200" w:rsidRPr="00F84C8E" w:rsidRDefault="003F4FD3">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60FD2CF7" w:rsidR="00F50200" w:rsidRPr="00F84C8E" w:rsidRDefault="003F4FD3">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6BB2DC44" w:rsidR="00F50200" w:rsidRPr="00F84C8E" w:rsidRDefault="003F4FD3">
            <w:pPr>
              <w:rPr>
                <w:rFonts w:cs="Arial"/>
                <w:iCs/>
                <w:szCs w:val="20"/>
              </w:rPr>
            </w:pPr>
            <w:r>
              <w:rPr>
                <w:rFonts w:cs="Arial"/>
                <w:iCs/>
                <w:szCs w:val="20"/>
              </w:rPr>
              <w:t>Added both analyzers, AMR, ref intervals, references, reagents/calibrators, etc. for Alinity analyzer</w:t>
            </w:r>
          </w:p>
        </w:tc>
      </w:tr>
    </w:tbl>
    <w:p w14:paraId="5CD0005A" w14:textId="77777777" w:rsidR="00E3253B" w:rsidRPr="00BC1DCC" w:rsidRDefault="00E3253B" w:rsidP="007132A9">
      <w:pPr>
        <w:rPr>
          <w:rFonts w:cs="Arial"/>
        </w:rPr>
      </w:pPr>
    </w:p>
    <w:sectPr w:rsidR="00E3253B" w:rsidRPr="00BC1DCC" w:rsidSect="008F2C66">
      <w:headerReference w:type="default" r:id="rId16"/>
      <w:footerReference w:type="default" r:id="rId17"/>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6B2D4B5E" w:rsidR="00B13C1A" w:rsidRPr="002E718D" w:rsidRDefault="00B13C1A" w:rsidP="002E718D">
    <w:pPr>
      <w:ind w:left="-1260" w:right="-1260"/>
      <w:rPr>
        <w:rFonts w:cs="Arial"/>
        <w:sz w:val="16"/>
      </w:rPr>
    </w:pPr>
    <w:r>
      <w:rPr>
        <w:rFonts w:cs="Arial"/>
        <w:sz w:val="16"/>
      </w:rPr>
      <w:t>Laboratory, Chil</w:t>
    </w:r>
    <w:r w:rsidR="00E90C9C">
      <w:rPr>
        <w:rFonts w:cs="Arial"/>
        <w:sz w:val="16"/>
      </w:rPr>
      <w:t xml:space="preserve">dren’s </w:t>
    </w:r>
    <w:r w:rsidR="00DF66F6">
      <w:rPr>
        <w:rFonts w:cs="Arial"/>
        <w:sz w:val="16"/>
      </w:rPr>
      <w:t>Minnesota, Minneapolis</w:t>
    </w:r>
    <w:r>
      <w:rPr>
        <w:rFonts w:cs="Arial"/>
        <w:sz w:val="16"/>
      </w:rPr>
      <w:t>,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A36D95">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A36D95">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3AA7D1E6"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A12A3C">
      <w:rPr>
        <w:rFonts w:cs="Arial"/>
      </w:rPr>
      <w:t>6.271 Cortisol</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178B7B69" w:rsidR="00B13C1A" w:rsidRDefault="00B13C1A">
    <w:pPr>
      <w:ind w:left="-1260" w:right="-1260"/>
      <w:rPr>
        <w:rFonts w:cs="Arial"/>
      </w:rPr>
    </w:pPr>
    <w:r>
      <w:rPr>
        <w:rFonts w:cs="Arial"/>
      </w:rPr>
      <w:t xml:space="preserve">Effective Date: </w:t>
    </w:r>
    <w:r w:rsidR="00A12A3C">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0"/>
  </w:num>
  <w:num w:numId="4">
    <w:abstractNumId w:val="34"/>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6"/>
  </w:num>
  <w:num w:numId="15">
    <w:abstractNumId w:val="19"/>
  </w:num>
  <w:num w:numId="16">
    <w:abstractNumId w:val="1"/>
  </w:num>
  <w:num w:numId="17">
    <w:abstractNumId w:val="39"/>
  </w:num>
  <w:num w:numId="18">
    <w:abstractNumId w:val="11"/>
  </w:num>
  <w:num w:numId="19">
    <w:abstractNumId w:val="18"/>
  </w:num>
  <w:num w:numId="20">
    <w:abstractNumId w:val="25"/>
  </w:num>
  <w:num w:numId="21">
    <w:abstractNumId w:val="32"/>
  </w:num>
  <w:num w:numId="22">
    <w:abstractNumId w:val="37"/>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1"/>
  </w:num>
  <w:num w:numId="30">
    <w:abstractNumId w:val="29"/>
  </w:num>
  <w:num w:numId="31">
    <w:abstractNumId w:val="20"/>
  </w:num>
  <w:num w:numId="32">
    <w:abstractNumId w:val="16"/>
  </w:num>
  <w:num w:numId="33">
    <w:abstractNumId w:val="4"/>
  </w:num>
  <w:num w:numId="34">
    <w:abstractNumId w:val="35"/>
  </w:num>
  <w:num w:numId="35">
    <w:abstractNumId w:val="33"/>
  </w:num>
  <w:num w:numId="36">
    <w:abstractNumId w:val="15"/>
  </w:num>
  <w:num w:numId="37">
    <w:abstractNumId w:val="38"/>
  </w:num>
  <w:num w:numId="38">
    <w:abstractNumId w:val="0"/>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E63E3"/>
    <w:rsid w:val="000F24FD"/>
    <w:rsid w:val="001102B2"/>
    <w:rsid w:val="00115DD6"/>
    <w:rsid w:val="001241E4"/>
    <w:rsid w:val="0017089C"/>
    <w:rsid w:val="001A1584"/>
    <w:rsid w:val="001B58ED"/>
    <w:rsid w:val="001C1CFA"/>
    <w:rsid w:val="001C641E"/>
    <w:rsid w:val="001D1786"/>
    <w:rsid w:val="001D284B"/>
    <w:rsid w:val="001F5D12"/>
    <w:rsid w:val="00233AA0"/>
    <w:rsid w:val="00234774"/>
    <w:rsid w:val="002462C0"/>
    <w:rsid w:val="00250A09"/>
    <w:rsid w:val="00252F1D"/>
    <w:rsid w:val="00276E30"/>
    <w:rsid w:val="002A3FA3"/>
    <w:rsid w:val="002C12BF"/>
    <w:rsid w:val="002C29CB"/>
    <w:rsid w:val="002C3006"/>
    <w:rsid w:val="002E718D"/>
    <w:rsid w:val="002F093F"/>
    <w:rsid w:val="002F5C68"/>
    <w:rsid w:val="002F5F18"/>
    <w:rsid w:val="0030640D"/>
    <w:rsid w:val="003100D1"/>
    <w:rsid w:val="003145F4"/>
    <w:rsid w:val="003278F7"/>
    <w:rsid w:val="00370B0F"/>
    <w:rsid w:val="00387FF5"/>
    <w:rsid w:val="0039587D"/>
    <w:rsid w:val="003A65AD"/>
    <w:rsid w:val="003B32FF"/>
    <w:rsid w:val="003C2130"/>
    <w:rsid w:val="003D5BD7"/>
    <w:rsid w:val="003D713F"/>
    <w:rsid w:val="003E0A08"/>
    <w:rsid w:val="003E168B"/>
    <w:rsid w:val="003F4FD3"/>
    <w:rsid w:val="00416B6C"/>
    <w:rsid w:val="00420763"/>
    <w:rsid w:val="0042435C"/>
    <w:rsid w:val="00437425"/>
    <w:rsid w:val="00440E37"/>
    <w:rsid w:val="004735E9"/>
    <w:rsid w:val="004826D0"/>
    <w:rsid w:val="00484AE3"/>
    <w:rsid w:val="00486653"/>
    <w:rsid w:val="004A698D"/>
    <w:rsid w:val="004B5D63"/>
    <w:rsid w:val="004C14CE"/>
    <w:rsid w:val="004C6A64"/>
    <w:rsid w:val="00504F3B"/>
    <w:rsid w:val="005125A4"/>
    <w:rsid w:val="005665A7"/>
    <w:rsid w:val="00575F3F"/>
    <w:rsid w:val="005A7373"/>
    <w:rsid w:val="005B3AA5"/>
    <w:rsid w:val="005B66A7"/>
    <w:rsid w:val="005C6F36"/>
    <w:rsid w:val="006200C0"/>
    <w:rsid w:val="006355F2"/>
    <w:rsid w:val="00646E63"/>
    <w:rsid w:val="00655B61"/>
    <w:rsid w:val="00685D61"/>
    <w:rsid w:val="00693888"/>
    <w:rsid w:val="006A26B2"/>
    <w:rsid w:val="006A2770"/>
    <w:rsid w:val="006A41B1"/>
    <w:rsid w:val="006A5A84"/>
    <w:rsid w:val="006B78CE"/>
    <w:rsid w:val="006C5661"/>
    <w:rsid w:val="006C7814"/>
    <w:rsid w:val="007132A9"/>
    <w:rsid w:val="00747868"/>
    <w:rsid w:val="007B1809"/>
    <w:rsid w:val="007B2A3E"/>
    <w:rsid w:val="007B410A"/>
    <w:rsid w:val="007F5B07"/>
    <w:rsid w:val="008044BA"/>
    <w:rsid w:val="0081197E"/>
    <w:rsid w:val="0081598A"/>
    <w:rsid w:val="00824C10"/>
    <w:rsid w:val="00867FBC"/>
    <w:rsid w:val="00875465"/>
    <w:rsid w:val="008A71A5"/>
    <w:rsid w:val="008A7CDA"/>
    <w:rsid w:val="008B53E5"/>
    <w:rsid w:val="008D3369"/>
    <w:rsid w:val="008D7EF5"/>
    <w:rsid w:val="008F2C66"/>
    <w:rsid w:val="00905B86"/>
    <w:rsid w:val="00914DEC"/>
    <w:rsid w:val="00944DFA"/>
    <w:rsid w:val="009475C8"/>
    <w:rsid w:val="00950E15"/>
    <w:rsid w:val="00981A4A"/>
    <w:rsid w:val="00984816"/>
    <w:rsid w:val="0099642E"/>
    <w:rsid w:val="009A1A3D"/>
    <w:rsid w:val="009C08FA"/>
    <w:rsid w:val="009C4BDA"/>
    <w:rsid w:val="009C5A69"/>
    <w:rsid w:val="009D085B"/>
    <w:rsid w:val="009F5F31"/>
    <w:rsid w:val="00A002D3"/>
    <w:rsid w:val="00A062E1"/>
    <w:rsid w:val="00A12A3C"/>
    <w:rsid w:val="00A166AA"/>
    <w:rsid w:val="00A23086"/>
    <w:rsid w:val="00A23FFE"/>
    <w:rsid w:val="00A32948"/>
    <w:rsid w:val="00A34EE2"/>
    <w:rsid w:val="00A36D95"/>
    <w:rsid w:val="00A5637B"/>
    <w:rsid w:val="00A64AE8"/>
    <w:rsid w:val="00A776A5"/>
    <w:rsid w:val="00A84D7E"/>
    <w:rsid w:val="00A86097"/>
    <w:rsid w:val="00A94DDD"/>
    <w:rsid w:val="00A9779B"/>
    <w:rsid w:val="00AA5656"/>
    <w:rsid w:val="00AB7F16"/>
    <w:rsid w:val="00AE2334"/>
    <w:rsid w:val="00AF1198"/>
    <w:rsid w:val="00AF56A8"/>
    <w:rsid w:val="00B01603"/>
    <w:rsid w:val="00B067D8"/>
    <w:rsid w:val="00B109AB"/>
    <w:rsid w:val="00B11633"/>
    <w:rsid w:val="00B13C1A"/>
    <w:rsid w:val="00B2749D"/>
    <w:rsid w:val="00B415C8"/>
    <w:rsid w:val="00B94426"/>
    <w:rsid w:val="00BA5C09"/>
    <w:rsid w:val="00BB3F98"/>
    <w:rsid w:val="00BC1DCC"/>
    <w:rsid w:val="00BD0AE4"/>
    <w:rsid w:val="00BD0E0F"/>
    <w:rsid w:val="00BD3CED"/>
    <w:rsid w:val="00BE070F"/>
    <w:rsid w:val="00C00B65"/>
    <w:rsid w:val="00C13C50"/>
    <w:rsid w:val="00C54380"/>
    <w:rsid w:val="00CD06C7"/>
    <w:rsid w:val="00CE07E8"/>
    <w:rsid w:val="00CE16FB"/>
    <w:rsid w:val="00CF08A6"/>
    <w:rsid w:val="00D271B1"/>
    <w:rsid w:val="00D302B9"/>
    <w:rsid w:val="00D63C07"/>
    <w:rsid w:val="00D75850"/>
    <w:rsid w:val="00D955F6"/>
    <w:rsid w:val="00DC24D6"/>
    <w:rsid w:val="00DC7091"/>
    <w:rsid w:val="00DC7421"/>
    <w:rsid w:val="00DF5549"/>
    <w:rsid w:val="00DF6343"/>
    <w:rsid w:val="00DF66F6"/>
    <w:rsid w:val="00E049CF"/>
    <w:rsid w:val="00E246BA"/>
    <w:rsid w:val="00E3253B"/>
    <w:rsid w:val="00E47DE5"/>
    <w:rsid w:val="00E50D3F"/>
    <w:rsid w:val="00E55C7B"/>
    <w:rsid w:val="00E90C9C"/>
    <w:rsid w:val="00E93074"/>
    <w:rsid w:val="00EA2B3F"/>
    <w:rsid w:val="00EA3C08"/>
    <w:rsid w:val="00EA580E"/>
    <w:rsid w:val="00EB4B6C"/>
    <w:rsid w:val="00EE145B"/>
    <w:rsid w:val="00EE30DA"/>
    <w:rsid w:val="00EF1741"/>
    <w:rsid w:val="00F0405E"/>
    <w:rsid w:val="00F236AF"/>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2FF"/>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procedure/ch5.106-abbott-architect-i1000-operating-procedure.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linity-ci-series-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2.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3.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088E5-01B6-45A3-B360-8B0A61C6A90A}">
  <ds:schemaRefs>
    <ds:schemaRef ds:uri="http://schemas.microsoft.com/office/infopath/2007/PartnerControls"/>
    <ds:schemaRef ds:uri="c1848e11-9cf6-4ce4-877e-6837d2c2fa23"/>
    <ds:schemaRef ds:uri="http://purl.org/dc/dcmitype/"/>
    <ds:schemaRef ds:uri="http://purl.org/dc/terms/"/>
    <ds:schemaRef ds:uri="199f0838-75a6-4f0c-9be1-f2c07140bccc"/>
    <ds:schemaRef ds:uri="http://schemas.openxmlformats.org/package/2006/metadata/core-properties"/>
    <ds:schemaRef ds:uri="http://purl.org/dc/elements/1.1/"/>
    <ds:schemaRef ds:uri="http://schemas.microsoft.com/office/2006/documentManagement/types"/>
    <ds:schemaRef ds:uri="http://schemas.microsoft.com/sharepoint.v3"/>
    <ds:schemaRef ds:uri="http://schemas.microsoft.com/sharepoint/v3"/>
    <ds:schemaRef ds:uri="http://schemas.microsoft.com/sharepoint/v3/field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C0769AF-BBF7-44A2-926B-461C4FF6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Pages>
  <Words>2576</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17806</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8</cp:revision>
  <cp:lastPrinted>2020-04-15T15:00:00Z</cp:lastPrinted>
  <dcterms:created xsi:type="dcterms:W3CDTF">2020-11-18T14:38:00Z</dcterms:created>
  <dcterms:modified xsi:type="dcterms:W3CDTF">2020-12-08T18:57:00Z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