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160"/>
        <w:gridCol w:w="8910"/>
      </w:tblGrid>
      <w:tr w:rsidR="008C6EDC" w:rsidRPr="004D3EAF" w14:paraId="2EC137DD" w14:textId="77777777" w:rsidTr="00D120DB">
        <w:trPr>
          <w:cantSplit/>
          <w:tblHeader/>
        </w:trPr>
        <w:tc>
          <w:tcPr>
            <w:tcW w:w="11070" w:type="dxa"/>
            <w:gridSpan w:val="2"/>
            <w:tcBorders>
              <w:bottom w:val="single" w:sz="18" w:space="0" w:color="A6A6A6" w:themeColor="background1" w:themeShade="A6"/>
            </w:tcBorders>
          </w:tcPr>
          <w:p w14:paraId="2EC137DB" w14:textId="77777777" w:rsidR="008C6EDC" w:rsidRPr="004D3EAF" w:rsidRDefault="00B0339F" w:rsidP="00431153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b/>
                <w:bCs/>
                <w:color w:val="0000FF"/>
                <w:szCs w:val="20"/>
              </w:rPr>
            </w:pPr>
            <w:r w:rsidRPr="0078439E">
              <w:rPr>
                <w:rFonts w:cs="Arial"/>
                <w:b/>
                <w:bCs/>
                <w:color w:val="0000FF"/>
                <w:sz w:val="32"/>
                <w:szCs w:val="32"/>
              </w:rPr>
              <w:t xml:space="preserve">Hepatitis </w:t>
            </w:r>
            <w:r w:rsidR="00431153" w:rsidRPr="0078439E">
              <w:rPr>
                <w:rFonts w:cs="Arial"/>
                <w:b/>
                <w:bCs/>
                <w:color w:val="0000FF"/>
                <w:sz w:val="32"/>
                <w:szCs w:val="32"/>
              </w:rPr>
              <w:t>C</w:t>
            </w:r>
            <w:r w:rsidR="004D3EAF" w:rsidRPr="0078439E">
              <w:rPr>
                <w:rFonts w:cs="Arial"/>
                <w:b/>
                <w:bCs/>
                <w:color w:val="0000FF"/>
                <w:sz w:val="32"/>
                <w:szCs w:val="32"/>
              </w:rPr>
              <w:t xml:space="preserve"> Antibody</w:t>
            </w:r>
            <w:r w:rsidR="0078439E">
              <w:rPr>
                <w:rFonts w:cs="Arial"/>
                <w:b/>
                <w:bCs/>
                <w:color w:val="0000FF"/>
                <w:sz w:val="32"/>
                <w:szCs w:val="32"/>
              </w:rPr>
              <w:t xml:space="preserve"> Screen (</w:t>
            </w:r>
            <w:r w:rsidR="006148C5" w:rsidRPr="0078439E">
              <w:rPr>
                <w:rFonts w:cs="Arial"/>
                <w:b/>
                <w:bCs/>
                <w:color w:val="0000FF"/>
                <w:sz w:val="32"/>
                <w:szCs w:val="32"/>
              </w:rPr>
              <w:t>Anti-HCV)</w:t>
            </w:r>
          </w:p>
          <w:p w14:paraId="2EC137DC" w14:textId="77777777" w:rsidR="00431153" w:rsidRPr="004D3EAF" w:rsidRDefault="00431153" w:rsidP="00431153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color w:val="0000FF"/>
                <w:szCs w:val="20"/>
              </w:rPr>
            </w:pPr>
          </w:p>
        </w:tc>
      </w:tr>
      <w:tr w:rsidR="008C6EDC" w:rsidRPr="004D3EAF" w14:paraId="2EC137E3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7DE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7DF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Purpose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7E0" w14:textId="77777777" w:rsidR="002F385E" w:rsidRPr="004D3EAF" w:rsidRDefault="002F385E" w:rsidP="008C6EDC">
            <w:pPr>
              <w:jc w:val="both"/>
              <w:rPr>
                <w:rFonts w:cs="Arial"/>
                <w:szCs w:val="20"/>
              </w:rPr>
            </w:pPr>
          </w:p>
          <w:p w14:paraId="2EC137E1" w14:textId="5EDFE853" w:rsidR="008C6EDC" w:rsidRPr="005B3DD8" w:rsidRDefault="002F385E" w:rsidP="00D969C5">
            <w:p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 xml:space="preserve">This procedure provides instructions for performing </w:t>
            </w:r>
            <w:r w:rsidR="00BD1DD0">
              <w:rPr>
                <w:rFonts w:cs="Arial"/>
                <w:szCs w:val="20"/>
              </w:rPr>
              <w:t>Anti-HCV</w:t>
            </w:r>
            <w:r w:rsidR="0047363B" w:rsidRPr="004D3EAF">
              <w:rPr>
                <w:rFonts w:cs="Arial"/>
                <w:szCs w:val="20"/>
              </w:rPr>
              <w:t xml:space="preserve"> </w:t>
            </w:r>
            <w:r w:rsidRPr="004D3EAF">
              <w:rPr>
                <w:rFonts w:cs="Arial"/>
                <w:szCs w:val="20"/>
              </w:rPr>
              <w:t>on the</w:t>
            </w:r>
            <w:r w:rsidR="00BD1DD0">
              <w:rPr>
                <w:rFonts w:cs="Arial"/>
                <w:szCs w:val="20"/>
              </w:rPr>
              <w:t xml:space="preserve"> Abbott Alinity ci analyzer</w:t>
            </w:r>
            <w:r w:rsidR="0047363B" w:rsidRPr="004D3EAF">
              <w:rPr>
                <w:rFonts w:cs="Arial"/>
                <w:szCs w:val="20"/>
              </w:rPr>
              <w:t>.</w:t>
            </w:r>
            <w:r w:rsidR="00D969C5">
              <w:t xml:space="preserve"> </w:t>
            </w:r>
            <w:r w:rsidR="00D969C5" w:rsidRPr="00D969C5">
              <w:rPr>
                <w:rFonts w:cs="Arial"/>
                <w:szCs w:val="20"/>
              </w:rPr>
              <w:t>The Alinity i Anti-HCV assay is a chemiluminescent microparticle</w:t>
            </w:r>
            <w:r w:rsidR="00D969C5">
              <w:rPr>
                <w:rFonts w:cs="Arial"/>
                <w:szCs w:val="20"/>
              </w:rPr>
              <w:t xml:space="preserve"> </w:t>
            </w:r>
            <w:r w:rsidR="00D969C5" w:rsidRPr="00D969C5">
              <w:rPr>
                <w:rFonts w:cs="Arial"/>
                <w:szCs w:val="20"/>
              </w:rPr>
              <w:t>immunoassay (CMIA) used for the qualitative detection of</w:t>
            </w:r>
            <w:r w:rsidR="00D969C5">
              <w:rPr>
                <w:rFonts w:cs="Arial"/>
                <w:szCs w:val="20"/>
              </w:rPr>
              <w:t xml:space="preserve"> </w:t>
            </w:r>
            <w:r w:rsidR="00D969C5" w:rsidRPr="00D969C5">
              <w:rPr>
                <w:rFonts w:cs="Arial"/>
                <w:szCs w:val="20"/>
              </w:rPr>
              <w:t>immunoglobulin G (IgG) and immunoglobulin M (IgM) antibodies</w:t>
            </w:r>
            <w:r w:rsidR="00D969C5">
              <w:rPr>
                <w:rFonts w:cs="Arial"/>
                <w:szCs w:val="20"/>
              </w:rPr>
              <w:t xml:space="preserve"> </w:t>
            </w:r>
            <w:r w:rsidR="00D969C5" w:rsidRPr="00D969C5">
              <w:rPr>
                <w:rFonts w:cs="Arial"/>
                <w:szCs w:val="20"/>
              </w:rPr>
              <w:t>to hepatitis C virus (anti-HCV) in human adult serum and plasma</w:t>
            </w:r>
            <w:r w:rsidR="00D969C5">
              <w:rPr>
                <w:rFonts w:cs="Arial"/>
                <w:szCs w:val="20"/>
              </w:rPr>
              <w:t xml:space="preserve"> </w:t>
            </w:r>
            <w:r w:rsidR="00D969C5" w:rsidRPr="00D969C5">
              <w:rPr>
                <w:rFonts w:cs="Arial"/>
                <w:szCs w:val="20"/>
              </w:rPr>
              <w:t>(potassium EDTA, lithium heparin, and sodium heparin) on the Alinity</w:t>
            </w:r>
            <w:r w:rsidR="00D969C5">
              <w:rPr>
                <w:rFonts w:cs="Arial"/>
                <w:szCs w:val="20"/>
              </w:rPr>
              <w:t xml:space="preserve"> </w:t>
            </w:r>
            <w:r w:rsidR="00D969C5" w:rsidRPr="00D969C5">
              <w:rPr>
                <w:rFonts w:cs="Arial"/>
                <w:szCs w:val="20"/>
              </w:rPr>
              <w:t>i analyzer.</w:t>
            </w:r>
            <w:r w:rsidR="005B3DD8">
              <w:rPr>
                <w:rFonts w:cs="Arial"/>
                <w:szCs w:val="20"/>
              </w:rPr>
              <w:t xml:space="preserve">  </w:t>
            </w:r>
            <w:r w:rsidR="005B3DD8">
              <w:rPr>
                <w:rFonts w:cs="Arial"/>
                <w:b/>
                <w:szCs w:val="20"/>
              </w:rPr>
              <w:t xml:space="preserve">This is a screening test.  </w:t>
            </w:r>
            <w:r w:rsidR="005B3DD8">
              <w:rPr>
                <w:rFonts w:cs="Arial"/>
                <w:szCs w:val="20"/>
              </w:rPr>
              <w:t>Equivocal and positive results will automatically reflex to confirmation by Mayo Medical Laboratories.</w:t>
            </w:r>
          </w:p>
          <w:p w14:paraId="2EC137E2" w14:textId="77777777" w:rsidR="008C6EDC" w:rsidRPr="004D3EAF" w:rsidRDefault="008C6EDC" w:rsidP="00D020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8C6EDC" w:rsidRPr="004D3EAF" w14:paraId="2EC137E7" w14:textId="77777777" w:rsidTr="00D120DB">
        <w:trPr>
          <w:trHeight w:val="93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7E4" w14:textId="77777777" w:rsidR="008C6EDC" w:rsidRPr="004D3EAF" w:rsidRDefault="008C6ED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7E5" w14:textId="77777777" w:rsidR="008C6EDC" w:rsidRPr="004D3EAF" w:rsidRDefault="008C6ED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Policy Statements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7E6" w14:textId="320900E8" w:rsidR="008C6EDC" w:rsidRPr="004D3EAF" w:rsidRDefault="001B1C87" w:rsidP="00253C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This procedure applies to all personnel responsible for performing</w:t>
            </w:r>
            <w:r w:rsidR="00BD1DD0">
              <w:rPr>
                <w:rFonts w:cs="Arial"/>
                <w:szCs w:val="20"/>
              </w:rPr>
              <w:t xml:space="preserve"> testing on the Abbott Alinity ci analyzer in Children’s Minnesota (Minneapolis) Laboratory</w:t>
            </w:r>
            <w:r w:rsidRPr="004D3EAF">
              <w:rPr>
                <w:rFonts w:cs="Arial"/>
                <w:szCs w:val="20"/>
              </w:rPr>
              <w:t>.</w:t>
            </w:r>
          </w:p>
        </w:tc>
      </w:tr>
      <w:tr w:rsidR="008C6EDC" w:rsidRPr="004D3EAF" w14:paraId="2EC137F1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7E8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7E9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Principle</w:t>
            </w:r>
          </w:p>
          <w:p w14:paraId="2EC137EA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4422983B" w14:textId="639F854F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BD1DD0">
              <w:rPr>
                <w:rFonts w:eastAsia="HelenPro-Regular" w:cs="Arial"/>
                <w:szCs w:val="20"/>
              </w:rPr>
              <w:t>This assay is a two-step immunoassay for the qualitative detection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of anti-HCV in human serum and plasma using chemiluminescent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microparticle immunoassay (CMIA) technology.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Sample, recombinant HCV antigen coated paramagnetic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microparticles, and assay diluent are combined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and incubated.</w:t>
            </w:r>
          </w:p>
          <w:p w14:paraId="79CA01D6" w14:textId="77777777" w:rsidR="00BD1DD0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0B4E012F" w14:textId="2EAD508D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BD1DD0">
              <w:rPr>
                <w:rFonts w:eastAsia="HelenPro-Regular" w:cs="Arial"/>
                <w:szCs w:val="20"/>
              </w:rPr>
              <w:t>The anti-HCV present in the sample binds to the HCV coated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 xml:space="preserve">microparticles. The mixture </w:t>
            </w:r>
            <w:proofErr w:type="gramStart"/>
            <w:r w:rsidRPr="00BD1DD0">
              <w:rPr>
                <w:rFonts w:eastAsia="HelenPro-Regular" w:cs="Arial"/>
                <w:szCs w:val="20"/>
              </w:rPr>
              <w:t>is</w:t>
            </w:r>
            <w:r>
              <w:rPr>
                <w:rFonts w:eastAsia="HelenPro-Regular" w:cs="Arial"/>
                <w:szCs w:val="20"/>
              </w:rPr>
              <w:t xml:space="preserve">  w</w:t>
            </w:r>
            <w:r w:rsidRPr="00BD1DD0">
              <w:rPr>
                <w:rFonts w:eastAsia="HelenPro-Regular" w:cs="Arial"/>
                <w:szCs w:val="20"/>
              </w:rPr>
              <w:t>ashed</w:t>
            </w:r>
            <w:proofErr w:type="gramEnd"/>
            <w:r w:rsidRPr="00BD1DD0">
              <w:rPr>
                <w:rFonts w:eastAsia="HelenPro-Regular" w:cs="Arial"/>
                <w:szCs w:val="20"/>
              </w:rPr>
              <w:t>. Anti-human IgG/IgM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acridinium-labeled conjugate is added to create a reaction mixture</w:t>
            </w:r>
          </w:p>
          <w:p w14:paraId="1634DD6E" w14:textId="0017FFA7" w:rsidR="00BD1DD0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proofErr w:type="gramStart"/>
            <w:r w:rsidRPr="00BD1DD0">
              <w:rPr>
                <w:rFonts w:eastAsia="HelenPro-Regular" w:cs="Arial"/>
                <w:szCs w:val="20"/>
              </w:rPr>
              <w:t>and</w:t>
            </w:r>
            <w:proofErr w:type="gramEnd"/>
            <w:r w:rsidRPr="00BD1DD0">
              <w:rPr>
                <w:rFonts w:eastAsia="HelenPro-Regular" w:cs="Arial"/>
                <w:szCs w:val="20"/>
              </w:rPr>
              <w:t xml:space="preserve"> incubated. Following a wash cycle, Pre-Trigger and Trigger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Solutions are added.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The resulting chemiluminescent reaction is measured as relative light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units (RLUs). There is a relationship between the amount of anti-HCV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in the sample and the RLUs detected by the system optics.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The presence or absence of anti-HCV in the sample is determined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by comparing the chemiluminescent RLU in the reaction to the cutoff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RLU determined from an active calibration.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If the chemiluminescent signal of the sample is greater than or equal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to the cutoff signal, the sample is considered reactive for anti-HCV.</w:t>
            </w:r>
          </w:p>
          <w:p w14:paraId="33B75FFE" w14:textId="77777777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1A65057E" w14:textId="77777777" w:rsidR="00B0339F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BD1DD0">
              <w:rPr>
                <w:rFonts w:eastAsia="HelenPro-Regular" w:cs="Arial"/>
                <w:szCs w:val="20"/>
              </w:rPr>
              <w:t>For additional information on system and assay technology, refer to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BD1DD0">
              <w:rPr>
                <w:rFonts w:eastAsia="HelenPro-Regular" w:cs="Arial"/>
                <w:szCs w:val="20"/>
              </w:rPr>
              <w:t>the Alinity ci-series Operations Manual, Section 3.</w:t>
            </w:r>
          </w:p>
          <w:p w14:paraId="2EC137F0" w14:textId="669FC568" w:rsidR="00BD1DD0" w:rsidRPr="004D3EAF" w:rsidRDefault="00BD1DD0" w:rsidP="00BD1DD0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:rsidRPr="004D3EAF" w14:paraId="2EC137FA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7F2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7F3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Clinical Significance</w:t>
            </w:r>
          </w:p>
          <w:p w14:paraId="2EC137F4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7F5" w14:textId="77777777" w:rsidR="001B1C87" w:rsidRPr="004D3EAF" w:rsidRDefault="001B1C87" w:rsidP="001B1C87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07DAC4BC" w14:textId="77777777" w:rsidR="001B1C87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D1DD0">
              <w:rPr>
                <w:rFonts w:cs="Arial"/>
                <w:szCs w:val="20"/>
              </w:rPr>
              <w:t>The Alinity i Anti-HCV assay is for the detection of antibodies to</w:t>
            </w:r>
            <w:r>
              <w:rPr>
                <w:rFonts w:cs="Arial"/>
                <w:szCs w:val="20"/>
              </w:rPr>
              <w:t xml:space="preserve"> the hepatitis C virus (HCV). C</w:t>
            </w:r>
            <w:r w:rsidRPr="00BD1DD0">
              <w:rPr>
                <w:rFonts w:cs="Arial"/>
                <w:szCs w:val="20"/>
              </w:rPr>
              <w:t>hemiluminescent immunoassays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are a variation of the enzyme immunoassay (EIA) principle. Solid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phase EIAs, first described in the early 1970s, use antigens and/or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 xml:space="preserve">antibodies coated on a surface </w:t>
            </w:r>
            <w:r>
              <w:rPr>
                <w:rFonts w:cs="Arial"/>
                <w:szCs w:val="20"/>
              </w:rPr>
              <w:t xml:space="preserve">to bind complementary analytes. </w:t>
            </w:r>
            <w:r w:rsidRPr="00BD1DD0">
              <w:rPr>
                <w:rFonts w:cs="Arial"/>
                <w:szCs w:val="20"/>
              </w:rPr>
              <w:t>The bound analyte is detected by a series of antigen-antibody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reactions. EIAs are available to identify antigens and antibodies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related to viral hepatitis infection. In the Alinity i Anti-HCV final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 xml:space="preserve">reaction, bound </w:t>
            </w:r>
            <w:proofErr w:type="spellStart"/>
            <w:r w:rsidRPr="00BD1DD0">
              <w:rPr>
                <w:rFonts w:cs="Arial"/>
                <w:szCs w:val="20"/>
              </w:rPr>
              <w:t>acridinylated</w:t>
            </w:r>
            <w:proofErr w:type="spellEnd"/>
            <w:r w:rsidRPr="00BD1DD0">
              <w:rPr>
                <w:rFonts w:cs="Arial"/>
                <w:szCs w:val="20"/>
              </w:rPr>
              <w:t xml:space="preserve"> conjugates are used to generate a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chemiluminescent signal.</w:t>
            </w:r>
          </w:p>
          <w:p w14:paraId="6EBA138C" w14:textId="77777777" w:rsid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08F70667" w14:textId="4E15F4EA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HCV is a bloodborne virus. </w:t>
            </w:r>
            <w:r w:rsidRPr="00BD1DD0">
              <w:rPr>
                <w:rFonts w:cs="Arial"/>
                <w:szCs w:val="20"/>
              </w:rPr>
              <w:t xml:space="preserve"> Serological studies employing EIAs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for detection of antibodies to recombinant antigens of HCV have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established HCV as</w:t>
            </w:r>
            <w:r>
              <w:rPr>
                <w:rFonts w:cs="Arial"/>
                <w:szCs w:val="20"/>
              </w:rPr>
              <w:t xml:space="preserve"> the cause of most bloodborne</w:t>
            </w:r>
            <w:r w:rsidRPr="00BD1DD0">
              <w:rPr>
                <w:rFonts w:cs="Arial"/>
                <w:szCs w:val="20"/>
              </w:rPr>
              <w:t xml:space="preserve"> as well as</w:t>
            </w:r>
          </w:p>
          <w:p w14:paraId="7F8ADAED" w14:textId="53B9FAF9" w:rsid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community-acquired</w:t>
            </w:r>
            <w:proofErr w:type="gramEnd"/>
            <w:r w:rsidRPr="00BD1DD0">
              <w:rPr>
                <w:rFonts w:cs="Arial"/>
                <w:szCs w:val="20"/>
              </w:rPr>
              <w:t xml:space="preserve"> non-A, non-B hepatitis. The presence of anti-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HCV indicates that an individual may have been infected with HCV,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may harbor infectious HCV, and/or may be capable of transmitting</w:t>
            </w:r>
            <w:r>
              <w:rPr>
                <w:rFonts w:cs="Arial"/>
                <w:szCs w:val="20"/>
              </w:rPr>
              <w:t xml:space="preserve"> HCV infection.</w:t>
            </w:r>
          </w:p>
          <w:p w14:paraId="20DE0B6F" w14:textId="77777777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79EEF6C8" w14:textId="7B9A34A7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D1DD0">
              <w:rPr>
                <w:rFonts w:cs="Arial"/>
                <w:szCs w:val="20"/>
              </w:rPr>
              <w:t>Although the majority of infected individuals may be asymptomatic,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HCV infection may develop into chronic hepatitis, cirrhosis, and/or</w:t>
            </w:r>
            <w:r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increased risk o</w:t>
            </w:r>
            <w:r>
              <w:rPr>
                <w:rFonts w:cs="Arial"/>
                <w:szCs w:val="20"/>
              </w:rPr>
              <w:t>f hepatocellular carcinoma. The i</w:t>
            </w:r>
            <w:r w:rsidRPr="00BD1DD0">
              <w:rPr>
                <w:rFonts w:cs="Arial"/>
                <w:szCs w:val="20"/>
              </w:rPr>
              <w:t>mplementation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of blood donation screening for anti-HCV by EIAs has led to a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marked decline in the risk of transfus</w:t>
            </w:r>
            <w:r w:rsidR="00D969C5">
              <w:rPr>
                <w:rFonts w:cs="Arial"/>
                <w:szCs w:val="20"/>
              </w:rPr>
              <w:t xml:space="preserve">ion-transmitted hepatitis. </w:t>
            </w:r>
            <w:r w:rsidRPr="00BD1DD0">
              <w:rPr>
                <w:rFonts w:cs="Arial"/>
                <w:szCs w:val="20"/>
              </w:rPr>
              <w:t>Alinity i Anti-HCV has been designed to detect antibodies to putative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structural and nonstructural proteins of the HCV genome.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relationship between the recombinant HCV proteins in Alinity i Anti-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HCV and the putative structural and nonstructural proteins of the</w:t>
            </w:r>
            <w:r w:rsidR="00D969C5">
              <w:rPr>
                <w:rFonts w:cs="Arial"/>
                <w:szCs w:val="20"/>
              </w:rPr>
              <w:t xml:space="preserve"> HCV genome is depicted below.</w:t>
            </w:r>
          </w:p>
          <w:p w14:paraId="67BF0930" w14:textId="6530B464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D1DD0">
              <w:rPr>
                <w:rFonts w:cs="Arial"/>
                <w:szCs w:val="20"/>
              </w:rPr>
              <w:t>• HCr43: The HCr43 protein is expressed in Escherichia coli (E.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coli) and is composed of two noncontiguous coding regions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of the HCV genome sequence. The first region represents</w:t>
            </w:r>
          </w:p>
          <w:p w14:paraId="4C8B4688" w14:textId="0F9D2E94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 w:rsidRPr="00BD1DD0">
              <w:rPr>
                <w:rFonts w:cs="Arial"/>
                <w:szCs w:val="20"/>
              </w:rPr>
              <w:t>amino</w:t>
            </w:r>
            <w:proofErr w:type="gramEnd"/>
            <w:r w:rsidRPr="00BD1DD0">
              <w:rPr>
                <w:rFonts w:cs="Arial"/>
                <w:szCs w:val="20"/>
              </w:rPr>
              <w:t xml:space="preserve"> acids 1192 to 1457 (33c) of the HCV sequence.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second of the two regions represents amino acids 1 to 150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(core) of the HCV sequence. Because of the similarity of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 xml:space="preserve">genomic organization of the </w:t>
            </w:r>
            <w:proofErr w:type="spellStart"/>
            <w:r w:rsidRPr="00BD1DD0">
              <w:rPr>
                <w:rFonts w:cs="Arial"/>
                <w:szCs w:val="20"/>
              </w:rPr>
              <w:t>flaviviruses</w:t>
            </w:r>
            <w:proofErr w:type="spellEnd"/>
            <w:r w:rsidRPr="00BD1DD0">
              <w:rPr>
                <w:rFonts w:cs="Arial"/>
                <w:szCs w:val="20"/>
              </w:rPr>
              <w:t>, it is suggested that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first sequence is from the NS3 coding region and the second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sequence is from the core coding region of HCV.</w:t>
            </w:r>
          </w:p>
          <w:p w14:paraId="3B03A8F6" w14:textId="4907ED99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D1DD0">
              <w:rPr>
                <w:rFonts w:cs="Arial"/>
                <w:szCs w:val="20"/>
              </w:rPr>
              <w:t xml:space="preserve">• </w:t>
            </w:r>
            <w:proofErr w:type="gramStart"/>
            <w:r w:rsidRPr="00BD1DD0">
              <w:rPr>
                <w:rFonts w:cs="Arial"/>
                <w:szCs w:val="20"/>
              </w:rPr>
              <w:t>c100-3</w:t>
            </w:r>
            <w:proofErr w:type="gramEnd"/>
            <w:r w:rsidRPr="00BD1DD0">
              <w:rPr>
                <w:rFonts w:cs="Arial"/>
                <w:szCs w:val="20"/>
              </w:rPr>
              <w:t>: The c100-3 antigen is a recombinant HCV protein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expressed in Saccharomyces cerevisiae (yeast). The genomic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 xml:space="preserve">organization of </w:t>
            </w:r>
            <w:proofErr w:type="spellStart"/>
            <w:r w:rsidRPr="00BD1DD0">
              <w:rPr>
                <w:rFonts w:cs="Arial"/>
                <w:szCs w:val="20"/>
              </w:rPr>
              <w:t>flaviviruses</w:t>
            </w:r>
            <w:proofErr w:type="spellEnd"/>
            <w:r w:rsidRPr="00BD1DD0">
              <w:rPr>
                <w:rFonts w:cs="Arial"/>
                <w:szCs w:val="20"/>
              </w:rPr>
              <w:t xml:space="preserve"> suggests that the cloned sequence</w:t>
            </w:r>
          </w:p>
          <w:p w14:paraId="5192EA7A" w14:textId="4322A643" w:rsidR="00BD1DD0" w:rsidRPr="00BD1DD0" w:rsidRDefault="00BD1DD0" w:rsidP="00BD1DD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 w:rsidRPr="00BD1DD0">
              <w:rPr>
                <w:rFonts w:cs="Arial"/>
                <w:szCs w:val="20"/>
              </w:rPr>
              <w:t>is</w:t>
            </w:r>
            <w:proofErr w:type="gramEnd"/>
            <w:r w:rsidRPr="00BD1DD0">
              <w:rPr>
                <w:rFonts w:cs="Arial"/>
                <w:szCs w:val="20"/>
              </w:rPr>
              <w:t xml:space="preserve"> contained within the putative nonstructural (NS3 and NS4)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regions of HCV. The c100-3 protein is a chimeric fusion protein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with 154 amino acids of human superoxide dismutase (</w:t>
            </w:r>
            <w:proofErr w:type="spellStart"/>
            <w:r w:rsidRPr="00BD1DD0">
              <w:rPr>
                <w:rFonts w:cs="Arial"/>
                <w:szCs w:val="20"/>
              </w:rPr>
              <w:t>hSOD</w:t>
            </w:r>
            <w:proofErr w:type="spellEnd"/>
            <w:r w:rsidRPr="00BD1DD0">
              <w:rPr>
                <w:rFonts w:cs="Arial"/>
                <w:szCs w:val="20"/>
              </w:rPr>
              <w:t>),</w:t>
            </w:r>
          </w:p>
          <w:p w14:paraId="6D876FC8" w14:textId="77777777" w:rsidR="00BD1DD0" w:rsidRDefault="00BD1DD0" w:rsidP="00D969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 w:rsidRPr="00BD1DD0">
              <w:rPr>
                <w:rFonts w:cs="Arial"/>
                <w:szCs w:val="20"/>
              </w:rPr>
              <w:t>five</w:t>
            </w:r>
            <w:proofErr w:type="gramEnd"/>
            <w:r w:rsidRPr="00BD1DD0">
              <w:rPr>
                <w:rFonts w:cs="Arial"/>
                <w:szCs w:val="20"/>
              </w:rPr>
              <w:t xml:space="preserve"> linker amino acids, amino acids number 1569 to 1931 of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HCV polyprotein, and the additional five amino acid linker at the</w:t>
            </w:r>
            <w:r w:rsidR="00D969C5">
              <w:rPr>
                <w:rFonts w:cs="Arial"/>
                <w:szCs w:val="20"/>
              </w:rPr>
              <w:t xml:space="preserve"> </w:t>
            </w:r>
            <w:r w:rsidRPr="00BD1DD0">
              <w:rPr>
                <w:rFonts w:cs="Arial"/>
                <w:szCs w:val="20"/>
              </w:rPr>
              <w:t>carboxyl terminus.</w:t>
            </w:r>
          </w:p>
          <w:p w14:paraId="7FD83261" w14:textId="77777777" w:rsidR="00D969C5" w:rsidRDefault="00D969C5" w:rsidP="00D969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181CE5E0" w14:textId="77777777" w:rsidR="00D969C5" w:rsidRDefault="00D969C5" w:rsidP="00D969C5">
            <w:pPr>
              <w:autoSpaceDE w:val="0"/>
              <w:autoSpaceDN w:val="0"/>
              <w:adjustRightInd w:val="0"/>
              <w:rPr>
                <w:noProof/>
              </w:rPr>
            </w:pPr>
            <w:r w:rsidRPr="001057F4">
              <w:rPr>
                <w:noProof/>
              </w:rPr>
              <w:pict w14:anchorId="22936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47.9pt;height:146.3pt;visibility:visible;mso-wrap-style:square">
                  <v:imagedata r:id="rId12" o:title=""/>
                </v:shape>
              </w:pict>
            </w:r>
          </w:p>
          <w:p w14:paraId="2EC137F9" w14:textId="0B1AA447" w:rsidR="00D969C5" w:rsidRPr="004D3EAF" w:rsidRDefault="00D969C5" w:rsidP="00D969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8C6EDC" w:rsidRPr="004D3EAF" w14:paraId="2EC13801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7FB" w14:textId="3A14334D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7FC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Instrument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7FD" w14:textId="77777777" w:rsidR="008C6EDC" w:rsidRPr="004D3EAF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</w:p>
          <w:p w14:paraId="2EC137FE" w14:textId="2ECB887F" w:rsidR="00D0201D" w:rsidRPr="004D3EAF" w:rsidRDefault="008C6EDC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b/>
                <w:bCs/>
                <w:color w:val="5F497A"/>
                <w:szCs w:val="20"/>
              </w:rPr>
              <w:t>PRIMARY METHOD:</w:t>
            </w:r>
            <w:r w:rsidRPr="004D3EAF">
              <w:rPr>
                <w:rFonts w:cs="Arial"/>
                <w:b/>
                <w:bCs/>
                <w:szCs w:val="20"/>
              </w:rPr>
              <w:t xml:space="preserve"> </w:t>
            </w:r>
            <w:r w:rsidR="001B1C87" w:rsidRPr="0078439E">
              <w:rPr>
                <w:rFonts w:cs="Arial"/>
                <w:bCs/>
                <w:szCs w:val="20"/>
              </w:rPr>
              <w:t xml:space="preserve">Abbott </w:t>
            </w:r>
            <w:r w:rsidR="00D969C5">
              <w:rPr>
                <w:rFonts w:cs="Arial"/>
                <w:bCs/>
                <w:szCs w:val="20"/>
              </w:rPr>
              <w:t xml:space="preserve">Alinity </w:t>
            </w:r>
            <w:r w:rsidR="007421C2">
              <w:rPr>
                <w:rFonts w:cs="Arial"/>
                <w:bCs/>
                <w:szCs w:val="20"/>
              </w:rPr>
              <w:t>i</w:t>
            </w:r>
            <w:r w:rsidR="00F57474">
              <w:rPr>
                <w:rFonts w:cs="Arial"/>
                <w:bCs/>
                <w:szCs w:val="20"/>
              </w:rPr>
              <w:t xml:space="preserve"> (Sunquest code: MACI)</w:t>
            </w:r>
          </w:p>
          <w:p w14:paraId="2EC137FF" w14:textId="514044E1" w:rsidR="008C6EDC" w:rsidRPr="004D3EAF" w:rsidRDefault="004D3EAF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F57474">
              <w:rPr>
                <w:rFonts w:cs="Arial"/>
                <w:b/>
                <w:bCs/>
                <w:szCs w:val="20"/>
              </w:rPr>
              <w:t>Backup Method</w:t>
            </w:r>
            <w:r w:rsidR="008C6EDC" w:rsidRPr="00F57474">
              <w:rPr>
                <w:rFonts w:cs="Arial"/>
                <w:b/>
                <w:bCs/>
                <w:szCs w:val="20"/>
              </w:rPr>
              <w:t>:</w:t>
            </w:r>
            <w:r w:rsidR="008C6EDC" w:rsidRPr="004D3EAF">
              <w:rPr>
                <w:rFonts w:cs="Arial"/>
                <w:b/>
                <w:bCs/>
                <w:szCs w:val="20"/>
              </w:rPr>
              <w:t xml:space="preserve"> </w:t>
            </w:r>
            <w:r w:rsidR="00F57474" w:rsidRPr="00F57474">
              <w:rPr>
                <w:rFonts w:cs="Arial"/>
                <w:bCs/>
                <w:szCs w:val="20"/>
              </w:rPr>
              <w:t>Hold samples until instrument is back in service.  Refer</w:t>
            </w:r>
            <w:r w:rsidR="007421C2">
              <w:rPr>
                <w:rFonts w:cs="Arial"/>
                <w:bCs/>
                <w:szCs w:val="20"/>
              </w:rPr>
              <w:t xml:space="preserve"> samples</w:t>
            </w:r>
            <w:r w:rsidR="00F57474" w:rsidRPr="00F57474">
              <w:rPr>
                <w:rFonts w:cs="Arial"/>
                <w:bCs/>
                <w:szCs w:val="20"/>
              </w:rPr>
              <w:t xml:space="preserve"> to </w:t>
            </w:r>
            <w:r w:rsidR="001B1C87" w:rsidRPr="00F57474">
              <w:rPr>
                <w:rFonts w:cs="Arial"/>
                <w:bCs/>
                <w:szCs w:val="20"/>
              </w:rPr>
              <w:t>Mayo Medical La</w:t>
            </w:r>
            <w:r w:rsidR="0078439E" w:rsidRPr="00F57474">
              <w:rPr>
                <w:rFonts w:cs="Arial"/>
                <w:bCs/>
                <w:szCs w:val="20"/>
              </w:rPr>
              <w:t>b</w:t>
            </w:r>
            <w:r w:rsidR="001B1C87" w:rsidRPr="00F57474">
              <w:rPr>
                <w:rFonts w:cs="Arial"/>
                <w:bCs/>
                <w:szCs w:val="20"/>
              </w:rPr>
              <w:t>oratories</w:t>
            </w:r>
            <w:r w:rsidR="00F57474" w:rsidRPr="00F57474">
              <w:rPr>
                <w:rFonts w:cs="Arial"/>
                <w:bCs/>
                <w:szCs w:val="20"/>
              </w:rPr>
              <w:t xml:space="preserve"> if urgent.</w:t>
            </w:r>
          </w:p>
          <w:p w14:paraId="2EC13800" w14:textId="77777777" w:rsidR="008C6EDC" w:rsidRPr="004D3EAF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</w:p>
        </w:tc>
      </w:tr>
      <w:tr w:rsidR="00B816B4" w:rsidRPr="004D3EAF" w14:paraId="2EC13804" w14:textId="77777777" w:rsidTr="00D120DB">
        <w:trPr>
          <w:trHeight w:val="69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02" w14:textId="77777777" w:rsidR="00B816B4" w:rsidRPr="0078439E" w:rsidRDefault="00B816B4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78439E">
              <w:rPr>
                <w:rFonts w:cs="Arial"/>
                <w:b/>
                <w:bCs/>
                <w:color w:val="0000FF"/>
                <w:szCs w:val="20"/>
              </w:rPr>
              <w:t>Sunquest Test Code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03" w14:textId="77777777" w:rsidR="00B816B4" w:rsidRPr="008B792E" w:rsidRDefault="005D58AB" w:rsidP="0078439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  <w:b/>
                <w:szCs w:val="20"/>
              </w:rPr>
            </w:pPr>
            <w:r w:rsidRPr="008B792E">
              <w:rPr>
                <w:rFonts w:cs="Arial"/>
                <w:b/>
                <w:bCs/>
                <w:szCs w:val="20"/>
              </w:rPr>
              <w:t>AHCV</w:t>
            </w:r>
            <w:r w:rsidR="009E0011" w:rsidRPr="008B792E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8C6EDC" w:rsidRPr="004D3EAF" w14:paraId="2EC13819" w14:textId="77777777" w:rsidTr="00D120DB">
        <w:trPr>
          <w:cantSplit/>
          <w:trHeight w:val="209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05" w14:textId="77777777" w:rsidR="008C6EDC" w:rsidRPr="004D3EAF" w:rsidRDefault="008C6EDC" w:rsidP="00FC6715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06" w14:textId="77777777" w:rsidR="008C6EDC" w:rsidRPr="004D3EAF" w:rsidRDefault="008C6EDC" w:rsidP="00FC6715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Specimen</w:t>
            </w:r>
          </w:p>
          <w:p w14:paraId="2EC13807" w14:textId="77777777" w:rsidR="008C6EDC" w:rsidRPr="004D3EAF" w:rsidRDefault="008C6EDC" w:rsidP="00FC6715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08" w14:textId="77777777" w:rsidR="008C6EDC" w:rsidRPr="004D3EAF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  <w:p w14:paraId="2EC13809" w14:textId="77777777" w:rsidR="0078439E" w:rsidRDefault="005D58AB" w:rsidP="0078439E">
            <w:pPr>
              <w:pStyle w:val="BodyText"/>
              <w:rPr>
                <w:rFonts w:cs="Arial"/>
                <w:b/>
                <w:szCs w:val="20"/>
              </w:rPr>
            </w:pPr>
            <w:r w:rsidRPr="004D3EAF">
              <w:rPr>
                <w:rFonts w:cs="Arial"/>
                <w:b/>
                <w:szCs w:val="20"/>
              </w:rPr>
              <w:t xml:space="preserve">Preferred Container: </w:t>
            </w:r>
            <w:r w:rsidRPr="004D3EAF">
              <w:rPr>
                <w:rFonts w:cs="Arial"/>
                <w:szCs w:val="20"/>
              </w:rPr>
              <w:t>SST (gold, marble)</w:t>
            </w:r>
            <w:r w:rsidR="0078439E">
              <w:rPr>
                <w:rFonts w:cs="Arial"/>
                <w:szCs w:val="20"/>
              </w:rPr>
              <w:t xml:space="preserve"> or Red no gel</w:t>
            </w:r>
          </w:p>
          <w:p w14:paraId="2EC1380A" w14:textId="77777777" w:rsidR="005D58AB" w:rsidRPr="0078439E" w:rsidRDefault="0078439E" w:rsidP="0078439E">
            <w:pPr>
              <w:pStyle w:val="BodyTex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Preferred </w:t>
            </w:r>
            <w:r w:rsidR="005D58AB" w:rsidRPr="004D3EAF">
              <w:rPr>
                <w:rFonts w:cs="Arial"/>
                <w:b/>
                <w:szCs w:val="20"/>
              </w:rPr>
              <w:t>Draw Volume: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5D58AB" w:rsidRPr="004D3EAF">
              <w:rPr>
                <w:rFonts w:cs="Arial"/>
                <w:szCs w:val="20"/>
              </w:rPr>
              <w:t xml:space="preserve">4.5 mL blood </w:t>
            </w:r>
          </w:p>
          <w:p w14:paraId="2EC1380B" w14:textId="77777777" w:rsidR="0078439E" w:rsidRDefault="0078439E" w:rsidP="0078439E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Minimum </w:t>
            </w:r>
            <w:r w:rsidR="005D58AB" w:rsidRPr="004D3EAF">
              <w:rPr>
                <w:rFonts w:cs="Arial"/>
                <w:b/>
                <w:szCs w:val="20"/>
              </w:rPr>
              <w:t xml:space="preserve">Processed Volume: </w:t>
            </w:r>
            <w:r w:rsidRPr="0078439E">
              <w:rPr>
                <w:rFonts w:cs="Arial"/>
                <w:szCs w:val="20"/>
              </w:rPr>
              <w:t>1.1 mL serum</w:t>
            </w:r>
            <w:r w:rsidR="005D58AB" w:rsidRPr="004D3EAF">
              <w:rPr>
                <w:rFonts w:cs="Arial"/>
                <w:szCs w:val="20"/>
              </w:rPr>
              <w:t xml:space="preserve"> </w:t>
            </w:r>
          </w:p>
          <w:p w14:paraId="03E1136E" w14:textId="7FA9272C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szCs w:val="20"/>
              </w:rPr>
              <w:t>• Maximum number of replicates sampled from the same sample</w:t>
            </w:r>
            <w:r>
              <w:rPr>
                <w:rFonts w:cs="Arial"/>
                <w:szCs w:val="20"/>
              </w:rPr>
              <w:t xml:space="preserve"> </w:t>
            </w:r>
            <w:r w:rsidRPr="0040455F">
              <w:rPr>
                <w:rFonts w:cs="Arial"/>
                <w:szCs w:val="20"/>
              </w:rPr>
              <w:t>cup: 10</w:t>
            </w:r>
          </w:p>
          <w:p w14:paraId="6CB311DD" w14:textId="123444FA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b/>
                <w:szCs w:val="20"/>
              </w:rPr>
              <w:t>Priority</w:t>
            </w:r>
            <w:r w:rsidRPr="0040455F">
              <w:rPr>
                <w:rFonts w:cs="Arial"/>
                <w:b/>
                <w:szCs w:val="20"/>
              </w:rPr>
              <w:t xml:space="preserve"> Loaded</w:t>
            </w:r>
            <w:r w:rsidRPr="0040455F">
              <w:rPr>
                <w:rFonts w:cs="Arial"/>
                <w:szCs w:val="20"/>
              </w:rPr>
              <w:t>:</w:t>
            </w:r>
          </w:p>
          <w:p w14:paraId="2CC14040" w14:textId="7A46F37F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szCs w:val="20"/>
              </w:rPr>
              <w:t xml:space="preserve"> Sample volume for first test: 70 μL</w:t>
            </w:r>
          </w:p>
          <w:p w14:paraId="5457EF4A" w14:textId="4934DE10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szCs w:val="20"/>
              </w:rPr>
              <w:t xml:space="preserve"> Sample volume for each a</w:t>
            </w:r>
            <w:r>
              <w:rPr>
                <w:rFonts w:cs="Arial"/>
                <w:szCs w:val="20"/>
              </w:rPr>
              <w:t xml:space="preserve">dditional test from same sample </w:t>
            </w:r>
            <w:r w:rsidRPr="0040455F">
              <w:rPr>
                <w:rFonts w:cs="Arial"/>
                <w:szCs w:val="20"/>
              </w:rPr>
              <w:t>cup: 20 μL</w:t>
            </w:r>
          </w:p>
          <w:p w14:paraId="4C83C884" w14:textId="5569C0BF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b/>
                <w:szCs w:val="20"/>
              </w:rPr>
              <w:t>Sample Loaded Routinely</w:t>
            </w:r>
            <w:r w:rsidRPr="0040455F">
              <w:rPr>
                <w:rFonts w:cs="Arial"/>
                <w:szCs w:val="20"/>
              </w:rPr>
              <w:t>:</w:t>
            </w:r>
          </w:p>
          <w:p w14:paraId="76B05999" w14:textId="065F7B2A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40455F">
              <w:rPr>
                <w:rFonts w:cs="Arial"/>
                <w:szCs w:val="20"/>
              </w:rPr>
              <w:t>Sample volume for first test: 150 μL</w:t>
            </w:r>
          </w:p>
          <w:p w14:paraId="221B1343" w14:textId="25F74999" w:rsidR="0040455F" w:rsidRPr="0040455F" w:rsidRDefault="0040455F" w:rsidP="0040455F">
            <w:pPr>
              <w:pStyle w:val="BodyText"/>
              <w:rPr>
                <w:rFonts w:cs="Arial"/>
                <w:szCs w:val="20"/>
              </w:rPr>
            </w:pPr>
            <w:r w:rsidRPr="0040455F">
              <w:rPr>
                <w:rFonts w:cs="Arial"/>
                <w:szCs w:val="20"/>
              </w:rPr>
              <w:t xml:space="preserve"> Sample volume for each additional test from same sample</w:t>
            </w:r>
            <w:r>
              <w:rPr>
                <w:rFonts w:cs="Arial"/>
                <w:szCs w:val="20"/>
              </w:rPr>
              <w:t xml:space="preserve"> </w:t>
            </w:r>
            <w:r w:rsidRPr="0040455F">
              <w:rPr>
                <w:rFonts w:cs="Arial"/>
                <w:szCs w:val="20"/>
              </w:rPr>
              <w:t>cup: 20 μL</w:t>
            </w:r>
          </w:p>
          <w:p w14:paraId="2EC1380C" w14:textId="3E66F4E9" w:rsidR="005D58AB" w:rsidRPr="0078439E" w:rsidRDefault="005D58AB" w:rsidP="0078439E">
            <w:pPr>
              <w:pStyle w:val="BodyText"/>
              <w:rPr>
                <w:rFonts w:cs="Arial"/>
                <w:b/>
                <w:szCs w:val="20"/>
              </w:rPr>
            </w:pPr>
            <w:r w:rsidRPr="004D3EAF">
              <w:rPr>
                <w:rFonts w:cs="Arial"/>
                <w:szCs w:val="20"/>
              </w:rPr>
              <w:t xml:space="preserve">Note: </w:t>
            </w:r>
            <w:r w:rsidR="0040455F">
              <w:rPr>
                <w:rFonts w:cs="Arial"/>
                <w:szCs w:val="20"/>
              </w:rPr>
              <w:t>Any sample volume below the m</w:t>
            </w:r>
            <w:r w:rsidRPr="004D3EAF">
              <w:rPr>
                <w:rFonts w:cs="Arial"/>
                <w:szCs w:val="20"/>
              </w:rPr>
              <w:t>inimum volume</w:t>
            </w:r>
            <w:r w:rsidR="0040455F">
              <w:rPr>
                <w:rFonts w:cs="Arial"/>
                <w:szCs w:val="20"/>
              </w:rPr>
              <w:t xml:space="preserve"> does not permit confirmatory testing.</w:t>
            </w:r>
          </w:p>
          <w:p w14:paraId="78695906" w14:textId="68CA1184" w:rsidR="0040455F" w:rsidRPr="0040455F" w:rsidRDefault="005D58AB" w:rsidP="0078439E">
            <w:pPr>
              <w:pStyle w:val="BodyText"/>
              <w:rPr>
                <w:rFonts w:cs="Arial"/>
                <w:b/>
                <w:szCs w:val="20"/>
              </w:rPr>
            </w:pPr>
            <w:r w:rsidRPr="004D3EAF">
              <w:rPr>
                <w:rFonts w:cs="Arial"/>
                <w:b/>
                <w:szCs w:val="20"/>
              </w:rPr>
              <w:t>Stability:</w:t>
            </w:r>
            <w:r w:rsidR="0078439E">
              <w:rPr>
                <w:rFonts w:cs="Arial"/>
                <w:b/>
                <w:szCs w:val="20"/>
              </w:rPr>
              <w:t xml:space="preserve"> </w:t>
            </w:r>
            <w:r w:rsidR="0040455F" w:rsidRPr="0040455F">
              <w:rPr>
                <w:rFonts w:cs="Arial"/>
                <w:szCs w:val="20"/>
              </w:rPr>
              <w:t>3 days at Room Temperature</w:t>
            </w:r>
            <w:r w:rsidR="0040455F">
              <w:rPr>
                <w:rFonts w:cs="Arial"/>
                <w:b/>
                <w:szCs w:val="20"/>
              </w:rPr>
              <w:t xml:space="preserve">, </w:t>
            </w:r>
            <w:r w:rsidR="0040455F">
              <w:rPr>
                <w:rFonts w:cs="Arial"/>
                <w:szCs w:val="20"/>
              </w:rPr>
              <w:t>stored on or off the clot/cells/gel (not acceptable for confirmatory testing requirements.  See Mayo Medical Laboratories Test Catalog for more information.)</w:t>
            </w:r>
            <w:r w:rsidR="0040455F" w:rsidRPr="0040455F">
              <w:rPr>
                <w:rFonts w:cs="Arial"/>
                <w:b/>
                <w:szCs w:val="20"/>
              </w:rPr>
              <w:t xml:space="preserve"> </w:t>
            </w:r>
          </w:p>
          <w:p w14:paraId="2EC1380D" w14:textId="3656602E" w:rsidR="005D58AB" w:rsidRPr="0078439E" w:rsidRDefault="0040455F" w:rsidP="0040455F">
            <w:pPr>
              <w:pStyle w:val="BodyText"/>
              <w:ind w:left="7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</w:t>
            </w:r>
            <w:r w:rsidR="0078439E">
              <w:rPr>
                <w:rFonts w:cs="Arial"/>
                <w:szCs w:val="20"/>
              </w:rPr>
              <w:t>7 days</w:t>
            </w:r>
            <w:r w:rsidR="005D58AB" w:rsidRPr="004D3EAF">
              <w:rPr>
                <w:rFonts w:cs="Arial"/>
                <w:szCs w:val="20"/>
              </w:rPr>
              <w:t xml:space="preserve"> </w:t>
            </w:r>
            <w:r w:rsidR="0078439E">
              <w:rPr>
                <w:rFonts w:cs="Arial"/>
                <w:szCs w:val="20"/>
              </w:rPr>
              <w:t xml:space="preserve">refrigerated at </w:t>
            </w:r>
            <w:r w:rsidR="005D58AB" w:rsidRPr="004D3EAF">
              <w:rPr>
                <w:rFonts w:cs="Arial"/>
                <w:szCs w:val="20"/>
              </w:rPr>
              <w:t>2-8°</w:t>
            </w:r>
            <w:r w:rsidR="0078439E">
              <w:rPr>
                <w:rFonts w:cs="Arial"/>
                <w:szCs w:val="20"/>
              </w:rPr>
              <w:t>C</w:t>
            </w:r>
          </w:p>
          <w:p w14:paraId="2EC1380E" w14:textId="641C05E5" w:rsidR="005D58AB" w:rsidRDefault="0040455F" w:rsidP="0078439E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  <w:t xml:space="preserve">   2 years frozen </w:t>
            </w:r>
            <w:proofErr w:type="gramStart"/>
            <w:r>
              <w:rPr>
                <w:rFonts w:cs="Arial"/>
                <w:szCs w:val="20"/>
              </w:rPr>
              <w:t>at  -</w:t>
            </w:r>
            <w:proofErr w:type="gramEnd"/>
            <w:r>
              <w:rPr>
                <w:rFonts w:cs="Arial"/>
                <w:szCs w:val="20"/>
              </w:rPr>
              <w:t>20°C.  Avoid more than 3 freeze/thaw cycles to maintain viability</w:t>
            </w:r>
          </w:p>
          <w:p w14:paraId="2EC1380F" w14:textId="77777777" w:rsidR="0078439E" w:rsidRPr="0078439E" w:rsidRDefault="0078439E" w:rsidP="0078439E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Transport: </w:t>
            </w:r>
            <w:r>
              <w:rPr>
                <w:rFonts w:cs="Arial"/>
                <w:szCs w:val="20"/>
              </w:rPr>
              <w:t>Ship refrigerated to Minneapolis laboratory.</w:t>
            </w:r>
          </w:p>
          <w:p w14:paraId="2EC13811" w14:textId="367A2460" w:rsidR="005D58AB" w:rsidRPr="008B792E" w:rsidRDefault="005D58AB" w:rsidP="008B792E">
            <w:pPr>
              <w:pStyle w:val="BodyText"/>
              <w:rPr>
                <w:rFonts w:cs="Arial"/>
                <w:b/>
                <w:szCs w:val="20"/>
              </w:rPr>
            </w:pPr>
            <w:proofErr w:type="spellStart"/>
            <w:r w:rsidRPr="004D3EAF">
              <w:rPr>
                <w:rFonts w:cs="Arial"/>
                <w:b/>
                <w:szCs w:val="20"/>
              </w:rPr>
              <w:t>Rejection</w:t>
            </w:r>
            <w:proofErr w:type="gramStart"/>
            <w:r w:rsidRPr="004D3EAF">
              <w:rPr>
                <w:rFonts w:cs="Arial"/>
                <w:b/>
                <w:szCs w:val="20"/>
              </w:rPr>
              <w:t>:</w:t>
            </w:r>
            <w:r w:rsidRPr="004D3EAF">
              <w:rPr>
                <w:rFonts w:cs="Arial"/>
                <w:szCs w:val="20"/>
              </w:rPr>
              <w:t>Specimens</w:t>
            </w:r>
            <w:proofErr w:type="spellEnd"/>
            <w:proofErr w:type="gramEnd"/>
            <w:r w:rsidRPr="004D3EAF">
              <w:rPr>
                <w:rFonts w:cs="Arial"/>
                <w:szCs w:val="20"/>
              </w:rPr>
              <w:t xml:space="preserve"> not removed from red cells</w:t>
            </w:r>
            <w:r w:rsidR="0021409B" w:rsidRPr="004D3EAF">
              <w:rPr>
                <w:rFonts w:cs="Arial"/>
                <w:szCs w:val="20"/>
              </w:rPr>
              <w:t xml:space="preserve"> within two</w:t>
            </w:r>
            <w:r w:rsidR="003E12F7">
              <w:rPr>
                <w:rFonts w:cs="Arial"/>
                <w:szCs w:val="20"/>
              </w:rPr>
              <w:t xml:space="preserve"> hours of collection, m</w:t>
            </w:r>
            <w:r w:rsidRPr="004D3EAF">
              <w:rPr>
                <w:rFonts w:cs="Arial"/>
                <w:szCs w:val="20"/>
              </w:rPr>
              <w:t>islabeled or unlabeled specimen</w:t>
            </w:r>
            <w:r w:rsidR="003E12F7">
              <w:rPr>
                <w:rFonts w:cs="Arial"/>
                <w:szCs w:val="20"/>
              </w:rPr>
              <w:t>s</w:t>
            </w:r>
            <w:r w:rsidR="003E12F7">
              <w:rPr>
                <w:rFonts w:cs="Arial"/>
                <w:b/>
                <w:szCs w:val="20"/>
              </w:rPr>
              <w:t xml:space="preserve">, </w:t>
            </w:r>
            <w:r w:rsidR="003E12F7">
              <w:rPr>
                <w:rFonts w:cs="Arial"/>
                <w:szCs w:val="20"/>
              </w:rPr>
              <w:t>or grossly hemolyzed specimens.</w:t>
            </w:r>
          </w:p>
          <w:p w14:paraId="2EC13812" w14:textId="77777777" w:rsidR="008C6EDC" w:rsidRPr="004D3EAF" w:rsidRDefault="008C6EDC" w:rsidP="0078439E">
            <w:pPr>
              <w:rPr>
                <w:rFonts w:cs="Arial"/>
                <w:szCs w:val="20"/>
              </w:rPr>
            </w:pPr>
            <w:r w:rsidRPr="004D3EAF">
              <w:rPr>
                <w:rFonts w:cs="Arial"/>
                <w:b/>
                <w:bCs/>
                <w:szCs w:val="20"/>
              </w:rPr>
              <w:t>Preparation:</w:t>
            </w:r>
            <w:r w:rsidRPr="004D3EAF">
              <w:rPr>
                <w:rFonts w:cs="Arial"/>
                <w:szCs w:val="20"/>
              </w:rPr>
              <w:t xml:space="preserve"> </w:t>
            </w:r>
          </w:p>
          <w:p w14:paraId="01E66489" w14:textId="299F564A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>Whole blood specimens should be centrifuged following complete clot formation, according to Specimen Processing procedures</w:t>
            </w:r>
            <w:r w:rsidR="007421C2">
              <w:rPr>
                <w:rFonts w:cs="Arial"/>
                <w:szCs w:val="20"/>
              </w:rPr>
              <w:t>,</w:t>
            </w:r>
            <w:r w:rsidRPr="008B792E">
              <w:rPr>
                <w:rFonts w:cs="Arial"/>
                <w:szCs w:val="20"/>
              </w:rPr>
              <w:t xml:space="preserve"> prior to analysis.</w:t>
            </w:r>
          </w:p>
          <w:p w14:paraId="7EAB9503" w14:textId="77777777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>Serum or plasma should be physically separated from cells as soon as possible with a maximum limit of two hours from the time of collection.</w:t>
            </w:r>
          </w:p>
          <w:p w14:paraId="17808B9B" w14:textId="77777777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 xml:space="preserve">Specimens should be free of particulate matter. </w:t>
            </w:r>
          </w:p>
          <w:p w14:paraId="397878EC" w14:textId="77777777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 xml:space="preserve">Transfer serum or plasma directly to a properly labeled pilot tube.  </w:t>
            </w:r>
          </w:p>
          <w:p w14:paraId="5DC3D7BD" w14:textId="77777777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 xml:space="preserve">Architect and Alinity systems utilize a specimen level detect mechanism, so special racks specific to tube-type are not required.  </w:t>
            </w:r>
          </w:p>
          <w:p w14:paraId="3D385DFA" w14:textId="77777777" w:rsidR="008B792E" w:rsidRPr="008B792E" w:rsidRDefault="008B792E" w:rsidP="008B79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792E">
              <w:rPr>
                <w:rFonts w:cs="Arial"/>
                <w:szCs w:val="20"/>
              </w:rPr>
              <w:t>Minimum labeling includes sample accession ID, and/ or patient name, medical record number, collection date and time.</w:t>
            </w:r>
          </w:p>
          <w:p w14:paraId="2EC13818" w14:textId="77777777" w:rsidR="008C6EDC" w:rsidRPr="004D3EAF" w:rsidRDefault="008C6EDC" w:rsidP="00FC671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B816B4" w:rsidRPr="004D3EAF" w14:paraId="2EC1383F" w14:textId="77777777" w:rsidTr="00C60046">
        <w:trPr>
          <w:trHeight w:val="1355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1A" w14:textId="77777777" w:rsidR="00B816B4" w:rsidRPr="004D3EAF" w:rsidRDefault="00B816B4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1B" w14:textId="77777777" w:rsidR="00B816B4" w:rsidRPr="004D3EAF" w:rsidRDefault="00B816B4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Reagents</w:t>
            </w:r>
          </w:p>
          <w:p w14:paraId="2EC1381C" w14:textId="77777777" w:rsidR="00B816B4" w:rsidRPr="004D3EAF" w:rsidRDefault="00B816B4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1D" w14:textId="77777777" w:rsidR="00B816B4" w:rsidRPr="004D3EAF" w:rsidRDefault="00B816B4" w:rsidP="008C6EDC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7"/>
              <w:gridCol w:w="1710"/>
              <w:gridCol w:w="4140"/>
              <w:gridCol w:w="393"/>
            </w:tblGrid>
            <w:tr w:rsidR="00B816B4" w:rsidRPr="004D3EAF" w14:paraId="2EC13821" w14:textId="77777777">
              <w:tc>
                <w:tcPr>
                  <w:tcW w:w="2857" w:type="dxa"/>
                </w:tcPr>
                <w:p w14:paraId="2EC1381E" w14:textId="77777777" w:rsidR="00B816B4" w:rsidRPr="004D3EAF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710" w:type="dxa"/>
                </w:tcPr>
                <w:p w14:paraId="2EC1381F" w14:textId="77777777" w:rsidR="00B816B4" w:rsidRPr="004D3EAF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Code</w:t>
                  </w:r>
                </w:p>
              </w:tc>
              <w:tc>
                <w:tcPr>
                  <w:tcW w:w="4533" w:type="dxa"/>
                  <w:gridSpan w:val="2"/>
                </w:tcPr>
                <w:p w14:paraId="2EC13820" w14:textId="77777777" w:rsidR="00B816B4" w:rsidRPr="004D3EAF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B816B4" w:rsidRPr="004D3EAF" w14:paraId="2EC13827" w14:textId="77777777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14:paraId="2EC13822" w14:textId="418922E2" w:rsidR="00B816B4" w:rsidRPr="004D3EAF" w:rsidRDefault="007421C2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Abbott Alinity i </w:t>
                  </w:r>
                  <w:r w:rsidR="00B32730" w:rsidRPr="004D3EAF">
                    <w:rPr>
                      <w:rFonts w:cs="Arial"/>
                      <w:szCs w:val="20"/>
                    </w:rPr>
                    <w:t>Anti-HCV reagent</w:t>
                  </w:r>
                  <w:r>
                    <w:rPr>
                      <w:rFonts w:cs="Arial"/>
                      <w:szCs w:val="20"/>
                    </w:rPr>
                    <w:t xml:space="preserve"> kit</w:t>
                  </w:r>
                </w:p>
              </w:tc>
              <w:tc>
                <w:tcPr>
                  <w:tcW w:w="1710" w:type="dxa"/>
                </w:tcPr>
                <w:p w14:paraId="2EC13823" w14:textId="03716F92" w:rsidR="00B816B4" w:rsidRPr="004D3EAF" w:rsidRDefault="008B792E" w:rsidP="008C6EDC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 w:rsidRPr="008B792E">
                    <w:rPr>
                      <w:rFonts w:cs="Arial"/>
                      <w:szCs w:val="20"/>
                    </w:rPr>
                    <w:t>08P0521</w:t>
                  </w:r>
                </w:p>
              </w:tc>
              <w:tc>
                <w:tcPr>
                  <w:tcW w:w="4140" w:type="dxa"/>
                  <w:vAlign w:val="center"/>
                </w:tcPr>
                <w:p w14:paraId="2EC13824" w14:textId="77777777" w:rsidR="00B816B4" w:rsidRPr="004D3EAF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4D3EAF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14:paraId="237B2CCA" w14:textId="214C8500" w:rsidR="00FF423C" w:rsidRPr="00FF423C" w:rsidRDefault="00B816B4" w:rsidP="00FF423C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 w:rsidR="00FF423C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Store in upright position.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If cartridge does not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remain upright, gently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invert the cartridge 10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times and place in an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upright position for 1 hour</w:t>
                  </w:r>
                  <w:r w:rsidR="00FF423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before use.</w:t>
                  </w:r>
                </w:p>
                <w:p w14:paraId="3580546D" w14:textId="688D101A" w:rsidR="00FF423C" w:rsidRPr="00FF423C" w:rsidRDefault="00FF423C" w:rsidP="00FF423C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FF423C">
                    <w:rPr>
                      <w:rFonts w:ascii="Arial" w:hAnsi="Arial" w:cs="Arial"/>
                      <w:bCs/>
                    </w:rPr>
                    <w:t>Prior to loading on the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analyzer for the first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time,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gently invert cartridges 30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times.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May be used immediately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after removal from 2-8°C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F423C">
                    <w:rPr>
                      <w:rFonts w:ascii="Arial" w:hAnsi="Arial" w:cs="Arial"/>
                      <w:bCs/>
                    </w:rPr>
                    <w:t>storage.</w:t>
                  </w:r>
                </w:p>
                <w:p w14:paraId="2EC13825" w14:textId="0F2AC1D0" w:rsidR="00B816B4" w:rsidRPr="004D3EAF" w:rsidRDefault="002265E2" w:rsidP="00FF423C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4D3EAF">
                    <w:rPr>
                      <w:rFonts w:ascii="Arial" w:hAnsi="Arial" w:cs="Arial"/>
                      <w:b/>
                      <w:bCs/>
                    </w:rPr>
                    <w:t>Opened</w:t>
                  </w:r>
                  <w:r w:rsidR="00B816B4" w:rsidRPr="004D3EAF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4D3EA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C60046" w:rsidRPr="00C60046">
                    <w:rPr>
                      <w:rFonts w:ascii="Arial" w:hAnsi="Arial" w:cs="Arial"/>
                      <w:bCs/>
                    </w:rPr>
                    <w:t>Until</w:t>
                  </w:r>
                  <w:r w:rsidR="00C6004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4D3EAF">
                    <w:rPr>
                      <w:rFonts w:ascii="Arial" w:hAnsi="Arial" w:cs="Arial"/>
                      <w:bCs/>
                    </w:rPr>
                    <w:t>Manufacture</w:t>
                  </w:r>
                  <w:r w:rsidR="00FC2948">
                    <w:rPr>
                      <w:rFonts w:ascii="Arial" w:hAnsi="Arial" w:cs="Arial"/>
                      <w:bCs/>
                    </w:rPr>
                    <w:t>r</w:t>
                  </w:r>
                  <w:r w:rsidRPr="004D3EAF">
                    <w:rPr>
                      <w:rFonts w:ascii="Arial" w:hAnsi="Arial" w:cs="Arial"/>
                      <w:bCs/>
                    </w:rPr>
                    <w:t xml:space="preserve"> expiration date</w:t>
                  </w:r>
                  <w:r w:rsidR="00B816B4" w:rsidRPr="004D3EAF">
                    <w:rPr>
                      <w:rFonts w:ascii="Arial" w:hAnsi="Arial" w:cs="Arial"/>
                      <w:bCs/>
                    </w:rPr>
                    <w:t>.</w:t>
                  </w:r>
                  <w:r w:rsidR="00FF423C"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Store in upright position.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If cartridge does not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remain upright during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storage, discard the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cartridge.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Do not reuse original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reagent caps or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replacement caps due to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the risk of contamination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and the potential to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compromise reagent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performance.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May be used immediately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after removal from 2-8°C</w:t>
                  </w:r>
                  <w:r w:rsidR="00C6004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F423C" w:rsidRPr="00FF423C">
                    <w:rPr>
                      <w:rFonts w:ascii="Arial" w:hAnsi="Arial" w:cs="Arial"/>
                      <w:bCs/>
                    </w:rPr>
                    <w:t>storage.</w:t>
                  </w:r>
                </w:p>
                <w:p w14:paraId="2EC13826" w14:textId="77777777" w:rsidR="00B816B4" w:rsidRPr="004D3EAF" w:rsidRDefault="00B816B4" w:rsidP="002265E2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2265E2" w:rsidRPr="004D3EAF">
                    <w:rPr>
                      <w:rFonts w:cs="Arial"/>
                      <w:szCs w:val="20"/>
                    </w:rPr>
                    <w:t>30 Days</w:t>
                  </w:r>
                </w:p>
              </w:tc>
            </w:tr>
            <w:tr w:rsidR="00B816B4" w:rsidRPr="004D3EAF" w14:paraId="2EC1382D" w14:textId="77777777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14:paraId="36410FE7" w14:textId="77777777" w:rsidR="00FF423C" w:rsidRDefault="007421C2" w:rsidP="00B0339F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Abbott Alinity i Anti-HCV C</w:t>
                  </w:r>
                  <w:r w:rsidR="00B32730" w:rsidRPr="004D3EAF">
                    <w:rPr>
                      <w:rFonts w:cs="Arial"/>
                      <w:szCs w:val="20"/>
                    </w:rPr>
                    <w:t>alibrator</w:t>
                  </w:r>
                  <w:r w:rsidR="00FF423C">
                    <w:rPr>
                      <w:rFonts w:cs="Arial"/>
                      <w:szCs w:val="20"/>
                    </w:rPr>
                    <w:t xml:space="preserve">, 1 x 3.0 mL </w:t>
                  </w:r>
                </w:p>
                <w:p w14:paraId="2EC13828" w14:textId="790BD40D" w:rsidR="00B816B4" w:rsidRPr="004D3EAF" w:rsidRDefault="00FF423C" w:rsidP="00B0339F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(Green color)</w:t>
                  </w:r>
                  <w:r w:rsidR="00B32730" w:rsidRPr="004D3EAF">
                    <w:rPr>
                      <w:rFonts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14:paraId="2EC13829" w14:textId="376C8EDE" w:rsidR="00B816B4" w:rsidRPr="004D3EAF" w:rsidRDefault="007421C2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7421C2">
                    <w:rPr>
                      <w:rFonts w:cs="Arial"/>
                      <w:szCs w:val="20"/>
                    </w:rPr>
                    <w:t>08P0501</w:t>
                  </w:r>
                </w:p>
              </w:tc>
              <w:tc>
                <w:tcPr>
                  <w:tcW w:w="4140" w:type="dxa"/>
                  <w:vAlign w:val="center"/>
                </w:tcPr>
                <w:p w14:paraId="2EC1382A" w14:textId="77777777" w:rsidR="00B816B4" w:rsidRPr="004D3EAF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 w:rsidR="00CF7522" w:rsidRPr="004D3EAF">
                    <w:rPr>
                      <w:rFonts w:cs="Arial"/>
                      <w:szCs w:val="20"/>
                    </w:rPr>
                    <w:t xml:space="preserve"> 2-8</w:t>
                  </w:r>
                  <w:r w:rsidRPr="004D3EAF">
                    <w:rPr>
                      <w:rFonts w:cs="Arial"/>
                      <w:bCs/>
                      <w:szCs w:val="20"/>
                    </w:rPr>
                    <w:t>°C</w:t>
                  </w:r>
                </w:p>
                <w:p w14:paraId="2EC1382B" w14:textId="77777777" w:rsidR="00260A50" w:rsidRPr="004D3EAF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  <w:szCs w:val="20"/>
                    </w:rPr>
                  </w:pPr>
                  <w:r w:rsidRPr="004D3EAF">
                    <w:rPr>
                      <w:rFonts w:cs="Arial"/>
                      <w:b/>
                      <w:bCs/>
                      <w:szCs w:val="20"/>
                    </w:rPr>
                    <w:t>Unopened</w:t>
                  </w:r>
                  <w:r w:rsidR="00CF7522" w:rsidRPr="004D3EAF">
                    <w:rPr>
                      <w:rFonts w:cs="Arial"/>
                      <w:bCs/>
                      <w:szCs w:val="20"/>
                    </w:rPr>
                    <w:t>: Manufacture</w:t>
                  </w:r>
                  <w:r w:rsidR="00FC2948">
                    <w:rPr>
                      <w:rFonts w:cs="Arial"/>
                      <w:bCs/>
                      <w:szCs w:val="20"/>
                    </w:rPr>
                    <w:t>r</w:t>
                  </w:r>
                  <w:r w:rsidR="00CF7522" w:rsidRPr="004D3EAF">
                    <w:rPr>
                      <w:rFonts w:cs="Arial"/>
                      <w:bCs/>
                      <w:szCs w:val="20"/>
                    </w:rPr>
                    <w:t xml:space="preserve"> ex</w:t>
                  </w:r>
                  <w:r w:rsidRPr="004D3EAF">
                    <w:rPr>
                      <w:rFonts w:cs="Arial"/>
                      <w:bCs/>
                      <w:szCs w:val="20"/>
                    </w:rPr>
                    <w:t>piration date.</w:t>
                  </w:r>
                </w:p>
                <w:p w14:paraId="7284F34C" w14:textId="3104B470" w:rsidR="00FF423C" w:rsidRPr="00FF423C" w:rsidRDefault="00260A50" w:rsidP="00FF423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  <w:szCs w:val="20"/>
                    </w:rPr>
                  </w:pPr>
                  <w:r w:rsidRPr="004D3EAF">
                    <w:rPr>
                      <w:rFonts w:cs="Arial"/>
                      <w:b/>
                      <w:bCs/>
                      <w:szCs w:val="20"/>
                    </w:rPr>
                    <w:t>Opened</w:t>
                  </w:r>
                  <w:r w:rsidRPr="004D3EAF">
                    <w:rPr>
                      <w:rFonts w:cs="Arial"/>
                      <w:bCs/>
                      <w:szCs w:val="20"/>
                    </w:rPr>
                    <w:t xml:space="preserve">: </w:t>
                  </w:r>
                  <w:r w:rsidR="00FF423C" w:rsidRPr="00FF423C">
                    <w:rPr>
                      <w:rFonts w:cs="Arial"/>
                      <w:bCs/>
                      <w:szCs w:val="20"/>
                    </w:rPr>
                    <w:t>Store tightly capped</w:t>
                  </w:r>
                  <w:r w:rsidR="00FF423C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="00FF423C" w:rsidRPr="00FF423C">
                    <w:rPr>
                      <w:rFonts w:cs="Arial"/>
                      <w:bCs/>
                      <w:szCs w:val="20"/>
                    </w:rPr>
                    <w:t>with new replacement</w:t>
                  </w:r>
                  <w:r w:rsidR="00FF423C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="00FF423C" w:rsidRPr="00FF423C">
                    <w:rPr>
                      <w:rFonts w:cs="Arial"/>
                      <w:bCs/>
                      <w:szCs w:val="20"/>
                    </w:rPr>
                    <w:t>cap.</w:t>
                  </w:r>
                </w:p>
                <w:p w14:paraId="58A934D8" w14:textId="77777777" w:rsidR="00260A50" w:rsidRDefault="00FF423C" w:rsidP="00FF423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  <w:szCs w:val="20"/>
                    </w:rPr>
                  </w:pPr>
                  <w:r w:rsidRPr="00FF423C">
                    <w:rPr>
                      <w:rFonts w:cs="Arial"/>
                      <w:bCs/>
                      <w:szCs w:val="20"/>
                    </w:rPr>
                    <w:t>Return to refrigerated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bCs/>
                      <w:szCs w:val="20"/>
                    </w:rPr>
                    <w:t xml:space="preserve">storage </w:t>
                  </w:r>
                  <w:r w:rsidRPr="00FF423C">
                    <w:rPr>
                      <w:rFonts w:cs="Arial"/>
                      <w:bCs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bCs/>
                      <w:szCs w:val="20"/>
                    </w:rPr>
                    <w:t>-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bCs/>
                      <w:szCs w:val="20"/>
                    </w:rPr>
                    <w:t xml:space="preserve">8°C </w:t>
                  </w:r>
                  <w:r w:rsidRPr="00FF423C">
                    <w:rPr>
                      <w:rFonts w:cs="Arial"/>
                      <w:bCs/>
                      <w:szCs w:val="20"/>
                    </w:rPr>
                    <w:t>after use.</w:t>
                  </w:r>
                </w:p>
                <w:p w14:paraId="07E83256" w14:textId="3F45D142" w:rsidR="00FF423C" w:rsidRPr="00FF423C" w:rsidRDefault="00FF423C" w:rsidP="00FF423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FF423C">
                    <w:rPr>
                      <w:rFonts w:cs="Arial"/>
                      <w:szCs w:val="20"/>
                    </w:rPr>
                    <w:t>The analyzer will track In-use Stability, which is the time the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szCs w:val="20"/>
                    </w:rPr>
                    <w:t>calibrator is outside of refrigerated storage while on the analyzer.</w:t>
                  </w:r>
                </w:p>
                <w:p w14:paraId="5279BC7C" w14:textId="77777777" w:rsidR="00FF423C" w:rsidRDefault="00FF423C" w:rsidP="00FF423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FF423C">
                    <w:rPr>
                      <w:rFonts w:cs="Arial"/>
                      <w:szCs w:val="20"/>
                    </w:rPr>
                    <w:t>The analyzer will not allow the use of the calibrator if the In-use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szCs w:val="20"/>
                    </w:rPr>
                    <w:t>Stability has been exceeded. Maximum In-use Stability can be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szCs w:val="20"/>
                    </w:rPr>
                    <w:t xml:space="preserve">found in the Assay Parameter Report. </w:t>
                  </w:r>
                </w:p>
                <w:p w14:paraId="2EC1382C" w14:textId="2340C860" w:rsidR="00FF423C" w:rsidRPr="004D3EAF" w:rsidRDefault="00FF423C" w:rsidP="00FF423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FF423C">
                    <w:rPr>
                      <w:rFonts w:cs="Arial"/>
                      <w:szCs w:val="20"/>
                    </w:rPr>
                    <w:t>For additional information on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szCs w:val="20"/>
                    </w:rPr>
                    <w:t>calibrator In-use Stability, refer to the Alinity ci-series Operations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F423C">
                    <w:rPr>
                      <w:rFonts w:cs="Arial"/>
                      <w:szCs w:val="20"/>
                    </w:rPr>
                    <w:t>Manual, Section 5.</w:t>
                  </w:r>
                </w:p>
              </w:tc>
            </w:tr>
          </w:tbl>
          <w:p w14:paraId="57E0146E" w14:textId="77777777" w:rsidR="00B816B4" w:rsidRDefault="00B816B4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  <w:p w14:paraId="4A7CABB5" w14:textId="77777777" w:rsidR="00C60046" w:rsidRPr="00C60046" w:rsidRDefault="00C60046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20"/>
              </w:rPr>
            </w:pPr>
            <w:r w:rsidRPr="00C60046">
              <w:rPr>
                <w:rFonts w:cs="Arial"/>
                <w:b/>
                <w:szCs w:val="20"/>
              </w:rPr>
              <w:t>Reagent Handling:</w:t>
            </w:r>
          </w:p>
          <w:p w14:paraId="003E7F73" w14:textId="608AFECF" w:rsidR="00C60046" w:rsidRPr="00C60046" w:rsidRDefault="00C60046" w:rsidP="00C60046">
            <w:pPr>
              <w:pStyle w:val="Header"/>
              <w:rPr>
                <w:rFonts w:cs="Arial"/>
                <w:szCs w:val="20"/>
              </w:rPr>
            </w:pPr>
            <w:r w:rsidRPr="00C60046">
              <w:rPr>
                <w:rFonts w:cs="Arial"/>
                <w:szCs w:val="20"/>
              </w:rPr>
              <w:t>• Upon receipt, gently invert the unopened reagent kit by rotating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it over and back for a full 180 degrees, 5 times with green label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stripe facing up and then 5 times with green label stripe facing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down. This ensures that liquid covers all sides of the bottles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within the cartridges. During reagent shipment, microparticles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can settle on the reagent septum.</w:t>
            </w:r>
          </w:p>
          <w:p w14:paraId="25438613" w14:textId="6A7D79C4" w:rsidR="00C60046" w:rsidRDefault="00C60046" w:rsidP="00C60046">
            <w:pPr>
              <w:pStyle w:val="Header"/>
              <w:rPr>
                <w:rFonts w:cs="Arial"/>
                <w:b/>
                <w:szCs w:val="20"/>
              </w:rPr>
            </w:pPr>
            <w:r w:rsidRPr="00C60046">
              <w:rPr>
                <w:rFonts w:cs="Arial"/>
                <w:szCs w:val="20"/>
              </w:rPr>
              <w:t xml:space="preserve">–– </w:t>
            </w:r>
            <w:r w:rsidRPr="00C60046">
              <w:rPr>
                <w:rFonts w:cs="Arial"/>
                <w:b/>
                <w:szCs w:val="20"/>
              </w:rPr>
              <w:t>Place a check in the square on the reagent kit to indicate to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60046">
              <w:rPr>
                <w:rFonts w:cs="Arial"/>
                <w:b/>
                <w:szCs w:val="20"/>
              </w:rPr>
              <w:t>others that the inversions have been completed.</w:t>
            </w:r>
          </w:p>
          <w:p w14:paraId="48C41EB2" w14:textId="57472CB5" w:rsidR="00C60046" w:rsidRPr="00C60046" w:rsidRDefault="00C60046" w:rsidP="00C60046">
            <w:pPr>
              <w:pStyle w:val="Head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</w:t>
            </w:r>
            <w:r w:rsidRPr="00C60046">
              <w:rPr>
                <w:rFonts w:cs="Arial"/>
                <w:szCs w:val="20"/>
              </w:rPr>
              <w:t>ter mixing, place reagent cartridges in an upright position for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1 hour before use to allow bubbles that may have formed to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dissipate.</w:t>
            </w:r>
          </w:p>
          <w:p w14:paraId="7A48D77D" w14:textId="19F1B45D" w:rsidR="00C60046" w:rsidRPr="00C60046" w:rsidRDefault="00C60046" w:rsidP="00C60046">
            <w:pPr>
              <w:pStyle w:val="Header"/>
              <w:rPr>
                <w:rFonts w:cs="Arial"/>
                <w:szCs w:val="20"/>
              </w:rPr>
            </w:pPr>
            <w:r w:rsidRPr="00C60046">
              <w:rPr>
                <w:rFonts w:cs="Arial"/>
                <w:szCs w:val="20"/>
              </w:rPr>
              <w:t>• If a reagent cartridge is dropped, place in an upright position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for 1 hour before use to allow bubbles that may have formed to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dissipate.</w:t>
            </w:r>
          </w:p>
          <w:p w14:paraId="5F2DCD36" w14:textId="1BDC1BB5" w:rsidR="00C60046" w:rsidRPr="00C60046" w:rsidRDefault="00C60046" w:rsidP="00C60046">
            <w:pPr>
              <w:pStyle w:val="Header"/>
              <w:rPr>
                <w:rFonts w:cs="Arial"/>
                <w:szCs w:val="20"/>
              </w:rPr>
            </w:pPr>
            <w:r w:rsidRPr="00C60046">
              <w:rPr>
                <w:rFonts w:cs="Arial"/>
                <w:b/>
                <w:szCs w:val="20"/>
              </w:rPr>
              <w:t xml:space="preserve">• </w:t>
            </w:r>
            <w:r w:rsidRPr="00C60046">
              <w:rPr>
                <w:rFonts w:cs="Arial"/>
                <w:b/>
                <w:color w:val="FF0000"/>
                <w:szCs w:val="20"/>
              </w:rPr>
              <w:t>Prior to loading on the analyzer for the first time, gently invert</w:t>
            </w:r>
            <w:r w:rsidRPr="00C60046">
              <w:rPr>
                <w:rFonts w:cs="Arial"/>
                <w:b/>
                <w:color w:val="FF0000"/>
                <w:szCs w:val="20"/>
              </w:rPr>
              <w:t xml:space="preserve"> </w:t>
            </w:r>
            <w:r w:rsidRPr="00C60046">
              <w:rPr>
                <w:rFonts w:cs="Arial"/>
                <w:b/>
                <w:color w:val="FF0000"/>
                <w:szCs w:val="20"/>
              </w:rPr>
              <w:t>cartridges 30 times</w:t>
            </w:r>
            <w:r w:rsidRPr="00C60046">
              <w:rPr>
                <w:rFonts w:cs="Arial"/>
                <w:b/>
                <w:szCs w:val="20"/>
              </w:rPr>
              <w:t>.</w:t>
            </w:r>
          </w:p>
          <w:p w14:paraId="7C93B401" w14:textId="77777777" w:rsidR="00C60046" w:rsidRPr="00C60046" w:rsidRDefault="00C60046" w:rsidP="00C60046">
            <w:pPr>
              <w:pStyle w:val="Header"/>
              <w:rPr>
                <w:rFonts w:cs="Arial"/>
                <w:b/>
                <w:szCs w:val="20"/>
              </w:rPr>
            </w:pPr>
            <w:r w:rsidRPr="00C60046">
              <w:rPr>
                <w:rFonts w:cs="Arial"/>
                <w:b/>
                <w:szCs w:val="20"/>
              </w:rPr>
              <w:t>• Reagent cartridges cannot be inverted after the septum has</w:t>
            </w:r>
            <w:r w:rsidRPr="00C60046">
              <w:rPr>
                <w:rFonts w:cs="Arial"/>
                <w:b/>
                <w:szCs w:val="20"/>
              </w:rPr>
              <w:t xml:space="preserve"> </w:t>
            </w:r>
            <w:r w:rsidRPr="00C60046">
              <w:rPr>
                <w:rFonts w:cs="Arial"/>
                <w:b/>
                <w:szCs w:val="20"/>
              </w:rPr>
              <w:t>been pierced by the analyzer.</w:t>
            </w:r>
          </w:p>
          <w:p w14:paraId="2EC1383E" w14:textId="5F6A1E55" w:rsidR="00C60046" w:rsidRPr="004D3EAF" w:rsidRDefault="00C60046" w:rsidP="00C60046">
            <w:pPr>
              <w:pStyle w:val="Header"/>
              <w:rPr>
                <w:rFonts w:cs="Arial"/>
                <w:szCs w:val="20"/>
              </w:rPr>
            </w:pPr>
            <w:r w:rsidRPr="00C60046">
              <w:rPr>
                <w:rFonts w:cs="Arial"/>
                <w:szCs w:val="20"/>
              </w:rPr>
              <w:t>• Reagents are susceptible to the formation of foam and bubbles.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Bubbles may interfere with the detection of the reagent level in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the cartridge and cause insufficient reagent aspiration that may</w:t>
            </w:r>
            <w:r>
              <w:rPr>
                <w:rFonts w:cs="Arial"/>
                <w:szCs w:val="20"/>
              </w:rPr>
              <w:t xml:space="preserve"> </w:t>
            </w:r>
            <w:r w:rsidRPr="00C60046">
              <w:rPr>
                <w:rFonts w:cs="Arial"/>
                <w:szCs w:val="20"/>
              </w:rPr>
              <w:t>adversely affect results.</w:t>
            </w:r>
          </w:p>
        </w:tc>
      </w:tr>
      <w:tr w:rsidR="008C6EDC" w:rsidRPr="004D3EAF" w14:paraId="2EC13845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40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41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Risk and Safety: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42" w14:textId="77777777" w:rsidR="008C6EDC" w:rsidRPr="004D3EAF" w:rsidRDefault="008C6EDC">
            <w:pPr>
              <w:pStyle w:val="Pa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435B9" w14:textId="77777777" w:rsidR="00C60046" w:rsidRDefault="00A072CE" w:rsidP="00CF7522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D3EAF">
              <w:rPr>
                <w:rFonts w:eastAsia="HelenPro-Regular" w:cs="Arial"/>
                <w:szCs w:val="20"/>
              </w:rPr>
              <w:t xml:space="preserve">Contains sodium </w:t>
            </w:r>
            <w:r w:rsidR="00A20D6D" w:rsidRPr="004D3EAF">
              <w:rPr>
                <w:rFonts w:eastAsia="HelenPro-Regular" w:cs="Arial"/>
                <w:szCs w:val="20"/>
              </w:rPr>
              <w:t>azide</w:t>
            </w:r>
            <w:r w:rsidR="00C60046">
              <w:rPr>
                <w:rFonts w:eastAsia="HelenPro-Regular" w:cs="Arial"/>
                <w:szCs w:val="20"/>
              </w:rPr>
              <w:t xml:space="preserve"> at a concentration that does not require special disposal</w:t>
            </w:r>
            <w:r w:rsidR="00A20D6D" w:rsidRPr="004D3EAF">
              <w:rPr>
                <w:rFonts w:eastAsia="HelenPro-Regular" w:cs="Arial"/>
                <w:szCs w:val="20"/>
              </w:rPr>
              <w:t>.</w:t>
            </w:r>
            <w:r w:rsidR="00A20D6D" w:rsidRPr="004D3EAF">
              <w:rPr>
                <w:rFonts w:cs="Arial"/>
                <w:szCs w:val="20"/>
              </w:rPr>
              <w:t xml:space="preserve">  </w:t>
            </w:r>
          </w:p>
          <w:p w14:paraId="2E768705" w14:textId="77777777" w:rsidR="00C60046" w:rsidRDefault="00C60046" w:rsidP="00CF7522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2EC13843" w14:textId="12ADBE9F" w:rsidR="008C6EDC" w:rsidRDefault="00A20D6D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4D3EAF">
              <w:rPr>
                <w:rFonts w:cs="Arial"/>
                <w:szCs w:val="20"/>
              </w:rPr>
              <w:t>Avoid</w:t>
            </w:r>
            <w:r w:rsidR="008C6EDC" w:rsidRPr="004D3EAF">
              <w:rPr>
                <w:rFonts w:cs="Arial"/>
                <w:szCs w:val="20"/>
              </w:rPr>
              <w:t xml:space="preserve"> contact with skin</w:t>
            </w:r>
            <w:r w:rsidR="00A072CE" w:rsidRPr="004D3EAF">
              <w:rPr>
                <w:rFonts w:cs="Arial"/>
                <w:szCs w:val="20"/>
              </w:rPr>
              <w:t xml:space="preserve"> and eye.  Causes serious eye irritation. </w:t>
            </w:r>
            <w:r w:rsidR="008C6EDC" w:rsidRPr="004D3EAF">
              <w:rPr>
                <w:rFonts w:cs="Arial"/>
                <w:szCs w:val="20"/>
              </w:rPr>
              <w:t>Wear gloves.</w:t>
            </w:r>
            <w:r w:rsidR="00A072CE" w:rsidRPr="004D3EAF">
              <w:rPr>
                <w:rFonts w:cs="Arial"/>
                <w:szCs w:val="20"/>
              </w:rPr>
              <w:t xml:space="preserve"> </w:t>
            </w:r>
            <w:r w:rsidR="00A072CE" w:rsidRPr="004D3EAF">
              <w:rPr>
                <w:rFonts w:eastAsia="HelenPro-Regular" w:cs="Arial"/>
                <w:szCs w:val="20"/>
              </w:rPr>
              <w:t>Contact with acids liberates very toxic gas.</w:t>
            </w:r>
            <w:r w:rsidR="00CF7522" w:rsidRPr="004D3EAF">
              <w:rPr>
                <w:rFonts w:eastAsia="HelenPro-Regular" w:cs="Arial"/>
                <w:szCs w:val="20"/>
              </w:rPr>
              <w:t xml:space="preserve">  </w:t>
            </w:r>
          </w:p>
          <w:p w14:paraId="14269992" w14:textId="77777777" w:rsidR="00C60046" w:rsidRDefault="00C60046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27DE25D8" w14:textId="7423D13D" w:rsidR="00C60046" w:rsidRPr="00C60046" w:rsidRDefault="00C60046" w:rsidP="00C60046">
            <w:r>
              <w:rPr>
                <w:szCs w:val="20"/>
              </w:rPr>
              <w:t xml:space="preserve">Safety data sheets (MSDS/SDS) available on </w:t>
            </w:r>
            <w:hyperlink r:id="rId13" w:history="1">
              <w:r w:rsidRPr="00D302B9">
                <w:rPr>
                  <w:rStyle w:val="Hyperlink"/>
                  <w:szCs w:val="20"/>
                </w:rPr>
                <w:t>Children’s Intranet</w:t>
              </w:r>
            </w:hyperlink>
          </w:p>
          <w:p w14:paraId="2EC13844" w14:textId="77777777" w:rsidR="00CF7522" w:rsidRPr="004D3EAF" w:rsidRDefault="00CF7522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B816B4" w:rsidRPr="004D3EAF" w14:paraId="2EC13863" w14:textId="77777777" w:rsidTr="00A20D6D">
        <w:trPr>
          <w:trHeight w:val="464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46" w14:textId="77777777" w:rsidR="00B816B4" w:rsidRPr="004D3EAF" w:rsidRDefault="00B816B4" w:rsidP="008C6EDC">
            <w:pPr>
              <w:pStyle w:val="BodyTextIndent"/>
              <w:rPr>
                <w:szCs w:val="20"/>
              </w:rPr>
            </w:pPr>
          </w:p>
          <w:p w14:paraId="2EC13847" w14:textId="77777777" w:rsidR="00B816B4" w:rsidRPr="004D3EAF" w:rsidRDefault="00B816B4" w:rsidP="008C6EDC">
            <w:pPr>
              <w:pStyle w:val="BodyTextIndent"/>
              <w:rPr>
                <w:szCs w:val="20"/>
              </w:rPr>
            </w:pPr>
            <w:r w:rsidRPr="004D3EAF">
              <w:rPr>
                <w:szCs w:val="20"/>
              </w:rPr>
              <w:t>Calibration/ Verification/AMR</w:t>
            </w:r>
          </w:p>
          <w:p w14:paraId="2EC13848" w14:textId="77777777" w:rsidR="00B816B4" w:rsidRPr="004D3EAF" w:rsidRDefault="00B816B4" w:rsidP="008C6EDC">
            <w:pPr>
              <w:pStyle w:val="BodyTextIndent"/>
              <w:rPr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49" w14:textId="77777777" w:rsidR="00B816B4" w:rsidRPr="004D3EAF" w:rsidRDefault="00B816B4" w:rsidP="008C6EDC">
            <w:pPr>
              <w:rPr>
                <w:rFonts w:cs="Arial"/>
                <w:szCs w:val="20"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5760"/>
              <w:gridCol w:w="509"/>
            </w:tblGrid>
            <w:tr w:rsidR="00B816B4" w:rsidRPr="004D3EAF" w14:paraId="2EC1384C" w14:textId="77777777" w:rsidTr="00814EAD">
              <w:trPr>
                <w:gridAfter w:val="1"/>
                <w:wAfter w:w="509" w:type="dxa"/>
                <w:trHeight w:val="377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1384A" w14:textId="77777777" w:rsidR="00B816B4" w:rsidRPr="004D3EAF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4D3EAF">
                    <w:rPr>
                      <w:rFonts w:ascii="Arial" w:hAnsi="Arial" w:cs="Arial"/>
                    </w:rPr>
                    <w:t>Analytical Measuring Range: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1384B" w14:textId="77777777" w:rsidR="00B816B4" w:rsidRPr="004D3EAF" w:rsidRDefault="00A20D6D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0-999999.0</w:t>
                  </w:r>
                  <w:r w:rsidR="00B32730" w:rsidRPr="004D3EAF">
                    <w:rPr>
                      <w:rFonts w:ascii="Arial" w:hAnsi="Arial" w:cs="Arial"/>
                    </w:rPr>
                    <w:t xml:space="preserve"> S/CO</w:t>
                  </w:r>
                </w:p>
              </w:tc>
            </w:tr>
            <w:tr w:rsidR="00B816B4" w:rsidRPr="004D3EAF" w14:paraId="2EC1384F" w14:textId="77777777" w:rsidTr="00814EAD">
              <w:trPr>
                <w:gridAfter w:val="1"/>
                <w:wAfter w:w="509" w:type="dxa"/>
                <w:trHeight w:val="494"/>
              </w:trPr>
              <w:tc>
                <w:tcPr>
                  <w:tcW w:w="2947" w:type="dxa"/>
                  <w:tcBorders>
                    <w:top w:val="single" w:sz="4" w:space="0" w:color="auto"/>
                  </w:tcBorders>
                </w:tcPr>
                <w:p w14:paraId="2EC1384D" w14:textId="77777777" w:rsidR="00B816B4" w:rsidRPr="004D3EAF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4D3EAF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</w:tcBorders>
                  <w:vAlign w:val="center"/>
                </w:tcPr>
                <w:p w14:paraId="2EC1384E" w14:textId="436A5BC5" w:rsidR="00B816B4" w:rsidRPr="00A20D6D" w:rsidRDefault="00C60046" w:rsidP="00C60046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Abbott Alinity i Anti-HCV Calibrator</w:t>
                  </w:r>
                </w:p>
              </w:tc>
            </w:tr>
            <w:tr w:rsidR="00B816B4" w:rsidRPr="004D3EAF" w14:paraId="2EC13852" w14:textId="77777777" w:rsidTr="00814EAD">
              <w:trPr>
                <w:gridAfter w:val="1"/>
                <w:wAfter w:w="509" w:type="dxa"/>
                <w:trHeight w:val="521"/>
              </w:trPr>
              <w:tc>
                <w:tcPr>
                  <w:tcW w:w="2947" w:type="dxa"/>
                </w:tcPr>
                <w:p w14:paraId="2EC13850" w14:textId="77777777" w:rsidR="00B816B4" w:rsidRPr="004D3EAF" w:rsidRDefault="00B816B4" w:rsidP="00814EAD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4D3EAF">
                    <w:rPr>
                      <w:rFonts w:ascii="Arial" w:hAnsi="Arial" w:cs="Arial"/>
                    </w:rPr>
                    <w:t>Suggested Calibration Levels</w:t>
                  </w:r>
                </w:p>
              </w:tc>
              <w:tc>
                <w:tcPr>
                  <w:tcW w:w="5760" w:type="dxa"/>
                  <w:vAlign w:val="center"/>
                </w:tcPr>
                <w:p w14:paraId="2EC13851" w14:textId="77777777" w:rsidR="00260A50" w:rsidRPr="004D3EAF" w:rsidRDefault="00A20D6D" w:rsidP="0059338F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See Calibrator Package insert</w:t>
                  </w:r>
                  <w:r w:rsidR="00F62661" w:rsidRPr="004D3EAF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B816B4" w:rsidRPr="004D3EAF" w14:paraId="2EC13855" w14:textId="77777777" w:rsidTr="00814EAD">
              <w:trPr>
                <w:gridAfter w:val="1"/>
                <w:wAfter w:w="509" w:type="dxa"/>
                <w:trHeight w:val="440"/>
              </w:trPr>
              <w:tc>
                <w:tcPr>
                  <w:tcW w:w="2947" w:type="dxa"/>
                </w:tcPr>
                <w:p w14:paraId="2EC13853" w14:textId="77777777" w:rsidR="00B816B4" w:rsidRPr="004D3EAF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Verification Scheme:</w:t>
                  </w:r>
                </w:p>
              </w:tc>
              <w:tc>
                <w:tcPr>
                  <w:tcW w:w="5760" w:type="dxa"/>
                  <w:vAlign w:val="center"/>
                </w:tcPr>
                <w:p w14:paraId="2EC13854" w14:textId="1E5965CA" w:rsidR="00B816B4" w:rsidRPr="004D3EAF" w:rsidRDefault="00C60046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n=1</w:t>
                  </w:r>
                </w:p>
              </w:tc>
            </w:tr>
            <w:tr w:rsidR="00B816B4" w:rsidRPr="004D3EAF" w14:paraId="2EC1385A" w14:textId="77777777" w:rsidTr="003571BD">
              <w:trPr>
                <w:gridAfter w:val="1"/>
                <w:wAfter w:w="509" w:type="dxa"/>
                <w:trHeight w:val="1169"/>
              </w:trPr>
              <w:tc>
                <w:tcPr>
                  <w:tcW w:w="2947" w:type="dxa"/>
                </w:tcPr>
                <w:p w14:paraId="2EC13856" w14:textId="77777777" w:rsidR="00B816B4" w:rsidRPr="004D3EAF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Verification Frequency:</w:t>
                  </w:r>
                </w:p>
              </w:tc>
              <w:tc>
                <w:tcPr>
                  <w:tcW w:w="5760" w:type="dxa"/>
                  <w:vAlign w:val="center"/>
                </w:tcPr>
                <w:p w14:paraId="2EC13857" w14:textId="77777777" w:rsidR="00B816B4" w:rsidRPr="004D3EAF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E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For each new lot of reagent </w:t>
                  </w:r>
                </w:p>
                <w:p w14:paraId="2EC13858" w14:textId="1DAEC321" w:rsidR="00B816B4" w:rsidRPr="004D3EAF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E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After major maintenance or service, if indicated by quality control results</w:t>
                  </w:r>
                  <w:r w:rsidR="004045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technical support, or a field service engineer</w:t>
                  </w:r>
                </w:p>
                <w:p w14:paraId="2EC13859" w14:textId="77777777" w:rsidR="00B816B4" w:rsidRPr="004D3EAF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3E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indicated in laboratory quality control procedures</w:t>
                  </w:r>
                </w:p>
              </w:tc>
            </w:tr>
            <w:tr w:rsidR="00B816B4" w:rsidRPr="004D3EAF" w14:paraId="2EC1385F" w14:textId="77777777" w:rsidTr="003571BD">
              <w:trPr>
                <w:gridAfter w:val="1"/>
                <w:wAfter w:w="509" w:type="dxa"/>
                <w:trHeight w:val="989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2EC1385B" w14:textId="2BB738D6" w:rsidR="00B816B4" w:rsidRPr="004D3EAF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4D3EAF">
                    <w:rPr>
                      <w:rFonts w:ascii="Arial" w:hAnsi="Arial" w:cs="Arial"/>
                    </w:rPr>
                    <w:t>AMR</w:t>
                  </w:r>
                  <w:r w:rsidR="00C60046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vAlign w:val="center"/>
                </w:tcPr>
                <w:p w14:paraId="2EC1385E" w14:textId="71BAF0DD" w:rsidR="00B816B4" w:rsidRPr="004D3EAF" w:rsidRDefault="00C60046" w:rsidP="00C60046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Verification of AMR is not required for qualitative tests.</w:t>
                  </w:r>
                </w:p>
              </w:tc>
            </w:tr>
            <w:tr w:rsidR="00B816B4" w:rsidRPr="004D3EAF" w14:paraId="2EC13861" w14:textId="77777777" w:rsidTr="00B816B4">
              <w:tc>
                <w:tcPr>
                  <w:tcW w:w="921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2EC13860" w14:textId="77777777" w:rsidR="00B816B4" w:rsidRPr="004D3EAF" w:rsidRDefault="00B816B4" w:rsidP="008C6EDC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EC13862" w14:textId="77777777" w:rsidR="00B816B4" w:rsidRPr="004D3EAF" w:rsidRDefault="00B816B4" w:rsidP="008C6E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6B4" w:rsidRPr="004D3EAF" w14:paraId="2EC13874" w14:textId="77777777" w:rsidTr="007421C2">
        <w:trPr>
          <w:cantSplit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64" w14:textId="77777777" w:rsidR="00B816B4" w:rsidRPr="004D3EAF" w:rsidRDefault="00B816B4" w:rsidP="008C6EDC">
            <w:pPr>
              <w:ind w:right="-108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65" w14:textId="77777777" w:rsidR="00B816B4" w:rsidRPr="004D3EAF" w:rsidRDefault="00B816B4" w:rsidP="008C6EDC">
            <w:pPr>
              <w:ind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Quality Control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66" w14:textId="722116EF" w:rsidR="001B0FCF" w:rsidRPr="007421C2" w:rsidRDefault="00A20D6D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421C2">
              <w:rPr>
                <w:rFonts w:cs="Arial"/>
                <w:b/>
                <w:bCs/>
                <w:szCs w:val="20"/>
              </w:rPr>
              <w:t>Bio-Rad</w:t>
            </w:r>
            <w:r w:rsidR="007421C2">
              <w:rPr>
                <w:rFonts w:cs="Arial"/>
                <w:b/>
                <w:bCs/>
                <w:szCs w:val="20"/>
              </w:rPr>
              <w:t xml:space="preserve"> Viroclear</w:t>
            </w:r>
            <w:r w:rsidR="001B0FCF" w:rsidRPr="007421C2">
              <w:rPr>
                <w:rFonts w:cs="Arial"/>
                <w:b/>
                <w:bCs/>
                <w:szCs w:val="20"/>
              </w:rPr>
              <w:t xml:space="preserve"> and </w:t>
            </w:r>
            <w:r w:rsidRPr="007421C2">
              <w:rPr>
                <w:rFonts w:cs="Arial"/>
                <w:b/>
                <w:bCs/>
                <w:szCs w:val="20"/>
              </w:rPr>
              <w:t>Bio-Rad</w:t>
            </w:r>
            <w:r w:rsidR="007421C2" w:rsidRPr="007421C2">
              <w:rPr>
                <w:rFonts w:cs="Arial"/>
                <w:b/>
                <w:bCs/>
                <w:szCs w:val="20"/>
              </w:rPr>
              <w:t xml:space="preserve"> Virotrol 1</w:t>
            </w:r>
            <w:r w:rsidR="007421C2">
              <w:rPr>
                <w:rFonts w:cs="Arial"/>
                <w:b/>
                <w:bCs/>
                <w:szCs w:val="20"/>
              </w:rPr>
              <w:t xml:space="preserve"> Controls</w:t>
            </w:r>
          </w:p>
          <w:p w14:paraId="2EC13867" w14:textId="77777777" w:rsidR="001B0FCF" w:rsidRPr="004D3EAF" w:rsidRDefault="001B0FCF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2EC13868" w14:textId="77777777" w:rsidR="00B816B4" w:rsidRPr="004D3EAF" w:rsidRDefault="00B816B4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b/>
                <w:bCs/>
                <w:szCs w:val="20"/>
              </w:rPr>
              <w:t xml:space="preserve">Frequency: </w:t>
            </w:r>
            <w:r w:rsidR="001B0FCF" w:rsidRPr="004D3EAF">
              <w:rPr>
                <w:rFonts w:cs="Arial"/>
                <w:szCs w:val="20"/>
              </w:rPr>
              <w:t>Run</w:t>
            </w:r>
            <w:r w:rsidR="003571BD" w:rsidRPr="004D3EAF">
              <w:rPr>
                <w:rFonts w:cs="Arial"/>
                <w:szCs w:val="20"/>
              </w:rPr>
              <w:t xml:space="preserve"> </w:t>
            </w:r>
            <w:r w:rsidR="001B0FCF" w:rsidRPr="004D3EAF">
              <w:rPr>
                <w:rFonts w:cs="Arial"/>
                <w:szCs w:val="20"/>
              </w:rPr>
              <w:t xml:space="preserve">both controls </w:t>
            </w:r>
            <w:r w:rsidR="003571BD" w:rsidRPr="004D3EAF">
              <w:rPr>
                <w:rFonts w:cs="Arial"/>
                <w:szCs w:val="20"/>
              </w:rPr>
              <w:t>each day of use.</w:t>
            </w:r>
          </w:p>
          <w:p w14:paraId="2EC13869" w14:textId="77777777" w:rsidR="001B0FCF" w:rsidRPr="004D3EAF" w:rsidRDefault="001B0FCF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2EC1386A" w14:textId="77777777" w:rsidR="00B816B4" w:rsidRPr="004D3EAF" w:rsidRDefault="00B816B4" w:rsidP="008C6EDC">
            <w:pPr>
              <w:autoSpaceDE w:val="0"/>
              <w:autoSpaceDN w:val="0"/>
              <w:adjustRightInd w:val="0"/>
              <w:jc w:val="both"/>
              <w:rPr>
                <w:rStyle w:val="tgc"/>
                <w:rFonts w:cs="Arial"/>
                <w:color w:val="222222"/>
                <w:szCs w:val="20"/>
              </w:rPr>
            </w:pPr>
            <w:r w:rsidRPr="004D3EAF">
              <w:rPr>
                <w:rFonts w:cs="Arial"/>
                <w:b/>
                <w:bCs/>
                <w:szCs w:val="20"/>
              </w:rPr>
              <w:t>Stability</w:t>
            </w:r>
            <w:r w:rsidR="00A82A92" w:rsidRPr="004D3EAF">
              <w:rPr>
                <w:rFonts w:cs="Arial"/>
                <w:b/>
                <w:bCs/>
                <w:szCs w:val="20"/>
              </w:rPr>
              <w:t xml:space="preserve">: </w:t>
            </w:r>
            <w:r w:rsidR="001B0FCF" w:rsidRPr="004D3EAF">
              <w:rPr>
                <w:rFonts w:cs="Arial"/>
                <w:bCs/>
                <w:szCs w:val="20"/>
              </w:rPr>
              <w:t>6</w:t>
            </w:r>
            <w:r w:rsidR="00A82A92" w:rsidRPr="004D3EAF">
              <w:rPr>
                <w:rFonts w:cs="Arial"/>
                <w:bCs/>
                <w:szCs w:val="20"/>
              </w:rPr>
              <w:t>0 Day</w:t>
            </w:r>
            <w:r w:rsidR="001B0FCF" w:rsidRPr="004D3EAF">
              <w:rPr>
                <w:rFonts w:cs="Arial"/>
                <w:bCs/>
                <w:szCs w:val="20"/>
              </w:rPr>
              <w:t>s</w:t>
            </w:r>
            <w:r w:rsidR="00A82A92" w:rsidRPr="004D3EAF">
              <w:rPr>
                <w:rFonts w:cs="Arial"/>
                <w:bCs/>
                <w:szCs w:val="20"/>
              </w:rPr>
              <w:t xml:space="preserve"> at</w:t>
            </w:r>
            <w:r w:rsidR="001B0FCF" w:rsidRPr="004D3EAF">
              <w:rPr>
                <w:rFonts w:cs="Arial"/>
                <w:bCs/>
                <w:szCs w:val="20"/>
              </w:rPr>
              <w:t xml:space="preserve"> 2-8</w:t>
            </w:r>
            <w:r w:rsidR="00A82A92" w:rsidRPr="004D3EAF">
              <w:rPr>
                <w:rStyle w:val="tgc"/>
                <w:rFonts w:cs="Arial"/>
                <w:color w:val="222222"/>
                <w:szCs w:val="20"/>
              </w:rPr>
              <w:t>°C.</w:t>
            </w:r>
          </w:p>
          <w:p w14:paraId="2EC1386D" w14:textId="77777777" w:rsidR="00B816B4" w:rsidRPr="004D3EAF" w:rsidRDefault="00B816B4" w:rsidP="008C6EDC">
            <w:pPr>
              <w:jc w:val="both"/>
              <w:rPr>
                <w:rFonts w:cs="Arial"/>
                <w:b/>
                <w:bCs/>
                <w:szCs w:val="20"/>
              </w:rPr>
            </w:pPr>
          </w:p>
          <w:p w14:paraId="2EC1386E" w14:textId="77777777" w:rsidR="00B816B4" w:rsidRPr="004D3EAF" w:rsidRDefault="00B816B4" w:rsidP="008C6EDC">
            <w:p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b/>
                <w:bCs/>
                <w:szCs w:val="20"/>
              </w:rPr>
              <w:t>Acceptable ranges:</w:t>
            </w:r>
            <w:r w:rsidRPr="004D3EAF">
              <w:rPr>
                <w:rFonts w:cs="Arial"/>
                <w:szCs w:val="20"/>
              </w:rPr>
              <w:t xml:space="preserve"> </w:t>
            </w:r>
          </w:p>
          <w:p w14:paraId="658F7BA8" w14:textId="77777777" w:rsidR="007421C2" w:rsidRDefault="007421C2" w:rsidP="007421C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Refer to the Westgard Rules in Chemistry procedure for current Westgard rules in place for each analyte.  </w:t>
            </w:r>
          </w:p>
          <w:p w14:paraId="4C87CD2C" w14:textId="77777777" w:rsidR="007421C2" w:rsidRDefault="007421C2" w:rsidP="00742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Acceptable ranges are current in Unity Real Time only.</w:t>
            </w:r>
            <w:r>
              <w:rPr>
                <w:rFonts w:cs="Arial"/>
                <w:szCs w:val="20"/>
              </w:rPr>
              <w:t xml:space="preserve">  Quality Control results must be rejected in Sunquest when the results cross the interface.  </w:t>
            </w:r>
          </w:p>
          <w:p w14:paraId="10D6F577" w14:textId="77777777" w:rsidR="007421C2" w:rsidRDefault="007421C2" w:rsidP="00742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In the event of a QC failure, refer to the </w:t>
            </w:r>
            <w:hyperlink r:id="rId14" w:history="1">
              <w:r>
                <w:rPr>
                  <w:rStyle w:val="Hyperlink"/>
                  <w:rFonts w:cs="Arial"/>
                  <w:szCs w:val="20"/>
                </w:rPr>
                <w:t>Unity Real Time QC Review, General User</w:t>
              </w:r>
            </w:hyperlink>
            <w:r>
              <w:rPr>
                <w:rFonts w:cs="Arial"/>
                <w:szCs w:val="20"/>
              </w:rPr>
              <w:t xml:space="preserve"> and navigate to the QC Troubleshooting section.</w:t>
            </w:r>
          </w:p>
          <w:p w14:paraId="376C7004" w14:textId="77777777" w:rsidR="007421C2" w:rsidRPr="007421C2" w:rsidRDefault="007421C2" w:rsidP="00742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Do not load or release patients until QC is acceptable in Unity Real Time. </w:t>
            </w:r>
          </w:p>
          <w:p w14:paraId="21939FF6" w14:textId="007EAB5D" w:rsidR="007421C2" w:rsidRDefault="00C60046" w:rsidP="00742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Because</w:t>
            </w:r>
            <w:r w:rsidR="007421C2">
              <w:rPr>
                <w:rFonts w:cs="Arial"/>
                <w:szCs w:val="20"/>
              </w:rPr>
              <w:t xml:space="preserve"> Anti-HCV is a qualitative test, when the results of Viroclear (negative) and Virotrol 1 (positive) recover appropriate positive and negative values, new lots of controls are considered acceptable for use.  </w:t>
            </w:r>
          </w:p>
          <w:p w14:paraId="2EC13873" w14:textId="4D701C83" w:rsidR="00B816B4" w:rsidRPr="004D3EAF" w:rsidRDefault="00B816B4" w:rsidP="007421C2">
            <w:pPr>
              <w:ind w:left="360"/>
              <w:jc w:val="both"/>
              <w:rPr>
                <w:rFonts w:cs="Arial"/>
                <w:szCs w:val="20"/>
              </w:rPr>
            </w:pPr>
          </w:p>
        </w:tc>
      </w:tr>
      <w:tr w:rsidR="008C6EDC" w:rsidRPr="004D3EAF" w14:paraId="2EC13879" w14:textId="77777777" w:rsidTr="000219E3">
        <w:trPr>
          <w:trHeight w:val="85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75" w14:textId="77777777" w:rsidR="008C6EDC" w:rsidRPr="004D3EAF" w:rsidRDefault="008C6EDC" w:rsidP="008C6EDC">
            <w:pPr>
              <w:jc w:val="both"/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Reference Range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76" w14:textId="2B0ED90F" w:rsidR="001F2FF6" w:rsidRPr="004D3EAF" w:rsidRDefault="005D737D" w:rsidP="00D77746">
            <w:p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0.00-0.79 S/CO Nonreactive</w:t>
            </w:r>
            <w:r w:rsidR="0040455F">
              <w:rPr>
                <w:rFonts w:cs="Arial"/>
                <w:szCs w:val="20"/>
              </w:rPr>
              <w:t xml:space="preserve"> (No retest required)</w:t>
            </w:r>
          </w:p>
          <w:p w14:paraId="2EC13877" w14:textId="73A9E1B3" w:rsidR="005D737D" w:rsidRPr="004D3EAF" w:rsidRDefault="00FC2948" w:rsidP="00D7774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0.80-0.99 S/CO Equivo</w:t>
            </w:r>
            <w:r w:rsidR="005D737D" w:rsidRPr="004D3EAF">
              <w:rPr>
                <w:rFonts w:cs="Arial"/>
                <w:szCs w:val="20"/>
              </w:rPr>
              <w:t>cal</w:t>
            </w:r>
            <w:r w:rsidR="0040455F">
              <w:rPr>
                <w:rFonts w:cs="Arial"/>
                <w:szCs w:val="20"/>
              </w:rPr>
              <w:t xml:space="preserve">     (Retest in duplicate)</w:t>
            </w:r>
          </w:p>
          <w:p w14:paraId="2EC13878" w14:textId="71A9D60A" w:rsidR="005D737D" w:rsidRPr="004D3EAF" w:rsidRDefault="005D737D" w:rsidP="0040455F">
            <w:p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 xml:space="preserve">&gt;1.00 S/CO </w:t>
            </w:r>
            <w:r w:rsidRPr="004D3EAF">
              <w:rPr>
                <w:rFonts w:cs="Arial"/>
                <w:szCs w:val="20"/>
              </w:rPr>
              <w:tab/>
              <w:t xml:space="preserve">Reactive </w:t>
            </w:r>
            <w:r w:rsidR="0040455F">
              <w:rPr>
                <w:rFonts w:cs="Arial"/>
                <w:szCs w:val="20"/>
              </w:rPr>
              <w:t xml:space="preserve">      (No retest required)  </w:t>
            </w:r>
          </w:p>
        </w:tc>
      </w:tr>
      <w:tr w:rsidR="008C6EDC" w:rsidRPr="004D3EAF" w14:paraId="2EC1387C" w14:textId="77777777" w:rsidTr="00D120DB">
        <w:trPr>
          <w:trHeight w:val="70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7A" w14:textId="77777777" w:rsidR="008C6EDC" w:rsidRPr="004D3EAF" w:rsidRDefault="008C6ED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Critical Values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7B" w14:textId="77777777" w:rsidR="008C6EDC" w:rsidRPr="004D3EAF" w:rsidRDefault="008C6EDC" w:rsidP="008C6EDC">
            <w:pPr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None specified</w:t>
            </w:r>
          </w:p>
        </w:tc>
      </w:tr>
      <w:tr w:rsidR="008C6EDC" w:rsidRPr="004D3EAF" w14:paraId="2EC1388A" w14:textId="77777777" w:rsidTr="00D120DB">
        <w:trPr>
          <w:trHeight w:val="593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7D" w14:textId="77777777" w:rsidR="008C6EDC" w:rsidRPr="004D3EAF" w:rsidRDefault="008C6ED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lastRenderedPageBreak/>
              <w:t>Limitations</w:t>
            </w:r>
          </w:p>
          <w:p w14:paraId="2EC1387E" w14:textId="77777777" w:rsidR="008C6EDC" w:rsidRPr="004D3EAF" w:rsidRDefault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80" w14:textId="77777777" w:rsidR="00781856" w:rsidRPr="004D3EAF" w:rsidRDefault="00781856" w:rsidP="00781856">
            <w:pPr>
              <w:rPr>
                <w:rFonts w:cs="Arial"/>
                <w:szCs w:val="20"/>
              </w:rPr>
            </w:pPr>
          </w:p>
          <w:p w14:paraId="2EC13884" w14:textId="77777777" w:rsidR="00781856" w:rsidRDefault="00781856" w:rsidP="00A20D6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If ant</w:t>
            </w:r>
            <w:r w:rsidR="00F92C69" w:rsidRPr="004D3EAF">
              <w:rPr>
                <w:rFonts w:cs="Arial"/>
                <w:szCs w:val="20"/>
              </w:rPr>
              <w:t>ibodies to HCV are not detected this</w:t>
            </w:r>
            <w:r w:rsidRPr="004D3EAF">
              <w:rPr>
                <w:rFonts w:cs="Arial"/>
                <w:szCs w:val="20"/>
              </w:rPr>
              <w:t xml:space="preserve"> does not </w:t>
            </w:r>
            <w:r w:rsidR="00A20D6D" w:rsidRPr="004D3EAF">
              <w:rPr>
                <w:rFonts w:cs="Arial"/>
                <w:szCs w:val="20"/>
              </w:rPr>
              <w:t>exclude</w:t>
            </w:r>
            <w:r w:rsidRPr="004D3EAF">
              <w:rPr>
                <w:rFonts w:cs="Arial"/>
                <w:szCs w:val="20"/>
              </w:rPr>
              <w:t xml:space="preserve"> the possibility of exposure to HCV</w:t>
            </w:r>
            <w:r w:rsidR="00A20D6D">
              <w:rPr>
                <w:rFonts w:cs="Arial"/>
                <w:szCs w:val="20"/>
              </w:rPr>
              <w:t>.</w:t>
            </w:r>
          </w:p>
          <w:p w14:paraId="1F9FFEA9" w14:textId="77777777" w:rsidR="009F6A31" w:rsidRPr="004D3EAF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2EC13885" w14:textId="77777777" w:rsidR="00781856" w:rsidRDefault="00F92C69" w:rsidP="00A20D6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 xml:space="preserve">A reactive Anti-HCV does not exclude co-infection by another </w:t>
            </w:r>
            <w:r w:rsidR="00A20D6D" w:rsidRPr="004D3EAF">
              <w:rPr>
                <w:rFonts w:cs="Arial"/>
                <w:szCs w:val="20"/>
              </w:rPr>
              <w:t>hepatitis</w:t>
            </w:r>
            <w:r w:rsidRPr="004D3EAF">
              <w:rPr>
                <w:rFonts w:cs="Arial"/>
                <w:szCs w:val="20"/>
              </w:rPr>
              <w:t xml:space="preserve"> virus</w:t>
            </w:r>
            <w:r w:rsidR="00A20D6D">
              <w:rPr>
                <w:rFonts w:cs="Arial"/>
                <w:szCs w:val="20"/>
              </w:rPr>
              <w:t>.</w:t>
            </w:r>
          </w:p>
          <w:p w14:paraId="7EB27784" w14:textId="77777777" w:rsidR="009F6A31" w:rsidRPr="004D3EAF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17259DB7" w14:textId="5DFA9BEC" w:rsidR="009F6A31" w:rsidRPr="009F6A31" w:rsidRDefault="00F92C69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 xml:space="preserve">Antibody levels below the detection of this assay or antibodies not reacting to the recombinant </w:t>
            </w:r>
            <w:r w:rsidR="00A20D6D" w:rsidRPr="004D3EAF">
              <w:rPr>
                <w:rFonts w:cs="Arial"/>
                <w:szCs w:val="20"/>
              </w:rPr>
              <w:t>antigens</w:t>
            </w:r>
            <w:r w:rsidRPr="004D3EAF">
              <w:rPr>
                <w:rFonts w:cs="Arial"/>
                <w:szCs w:val="20"/>
              </w:rPr>
              <w:t xml:space="preserve"> used in this </w:t>
            </w:r>
            <w:r w:rsidR="00A20D6D">
              <w:rPr>
                <w:rFonts w:cs="Arial"/>
                <w:szCs w:val="20"/>
              </w:rPr>
              <w:t>ass</w:t>
            </w:r>
            <w:r w:rsidR="00A20D6D" w:rsidRPr="004D3EAF">
              <w:rPr>
                <w:rFonts w:cs="Arial"/>
                <w:szCs w:val="20"/>
              </w:rPr>
              <w:t>ay</w:t>
            </w:r>
            <w:r w:rsidRPr="004D3EAF">
              <w:rPr>
                <w:rFonts w:cs="Arial"/>
                <w:szCs w:val="20"/>
              </w:rPr>
              <w:t xml:space="preserve"> </w:t>
            </w:r>
            <w:proofErr w:type="gramStart"/>
            <w:r w:rsidRPr="004D3EAF">
              <w:rPr>
                <w:rFonts w:cs="Arial"/>
                <w:szCs w:val="20"/>
              </w:rPr>
              <w:t>will  yield</w:t>
            </w:r>
            <w:proofErr w:type="gramEnd"/>
            <w:r w:rsidRPr="004D3EAF">
              <w:rPr>
                <w:rFonts w:cs="Arial"/>
                <w:szCs w:val="20"/>
              </w:rPr>
              <w:t xml:space="preserve"> nonreactive results</w:t>
            </w:r>
            <w:r w:rsidR="00A20D6D">
              <w:rPr>
                <w:rFonts w:cs="Arial"/>
                <w:szCs w:val="20"/>
              </w:rPr>
              <w:t>.</w:t>
            </w:r>
          </w:p>
          <w:p w14:paraId="57F96F09" w14:textId="77777777" w:rsidR="009F6A31" w:rsidRPr="004D3EAF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2EC13887" w14:textId="77777777" w:rsidR="00F92C69" w:rsidRDefault="00F92C69" w:rsidP="00A20D6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Immunocompromised patients who have HCV may produce levels of antibodies below the sensitivity of this assay and may not be detected as reactive.</w:t>
            </w:r>
          </w:p>
          <w:p w14:paraId="192774BC" w14:textId="77777777" w:rsid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15DA1774" w14:textId="77777777" w:rsidR="00A20D6D" w:rsidRDefault="00A20D6D" w:rsidP="00A20D6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 common </w:t>
            </w:r>
            <w:proofErr w:type="spellStart"/>
            <w:r>
              <w:rPr>
                <w:rFonts w:cs="Arial"/>
                <w:szCs w:val="20"/>
              </w:rPr>
              <w:t>interferents</w:t>
            </w:r>
            <w:proofErr w:type="spellEnd"/>
            <w:r>
              <w:rPr>
                <w:rFonts w:cs="Arial"/>
                <w:szCs w:val="20"/>
              </w:rPr>
              <w:t xml:space="preserve"> were recognized in testing by Abbott Laboratories.</w:t>
            </w:r>
          </w:p>
          <w:p w14:paraId="69450D98" w14:textId="77777777" w:rsid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5886C017" w14:textId="4F46C6CA" w:rsid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The affinity or avidity differences of anti-human IgG/IgM for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anti-HCV have not been determined with this assay. Therefore,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there may not be a demonstration of a significant increase in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antibody level between acute and convalescent specimens for a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patient in the late acute stage of infection when IgM antibodies</w:t>
            </w:r>
            <w:r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are decreasing.</w:t>
            </w:r>
          </w:p>
          <w:p w14:paraId="0FBC0020" w14:textId="77777777" w:rsidR="009F6A31" w:rsidRP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3F4063B0" w14:textId="73226772" w:rsid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Results obtained with the Alinity i Anti-HCV assay may not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be used interchangeably with values obtained with different</w:t>
            </w:r>
            <w:r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manufacturers’ assay methods.</w:t>
            </w:r>
          </w:p>
          <w:p w14:paraId="09E782DE" w14:textId="77777777" w:rsidR="009F6A31" w:rsidRP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233ED6CD" w14:textId="45403D40" w:rsidR="009F6A31" w:rsidRP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Assay performance characteristics have not been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established for newborns, infants, children, or populations of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immunocompromis</w:t>
            </w:r>
            <w:r w:rsidRPr="009F6A31">
              <w:rPr>
                <w:rFonts w:cs="Arial"/>
                <w:szCs w:val="20"/>
              </w:rPr>
              <w:t xml:space="preserve">ed or immunosuppressed patients; therefore, every equivocal or positive test will be reflexed to Mayo Medical Laboratories for confirmation.  </w:t>
            </w:r>
            <w:r w:rsidRPr="005B3DD8">
              <w:rPr>
                <w:rFonts w:cs="Arial"/>
                <w:b/>
                <w:szCs w:val="20"/>
              </w:rPr>
              <w:t>This is a screening test</w:t>
            </w:r>
            <w:r w:rsidRPr="009F6A31">
              <w:rPr>
                <w:rFonts w:cs="Arial"/>
                <w:szCs w:val="20"/>
              </w:rPr>
              <w:t xml:space="preserve">.  </w:t>
            </w:r>
            <w:r w:rsidRPr="009F6A31">
              <w:rPr>
                <w:rFonts w:cs="Arial"/>
                <w:szCs w:val="20"/>
              </w:rPr>
              <w:t>For diagnostic purposes, results should be used in conjunction with patient history and other hepatitis markers for diagnosis of acute or chronic infection.</w:t>
            </w:r>
          </w:p>
          <w:p w14:paraId="15A572D8" w14:textId="77777777" w:rsidR="009F6A31" w:rsidRP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27FBEC21" w14:textId="7D834F3E" w:rsid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Heterophilic antibodies in human serum can react with reagent</w:t>
            </w:r>
            <w:r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immunoglobulins, interferi</w:t>
            </w:r>
            <w:r>
              <w:rPr>
                <w:rFonts w:cs="Arial"/>
                <w:szCs w:val="20"/>
              </w:rPr>
              <w:t>ng with in vitro immunoassays.</w:t>
            </w:r>
          </w:p>
          <w:p w14:paraId="3183EE4B" w14:textId="77777777" w:rsidR="009F6A31" w:rsidRP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2F5252E8" w14:textId="5322FBC3" w:rsid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Patients routinely exposed to animals or to animal serum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products can be prone to this interference and anomalous values</w:t>
            </w:r>
            <w:r w:rsidRPr="009F6A31"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may be observed. Additional information may be required for</w:t>
            </w:r>
            <w:r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diagnosis.</w:t>
            </w:r>
          </w:p>
          <w:p w14:paraId="002143EE" w14:textId="77777777" w:rsidR="009F6A31" w:rsidRPr="009F6A31" w:rsidRDefault="009F6A31" w:rsidP="009F6A31">
            <w:pPr>
              <w:ind w:left="720"/>
              <w:rPr>
                <w:rFonts w:cs="Arial"/>
                <w:szCs w:val="20"/>
              </w:rPr>
            </w:pPr>
          </w:p>
          <w:p w14:paraId="726A082D" w14:textId="77777777" w:rsidR="009F6A31" w:rsidRDefault="009F6A31" w:rsidP="009F6A31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 w:rsidRPr="009F6A31">
              <w:rPr>
                <w:rFonts w:cs="Arial"/>
                <w:szCs w:val="20"/>
              </w:rPr>
              <w:t>The magnitude of an Alinity i Anti-HCV assay result cannot be</w:t>
            </w:r>
            <w:r>
              <w:rPr>
                <w:rFonts w:cs="Arial"/>
                <w:szCs w:val="20"/>
              </w:rPr>
              <w:t xml:space="preserve"> </w:t>
            </w:r>
            <w:r w:rsidRPr="009F6A31">
              <w:rPr>
                <w:rFonts w:cs="Arial"/>
                <w:szCs w:val="20"/>
              </w:rPr>
              <w:t>correlated to an end point titer.</w:t>
            </w:r>
          </w:p>
          <w:p w14:paraId="2EC13889" w14:textId="202E1251" w:rsidR="00FF6184" w:rsidRPr="004D3EAF" w:rsidRDefault="00FF6184" w:rsidP="00FF6184">
            <w:pPr>
              <w:ind w:left="720"/>
              <w:rPr>
                <w:rFonts w:cs="Arial"/>
                <w:szCs w:val="20"/>
              </w:rPr>
            </w:pPr>
          </w:p>
        </w:tc>
      </w:tr>
      <w:tr w:rsidR="00B816B4" w:rsidRPr="004D3EAF" w14:paraId="2EC1388F" w14:textId="77777777" w:rsidTr="00663133">
        <w:trPr>
          <w:trHeight w:val="414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8B" w14:textId="07339280" w:rsidR="00B816B4" w:rsidRPr="004D3EAF" w:rsidRDefault="00B816B4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8C" w14:textId="77777777" w:rsidR="00B816B4" w:rsidRPr="004D3EAF" w:rsidRDefault="00B816B4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Dilutions</w:t>
            </w:r>
          </w:p>
          <w:p w14:paraId="2EC1388D" w14:textId="77777777" w:rsidR="00B816B4" w:rsidRPr="004D3EAF" w:rsidRDefault="00B816B4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8E" w14:textId="77777777" w:rsidR="00B816B4" w:rsidRPr="004D3EAF" w:rsidRDefault="009A3F1E" w:rsidP="003571BD">
            <w:pPr>
              <w:pStyle w:val="CalVerTable"/>
              <w:ind w:left="0" w:firstLine="0"/>
              <w:rPr>
                <w:rFonts w:ascii="Arial" w:hAnsi="Arial" w:cs="Arial"/>
              </w:rPr>
            </w:pPr>
            <w:r w:rsidRPr="004D3EAF">
              <w:rPr>
                <w:rFonts w:ascii="Arial" w:hAnsi="Arial" w:cs="Arial"/>
              </w:rPr>
              <w:t>Do not dilute</w:t>
            </w:r>
            <w:r w:rsidR="00781856" w:rsidRPr="004D3EAF">
              <w:rPr>
                <w:rFonts w:ascii="Arial" w:hAnsi="Arial" w:cs="Arial"/>
              </w:rPr>
              <w:t xml:space="preserve"> </w:t>
            </w:r>
          </w:p>
        </w:tc>
      </w:tr>
      <w:tr w:rsidR="00F92CDB" w:rsidRPr="004D3EAF" w14:paraId="2EC138F0" w14:textId="77777777" w:rsidTr="00F92CDB">
        <w:trPr>
          <w:trHeight w:val="2286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90" w14:textId="77777777" w:rsidR="003B5727" w:rsidRPr="004D3EAF" w:rsidRDefault="003B5727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1" w14:textId="77777777" w:rsidR="00F92CDB" w:rsidRDefault="00F92CDB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Result Reporting</w:t>
            </w:r>
          </w:p>
          <w:p w14:paraId="2EC13892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3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4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5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6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7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8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9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A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B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C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D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E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9F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A0" w14:textId="77777777" w:rsidR="005C69FC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B6" w14:textId="77777777" w:rsidR="005C69FC" w:rsidRPr="004D3EAF" w:rsidRDefault="005C69FC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>
              <w:rPr>
                <w:rFonts w:cs="Arial"/>
                <w:b/>
                <w:bCs/>
                <w:color w:val="0000FF"/>
                <w:szCs w:val="20"/>
              </w:rPr>
              <w:t>Result Reporting (cont.)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B7" w14:textId="61267D83" w:rsidR="00F92CDB" w:rsidRDefault="005C69FC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</w:t>
            </w:r>
            <w:r w:rsidR="00F92CDB" w:rsidRPr="004D3EAF">
              <w:rPr>
                <w:rFonts w:ascii="Arial" w:hAnsi="Arial" w:cs="Arial"/>
                <w:sz w:val="20"/>
                <w:szCs w:val="20"/>
              </w:rPr>
              <w:t xml:space="preserve"> that will cross over in OEM will be Reactive, Nonreactive or Equivocal.  Each result will have the comment “Check procedure for repeat and interpretation protocol.</w:t>
            </w:r>
            <w:r w:rsidR="000B459F" w:rsidRPr="004D3EAF">
              <w:rPr>
                <w:rFonts w:ascii="Arial" w:hAnsi="Arial" w:cs="Arial"/>
                <w:sz w:val="20"/>
                <w:szCs w:val="20"/>
              </w:rPr>
              <w:t>”  Use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D6D">
              <w:rPr>
                <w:rFonts w:ascii="Arial" w:hAnsi="Arial" w:cs="Arial"/>
                <w:sz w:val="20"/>
                <w:szCs w:val="20"/>
              </w:rPr>
              <w:t>i</w:t>
            </w:r>
            <w:r w:rsidR="00A20D6D" w:rsidRPr="004D3EAF">
              <w:rPr>
                <w:rFonts w:ascii="Arial" w:hAnsi="Arial" w:cs="Arial"/>
                <w:sz w:val="20"/>
                <w:szCs w:val="20"/>
              </w:rPr>
              <w:t>nter</w:t>
            </w:r>
            <w:r w:rsidR="00A20D6D">
              <w:rPr>
                <w:rFonts w:ascii="Arial" w:hAnsi="Arial" w:cs="Arial"/>
                <w:sz w:val="20"/>
                <w:szCs w:val="20"/>
              </w:rPr>
              <w:t>pretation</w:t>
            </w:r>
            <w:r w:rsidR="0040455F">
              <w:rPr>
                <w:rFonts w:ascii="Arial" w:hAnsi="Arial" w:cs="Arial"/>
                <w:sz w:val="20"/>
                <w:szCs w:val="20"/>
              </w:rPr>
              <w:t xml:space="preserve"> chart on page 7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this procedure</w:t>
            </w:r>
            <w:r w:rsidR="00F92CDB" w:rsidRPr="004D3EAF">
              <w:rPr>
                <w:rFonts w:ascii="Arial" w:hAnsi="Arial" w:cs="Arial"/>
                <w:sz w:val="20"/>
                <w:szCs w:val="20"/>
              </w:rPr>
              <w:t xml:space="preserve"> to determin</w:t>
            </w:r>
            <w:r>
              <w:rPr>
                <w:rFonts w:ascii="Arial" w:hAnsi="Arial" w:cs="Arial"/>
                <w:sz w:val="20"/>
                <w:szCs w:val="20"/>
              </w:rPr>
              <w:t>e if a retest is required</w:t>
            </w:r>
            <w:r w:rsidR="00F92CDB" w:rsidRPr="004D3EAF">
              <w:rPr>
                <w:rFonts w:ascii="Arial" w:hAnsi="Arial" w:cs="Arial"/>
                <w:sz w:val="20"/>
                <w:szCs w:val="20"/>
              </w:rPr>
              <w:t>.  If a repeat test is not needed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(specimen is nonreactive)</w:t>
            </w:r>
            <w:r w:rsidR="00F92CDB" w:rsidRPr="004D3EAF">
              <w:rPr>
                <w:rFonts w:ascii="Arial" w:hAnsi="Arial" w:cs="Arial"/>
                <w:sz w:val="20"/>
                <w:szCs w:val="20"/>
              </w:rPr>
              <w:t>, manually ac</w:t>
            </w:r>
            <w:r>
              <w:rPr>
                <w:rFonts w:ascii="Arial" w:hAnsi="Arial" w:cs="Arial"/>
                <w:sz w:val="20"/>
                <w:szCs w:val="20"/>
              </w:rPr>
              <w:t>cept the Sunquest result.</w:t>
            </w:r>
          </w:p>
          <w:p w14:paraId="2EC138B8" w14:textId="77777777" w:rsidR="005C69FC" w:rsidRPr="004D3EAF" w:rsidRDefault="005C69FC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138B9" w14:textId="6227ADF8" w:rsidR="00F92CDB" w:rsidRPr="004D3EAF" w:rsidRDefault="00F92CDB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b/>
                <w:sz w:val="20"/>
                <w:szCs w:val="20"/>
              </w:rPr>
              <w:t>If retesting is required</w:t>
            </w:r>
            <w:r w:rsidR="0040455F">
              <w:rPr>
                <w:rFonts w:ascii="Arial" w:hAnsi="Arial" w:cs="Arial"/>
                <w:b/>
                <w:sz w:val="20"/>
                <w:szCs w:val="20"/>
              </w:rPr>
              <w:t xml:space="preserve"> (sample is in the Equivocal/</w:t>
            </w:r>
            <w:proofErr w:type="spellStart"/>
            <w:r w:rsidR="0040455F">
              <w:rPr>
                <w:rFonts w:ascii="Arial" w:hAnsi="Arial" w:cs="Arial"/>
                <w:b/>
                <w:sz w:val="20"/>
                <w:szCs w:val="20"/>
              </w:rPr>
              <w:t>Grayzone</w:t>
            </w:r>
            <w:proofErr w:type="spellEnd"/>
            <w:r w:rsidR="0040455F">
              <w:rPr>
                <w:rFonts w:ascii="Arial" w:hAnsi="Arial" w:cs="Arial"/>
                <w:b/>
                <w:sz w:val="20"/>
                <w:szCs w:val="20"/>
              </w:rPr>
              <w:t xml:space="preserve"> range of 0.80 to 0.99)</w:t>
            </w:r>
            <w:r w:rsidRPr="004D3EA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C138BA" w14:textId="77777777" w:rsidR="00283E92" w:rsidRPr="00283E92" w:rsidRDefault="00283E92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 xml:space="preserve">Reject the cup in OEM. </w:t>
            </w:r>
          </w:p>
          <w:p w14:paraId="2EC138BB" w14:textId="77777777" w:rsidR="00F92CDB" w:rsidRPr="004D3EAF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 xml:space="preserve">Take specimen off the analyzer and check for clots, red cells, or other particulate matter. </w:t>
            </w:r>
            <w:r w:rsidR="00283E92">
              <w:rPr>
                <w:rFonts w:ascii="Arial" w:hAnsi="Arial" w:cs="Arial"/>
                <w:b/>
                <w:sz w:val="20"/>
                <w:szCs w:val="20"/>
              </w:rPr>
              <w:t>Recentrifuge if any are seen or suspected</w:t>
            </w:r>
            <w:r w:rsidRPr="004D3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EC138BC" w14:textId="77777777" w:rsidR="00F92CDB" w:rsidRPr="004D3EAF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 xml:space="preserve">Manually order the specimen </w:t>
            </w:r>
            <w:r w:rsidRPr="004D3EAF">
              <w:rPr>
                <w:rFonts w:ascii="Arial" w:hAnsi="Arial" w:cs="Arial"/>
                <w:b/>
                <w:sz w:val="20"/>
                <w:szCs w:val="20"/>
              </w:rPr>
              <w:t>in duplicate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E92">
              <w:rPr>
                <w:rFonts w:ascii="Arial" w:hAnsi="Arial" w:cs="Arial"/>
                <w:sz w:val="20"/>
                <w:szCs w:val="20"/>
              </w:rPr>
              <w:t xml:space="preserve">(two replicates) 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with an ‘R’ in front of the accession number to signify the accession number </w:t>
            </w:r>
            <w:r w:rsidR="00283E92">
              <w:rPr>
                <w:rFonts w:ascii="Arial" w:hAnsi="Arial" w:cs="Arial"/>
                <w:sz w:val="20"/>
                <w:szCs w:val="20"/>
              </w:rPr>
              <w:t xml:space="preserve">that crosses OEM is a retest. For </w:t>
            </w:r>
            <w:r w:rsidRPr="004D3EAF">
              <w:rPr>
                <w:rFonts w:ascii="Arial" w:hAnsi="Arial" w:cs="Arial"/>
                <w:sz w:val="20"/>
                <w:szCs w:val="20"/>
              </w:rPr>
              <w:t>example</w:t>
            </w:r>
            <w:r w:rsidR="00283E92">
              <w:rPr>
                <w:rFonts w:ascii="Arial" w:hAnsi="Arial" w:cs="Arial"/>
                <w:sz w:val="20"/>
                <w:szCs w:val="20"/>
              </w:rPr>
              <w:t>, accession number “H111”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 would be</w:t>
            </w:r>
            <w:r w:rsidR="00283E92">
              <w:rPr>
                <w:rFonts w:ascii="Arial" w:hAnsi="Arial" w:cs="Arial"/>
                <w:sz w:val="20"/>
                <w:szCs w:val="20"/>
              </w:rPr>
              <w:t xml:space="preserve"> manually ordered in the Architect as  “RH111” with 2 replicates.</w:t>
            </w:r>
          </w:p>
          <w:p w14:paraId="2EC138BD" w14:textId="77777777" w:rsidR="00283E92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>When testing is complete, both results will cross into Sunquest in two different cups.</w:t>
            </w:r>
          </w:p>
          <w:p w14:paraId="2EC138BE" w14:textId="77777777" w:rsidR="00283E92" w:rsidRDefault="00283E92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283E92">
              <w:rPr>
                <w:rFonts w:ascii="Arial" w:hAnsi="Arial" w:cs="Arial"/>
                <w:sz w:val="20"/>
                <w:szCs w:val="20"/>
              </w:rPr>
              <w:t>To accept results in Sunquest, you will have to manually retype the correct accession number without the (R) for the result you wish to report in OEM</w:t>
            </w:r>
            <w:r w:rsidRPr="00283E9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283E92">
              <w:rPr>
                <w:rFonts w:ascii="Arial" w:hAnsi="Arial" w:cs="Arial"/>
                <w:sz w:val="20"/>
                <w:szCs w:val="20"/>
              </w:rPr>
              <w:t xml:space="preserve"> Sunquest will ask CHANGE EXISTING ACCESSION NUMBER (Y/&lt;N&gt;).   Type Y then press ENTER to enter the accession number for the cup you wish to report.</w:t>
            </w:r>
          </w:p>
          <w:p w14:paraId="2EC138BF" w14:textId="77777777" w:rsidR="00F92CDB" w:rsidRPr="00283E92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283E92">
              <w:rPr>
                <w:rFonts w:ascii="Arial" w:hAnsi="Arial" w:cs="Arial"/>
                <w:b/>
                <w:sz w:val="20"/>
                <w:szCs w:val="20"/>
              </w:rPr>
              <w:t>*Go to the analyzer and check results</w:t>
            </w:r>
            <w:r w:rsidRPr="00283E92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EC138C0" w14:textId="77777777" w:rsidR="00F92CDB" w:rsidRPr="004D3EAF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>If both repeat tests are &lt;</w:t>
            </w:r>
            <w:r w:rsidR="00C9747C" w:rsidRPr="004D3EAF">
              <w:rPr>
                <w:rFonts w:ascii="Arial" w:hAnsi="Arial" w:cs="Arial"/>
                <w:sz w:val="20"/>
                <w:szCs w:val="20"/>
              </w:rPr>
              <w:t>0.</w:t>
            </w:r>
            <w:r w:rsidRPr="004D3EAF">
              <w:rPr>
                <w:rFonts w:ascii="Arial" w:hAnsi="Arial" w:cs="Arial"/>
                <w:sz w:val="20"/>
                <w:szCs w:val="20"/>
              </w:rPr>
              <w:t>8 (non reactive), then manually accept the Sunquest result of nonreactive.</w:t>
            </w:r>
          </w:p>
          <w:p w14:paraId="2EC138C1" w14:textId="77777777" w:rsidR="00F92CDB" w:rsidRPr="004D3EAF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>If both of the repeat tests are ≥</w:t>
            </w:r>
            <w:r w:rsidR="00C9747C" w:rsidRPr="004D3EAF">
              <w:rPr>
                <w:rFonts w:ascii="Arial" w:hAnsi="Arial" w:cs="Arial"/>
                <w:sz w:val="20"/>
                <w:szCs w:val="20"/>
              </w:rPr>
              <w:t xml:space="preserve">0.8 </w:t>
            </w:r>
            <w:r w:rsidRPr="004D3EAF">
              <w:rPr>
                <w:rFonts w:ascii="Arial" w:hAnsi="Arial" w:cs="Arial"/>
                <w:sz w:val="20"/>
                <w:szCs w:val="20"/>
              </w:rPr>
              <w:t>to &lt;</w:t>
            </w:r>
            <w:r w:rsidR="00C9747C" w:rsidRPr="004D3EAF">
              <w:rPr>
                <w:rFonts w:ascii="Arial" w:hAnsi="Arial" w:cs="Arial"/>
                <w:sz w:val="20"/>
                <w:szCs w:val="20"/>
              </w:rPr>
              <w:t>0.99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 (equivocal), then manually accept the Sunquest result of equivocal.</w:t>
            </w:r>
          </w:p>
          <w:p w14:paraId="2EC138C2" w14:textId="77777777" w:rsidR="00F92CDB" w:rsidRPr="004D3EAF" w:rsidRDefault="00F92CDB" w:rsidP="00283E9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>If one of the repeat tests are &lt;</w:t>
            </w:r>
            <w:r w:rsidR="00C9747C" w:rsidRPr="004D3EAF">
              <w:rPr>
                <w:rFonts w:ascii="Arial" w:hAnsi="Arial" w:cs="Arial"/>
                <w:sz w:val="20"/>
                <w:szCs w:val="20"/>
              </w:rPr>
              <w:t>0.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4D3EA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 &gt;1 and the other test is ≥</w:t>
            </w:r>
            <w:r w:rsidR="00C9747C" w:rsidRPr="004D3EAF">
              <w:rPr>
                <w:rFonts w:ascii="Arial" w:hAnsi="Arial" w:cs="Arial"/>
                <w:sz w:val="20"/>
                <w:szCs w:val="20"/>
              </w:rPr>
              <w:t>0.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8  or &lt; 1 equivocal, then you must (M) modify the result in Sunquest. When modifying results, you must enter the equivocal </w:t>
            </w:r>
            <w:r w:rsidRPr="004D3EAF">
              <w:rPr>
                <w:rFonts w:ascii="Arial" w:hAnsi="Arial" w:cs="Arial"/>
                <w:b/>
                <w:sz w:val="20"/>
                <w:szCs w:val="20"/>
              </w:rPr>
              <w:t>numeric result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 from the analyzer. Sunquest will append an equivocal comment.  </w:t>
            </w:r>
            <w:r w:rsidR="005C69FC">
              <w:rPr>
                <w:rFonts w:ascii="Arial" w:hAnsi="Arial" w:cs="Arial"/>
                <w:b/>
                <w:sz w:val="20"/>
                <w:szCs w:val="20"/>
              </w:rPr>
              <w:t xml:space="preserve">Do not free text the result in Sunquest </w:t>
            </w:r>
            <w:r w:rsidR="004D3EAF" w:rsidRPr="004D3EA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="00A20D6D">
              <w:rPr>
                <w:rFonts w:ascii="Arial" w:hAnsi="Arial" w:cs="Arial"/>
                <w:b/>
                <w:sz w:val="20"/>
                <w:szCs w:val="20"/>
              </w:rPr>
              <w:t>cause the correct interpretation</w:t>
            </w:r>
            <w:r w:rsidR="004D3EAF" w:rsidRPr="004D3EAF">
              <w:rPr>
                <w:rFonts w:ascii="Arial" w:hAnsi="Arial" w:cs="Arial"/>
                <w:b/>
                <w:sz w:val="20"/>
                <w:szCs w:val="20"/>
              </w:rPr>
              <w:t xml:space="preserve"> will not append</w:t>
            </w:r>
            <w:r w:rsidRPr="004D3E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80D7DB" w14:textId="27049C9F" w:rsidR="0040455F" w:rsidRPr="009F6A31" w:rsidRDefault="00C9747C" w:rsidP="0040455F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 xml:space="preserve">If both repeat tests are &gt;1 </w:t>
            </w:r>
            <w:r w:rsidR="00F92CDB" w:rsidRPr="004D3EAF">
              <w:rPr>
                <w:rFonts w:ascii="Arial" w:hAnsi="Arial" w:cs="Arial"/>
                <w:sz w:val="20"/>
                <w:szCs w:val="20"/>
              </w:rPr>
              <w:t xml:space="preserve">(reactive), </w:t>
            </w:r>
            <w:r w:rsidR="00A20D6D">
              <w:rPr>
                <w:rFonts w:ascii="Arial" w:hAnsi="Arial" w:cs="Arial"/>
                <w:sz w:val="20"/>
                <w:szCs w:val="20"/>
              </w:rPr>
              <w:t>accept one of the</w:t>
            </w:r>
            <w:r w:rsidR="003F46D0" w:rsidRPr="004D3E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D6D">
              <w:rPr>
                <w:rFonts w:ascii="Arial" w:hAnsi="Arial" w:cs="Arial"/>
                <w:sz w:val="20"/>
                <w:szCs w:val="20"/>
              </w:rPr>
              <w:t xml:space="preserve">numeric </w:t>
            </w:r>
            <w:r w:rsidR="003F46D0" w:rsidRPr="004D3EAF">
              <w:rPr>
                <w:rFonts w:ascii="Arial" w:hAnsi="Arial" w:cs="Arial"/>
                <w:sz w:val="20"/>
                <w:szCs w:val="20"/>
              </w:rPr>
              <w:t>reactive</w:t>
            </w:r>
            <w:r w:rsidR="00A20D6D">
              <w:rPr>
                <w:rFonts w:ascii="Arial" w:hAnsi="Arial" w:cs="Arial"/>
                <w:sz w:val="20"/>
                <w:szCs w:val="20"/>
              </w:rPr>
              <w:t xml:space="preserve"> results</w:t>
            </w:r>
            <w:r w:rsidR="003F46D0" w:rsidRPr="004D3EAF">
              <w:rPr>
                <w:rFonts w:ascii="Arial" w:hAnsi="Arial" w:cs="Arial"/>
                <w:sz w:val="20"/>
                <w:szCs w:val="20"/>
              </w:rPr>
              <w:t>.</w:t>
            </w:r>
            <w:r w:rsidR="00D962A2">
              <w:rPr>
                <w:rFonts w:cs="Arial"/>
                <w:szCs w:val="20"/>
              </w:rPr>
              <w:t xml:space="preserve"> </w:t>
            </w:r>
            <w:r w:rsidR="00D962A2" w:rsidRPr="000219E3">
              <w:rPr>
                <w:rFonts w:ascii="Arial" w:hAnsi="Arial" w:cs="Arial"/>
                <w:sz w:val="20"/>
                <w:szCs w:val="20"/>
              </w:rPr>
              <w:t>Mayo Medical Laboratories test HCVQN will automatically reflex for confirmation and a label will print.  Place label on sample and place in the Send outs freezer for transport to MML</w:t>
            </w:r>
            <w:r w:rsidR="00A20D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C138C8" w14:textId="77777777" w:rsidR="0059338F" w:rsidRPr="004D3EAF" w:rsidRDefault="003F46D0" w:rsidP="005C69FC">
            <w:pPr>
              <w:pStyle w:val="NoSpacing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D3E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8626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1788"/>
              <w:gridCol w:w="1297"/>
              <w:gridCol w:w="2538"/>
              <w:gridCol w:w="1725"/>
            </w:tblGrid>
            <w:tr w:rsidR="00EA321D" w:rsidRPr="004D3EAF" w14:paraId="2EC138CE" w14:textId="77777777" w:rsidTr="00EA321D">
              <w:trPr>
                <w:trHeight w:val="467"/>
                <w:jc w:val="center"/>
              </w:trPr>
              <w:tc>
                <w:tcPr>
                  <w:tcW w:w="1278" w:type="dxa"/>
                </w:tcPr>
                <w:p w14:paraId="2EC138C9" w14:textId="77777777" w:rsidR="00EA321D" w:rsidRPr="004D3EAF" w:rsidRDefault="00EA321D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lastRenderedPageBreak/>
                    <w:t>Initial Result</w:t>
                  </w:r>
                </w:p>
              </w:tc>
              <w:tc>
                <w:tcPr>
                  <w:tcW w:w="1788" w:type="dxa"/>
                </w:tcPr>
                <w:p w14:paraId="2EC138CA" w14:textId="77777777" w:rsidR="00EA321D" w:rsidRPr="004D3EAF" w:rsidRDefault="00EA321D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>Retest Result</w:t>
                  </w:r>
                </w:p>
              </w:tc>
              <w:tc>
                <w:tcPr>
                  <w:tcW w:w="1297" w:type="dxa"/>
                </w:tcPr>
                <w:p w14:paraId="2EC138CB" w14:textId="77777777" w:rsidR="00EA321D" w:rsidRPr="004D3EAF" w:rsidRDefault="00EA321D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>Result</w:t>
                  </w:r>
                </w:p>
              </w:tc>
              <w:tc>
                <w:tcPr>
                  <w:tcW w:w="2538" w:type="dxa"/>
                </w:tcPr>
                <w:p w14:paraId="2EC138CC" w14:textId="77777777" w:rsidR="00EA321D" w:rsidRPr="004D3EAF" w:rsidRDefault="00A20D6D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>Interpretation</w:t>
                  </w:r>
                </w:p>
              </w:tc>
              <w:tc>
                <w:tcPr>
                  <w:tcW w:w="1725" w:type="dxa"/>
                </w:tcPr>
                <w:p w14:paraId="2EC138CD" w14:textId="77777777" w:rsidR="00EA321D" w:rsidRPr="004D3EAF" w:rsidRDefault="00EA321D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>What to enter into Sunquest</w:t>
                  </w:r>
                </w:p>
              </w:tc>
            </w:tr>
            <w:tr w:rsidR="00EA321D" w:rsidRPr="004D3EAF" w14:paraId="2EC138D4" w14:textId="77777777" w:rsidTr="00EA321D">
              <w:trPr>
                <w:trHeight w:val="467"/>
                <w:jc w:val="center"/>
              </w:trPr>
              <w:tc>
                <w:tcPr>
                  <w:tcW w:w="1278" w:type="dxa"/>
                  <w:vAlign w:val="center"/>
                </w:tcPr>
                <w:p w14:paraId="2EC138CF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&lt;0.79 S/CO</w:t>
                  </w:r>
                </w:p>
              </w:tc>
              <w:tc>
                <w:tcPr>
                  <w:tcW w:w="1788" w:type="dxa"/>
                  <w:vAlign w:val="center"/>
                </w:tcPr>
                <w:p w14:paraId="2EC138D0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No Retest Required</w:t>
                  </w:r>
                </w:p>
              </w:tc>
              <w:tc>
                <w:tcPr>
                  <w:tcW w:w="1297" w:type="dxa"/>
                  <w:vAlign w:val="center"/>
                </w:tcPr>
                <w:p w14:paraId="2EC138D1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Nonreactive</w:t>
                  </w:r>
                </w:p>
              </w:tc>
              <w:tc>
                <w:tcPr>
                  <w:tcW w:w="2538" w:type="dxa"/>
                  <w:vAlign w:val="center"/>
                </w:tcPr>
                <w:p w14:paraId="2EC138D2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 xml:space="preserve">Antibodies to HCV are not detected: does not </w:t>
                  </w:r>
                  <w:r w:rsidR="00A20D6D" w:rsidRPr="004D3EAF">
                    <w:rPr>
                      <w:rFonts w:cs="Arial"/>
                      <w:szCs w:val="20"/>
                    </w:rPr>
                    <w:t>exclude</w:t>
                  </w:r>
                  <w:r w:rsidRPr="004D3EAF">
                    <w:rPr>
                      <w:rFonts w:cs="Arial"/>
                      <w:szCs w:val="20"/>
                    </w:rPr>
                    <w:t xml:space="preserve"> the possibility of exposure to HCV</w:t>
                  </w:r>
                </w:p>
              </w:tc>
              <w:tc>
                <w:tcPr>
                  <w:tcW w:w="1725" w:type="dxa"/>
                  <w:vAlign w:val="center"/>
                </w:tcPr>
                <w:p w14:paraId="2EC138D3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Accept Result</w:t>
                  </w:r>
                </w:p>
              </w:tc>
            </w:tr>
            <w:tr w:rsidR="00EA321D" w:rsidRPr="004D3EAF" w14:paraId="2EC138DA" w14:textId="77777777" w:rsidTr="00EA321D">
              <w:trPr>
                <w:trHeight w:val="701"/>
                <w:jc w:val="center"/>
              </w:trPr>
              <w:tc>
                <w:tcPr>
                  <w:tcW w:w="1278" w:type="dxa"/>
                  <w:vMerge w:val="restart"/>
                  <w:vAlign w:val="center"/>
                </w:tcPr>
                <w:p w14:paraId="2EC138D5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≥</w:t>
                  </w:r>
                  <w:r w:rsidR="00C9747C" w:rsidRPr="004D3EAF">
                    <w:rPr>
                      <w:rFonts w:cs="Arial"/>
                      <w:szCs w:val="20"/>
                    </w:rPr>
                    <w:t>0.8 S/CO to &lt; 1</w:t>
                  </w:r>
                  <w:r w:rsidRPr="004D3EAF">
                    <w:rPr>
                      <w:rFonts w:cs="Arial"/>
                      <w:szCs w:val="20"/>
                    </w:rPr>
                    <w:t xml:space="preserve"> S/CO</w:t>
                  </w:r>
                </w:p>
              </w:tc>
              <w:tc>
                <w:tcPr>
                  <w:tcW w:w="1788" w:type="dxa"/>
                  <w:vAlign w:val="center"/>
                </w:tcPr>
                <w:p w14:paraId="2EC138D6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Both of the duplicate retests are &lt;0.8 S/CO</w:t>
                  </w:r>
                </w:p>
              </w:tc>
              <w:tc>
                <w:tcPr>
                  <w:tcW w:w="1297" w:type="dxa"/>
                  <w:vAlign w:val="center"/>
                </w:tcPr>
                <w:p w14:paraId="2EC138D7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Nonreactive</w:t>
                  </w:r>
                </w:p>
              </w:tc>
              <w:tc>
                <w:tcPr>
                  <w:tcW w:w="2538" w:type="dxa"/>
                  <w:vAlign w:val="center"/>
                </w:tcPr>
                <w:p w14:paraId="2EC138D8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 xml:space="preserve">Antibodies to HCV are not detected: does not </w:t>
                  </w:r>
                  <w:r w:rsidR="00A20D6D" w:rsidRPr="004D3EAF">
                    <w:rPr>
                      <w:rFonts w:cs="Arial"/>
                      <w:szCs w:val="20"/>
                    </w:rPr>
                    <w:t>exclude</w:t>
                  </w:r>
                  <w:r w:rsidRPr="004D3EAF">
                    <w:rPr>
                      <w:rFonts w:cs="Arial"/>
                      <w:szCs w:val="20"/>
                    </w:rPr>
                    <w:t xml:space="preserve"> the possibility of exposure to HCV</w:t>
                  </w:r>
                </w:p>
              </w:tc>
              <w:tc>
                <w:tcPr>
                  <w:tcW w:w="1725" w:type="dxa"/>
                  <w:vAlign w:val="center"/>
                </w:tcPr>
                <w:p w14:paraId="2EC138D9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Accept Result of Nonreactive</w:t>
                  </w:r>
                </w:p>
              </w:tc>
            </w:tr>
            <w:tr w:rsidR="00EA321D" w:rsidRPr="004D3EAF" w14:paraId="2EC138E0" w14:textId="77777777" w:rsidTr="00EA321D">
              <w:trPr>
                <w:trHeight w:val="234"/>
                <w:jc w:val="center"/>
              </w:trPr>
              <w:tc>
                <w:tcPr>
                  <w:tcW w:w="1278" w:type="dxa"/>
                  <w:vMerge/>
                  <w:vAlign w:val="center"/>
                </w:tcPr>
                <w:p w14:paraId="2EC138DB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EC138DC" w14:textId="77777777" w:rsidR="00EA321D" w:rsidRPr="004D3EAF" w:rsidRDefault="00EA321D" w:rsidP="00C9747C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 xml:space="preserve">One or both of the duplicate retest results are </w:t>
                  </w:r>
                  <w:r w:rsidR="00C9747C" w:rsidRPr="004D3EAF">
                    <w:rPr>
                      <w:rFonts w:cs="Arial"/>
                      <w:szCs w:val="20"/>
                    </w:rPr>
                    <w:t>≥0.8 S/CO to &lt;1</w:t>
                  </w:r>
                  <w:r w:rsidRPr="004D3EAF">
                    <w:rPr>
                      <w:rFonts w:cs="Arial"/>
                      <w:szCs w:val="20"/>
                    </w:rPr>
                    <w:t xml:space="preserve"> S/CO</w:t>
                  </w:r>
                </w:p>
              </w:tc>
              <w:tc>
                <w:tcPr>
                  <w:tcW w:w="1297" w:type="dxa"/>
                  <w:vAlign w:val="center"/>
                </w:tcPr>
                <w:p w14:paraId="2EC138DD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Equivocal</w:t>
                  </w:r>
                </w:p>
              </w:tc>
              <w:tc>
                <w:tcPr>
                  <w:tcW w:w="2538" w:type="dxa"/>
                  <w:vAlign w:val="center"/>
                </w:tcPr>
                <w:p w14:paraId="2EC138DE" w14:textId="77777777" w:rsidR="00EA321D" w:rsidRPr="004D3EAF" w:rsidRDefault="005C69FC" w:rsidP="006148C5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“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Antibodies to HCV may or may not be present: </w:t>
                  </w:r>
                  <w:r w:rsidR="006148C5" w:rsidRPr="004D3EAF">
                    <w:rPr>
                      <w:rFonts w:cs="Arial"/>
                      <w:szCs w:val="20"/>
                    </w:rPr>
                    <w:t>recomm</w:t>
                  </w:r>
                  <w:r>
                    <w:rPr>
                      <w:rFonts w:cs="Arial"/>
                      <w:szCs w:val="20"/>
                    </w:rPr>
                    <w:t>end repeat testing with</w:t>
                  </w:r>
                  <w:r w:rsidR="006148C5" w:rsidRPr="004D3EAF">
                    <w:rPr>
                      <w:rFonts w:cs="Arial"/>
                      <w:szCs w:val="20"/>
                    </w:rPr>
                    <w:t xml:space="preserve"> </w:t>
                  </w:r>
                  <w:r w:rsidR="00EA321D" w:rsidRPr="004D3EAF">
                    <w:rPr>
                      <w:rFonts w:cs="Arial"/>
                      <w:szCs w:val="20"/>
                    </w:rPr>
                    <w:t>anoth</w:t>
                  </w:r>
                  <w:r>
                    <w:rPr>
                      <w:rFonts w:cs="Arial"/>
                      <w:szCs w:val="20"/>
                    </w:rPr>
                    <w:t>er specimen.”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</w:tcPr>
                <w:p w14:paraId="2EC138DF" w14:textId="77777777" w:rsidR="00EA321D" w:rsidRPr="004D3EAF" w:rsidRDefault="00EA321D" w:rsidP="00C9747C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 xml:space="preserve">Modify the Result and </w:t>
                  </w:r>
                  <w:r w:rsidR="005C69FC">
                    <w:rPr>
                      <w:rFonts w:cs="Arial"/>
                      <w:b/>
                      <w:szCs w:val="20"/>
                    </w:rPr>
                    <w:t>enter the</w:t>
                  </w:r>
                  <w:r w:rsidRPr="004D3EAF">
                    <w:rPr>
                      <w:rFonts w:cs="Arial"/>
                      <w:b/>
                      <w:szCs w:val="20"/>
                    </w:rPr>
                    <w:t xml:space="preserve"> Numerical Value </w:t>
                  </w:r>
                  <w:r w:rsidR="005C69FC">
                    <w:rPr>
                      <w:rFonts w:cs="Arial"/>
                      <w:szCs w:val="20"/>
                    </w:rPr>
                    <w:t>from the</w:t>
                  </w:r>
                  <w:r w:rsidRPr="004D3EAF">
                    <w:rPr>
                      <w:rFonts w:cs="Arial"/>
                      <w:szCs w:val="20"/>
                    </w:rPr>
                    <w:t xml:space="preserve"> Architect </w:t>
                  </w:r>
                  <w:r w:rsidR="005C69FC">
                    <w:rPr>
                      <w:rFonts w:cs="Arial"/>
                      <w:b/>
                      <w:szCs w:val="20"/>
                    </w:rPr>
                    <w:t>(result s</w:t>
                  </w:r>
                  <w:r w:rsidRPr="004D3EAF">
                    <w:rPr>
                      <w:rFonts w:cs="Arial"/>
                      <w:b/>
                      <w:szCs w:val="20"/>
                    </w:rPr>
                    <w:t xml:space="preserve">hould be ≥0.80 </w:t>
                  </w:r>
                  <w:r w:rsidR="005C69FC">
                    <w:rPr>
                      <w:rFonts w:cs="Arial"/>
                      <w:b/>
                      <w:szCs w:val="20"/>
                    </w:rPr>
                    <w:t xml:space="preserve">and </w:t>
                  </w:r>
                  <w:r w:rsidRPr="004D3EAF">
                    <w:rPr>
                      <w:rFonts w:cs="Arial"/>
                      <w:b/>
                      <w:szCs w:val="20"/>
                    </w:rPr>
                    <w:t>&lt;</w:t>
                  </w:r>
                  <w:r w:rsidR="00C9747C" w:rsidRPr="004D3EAF">
                    <w:rPr>
                      <w:rFonts w:cs="Arial"/>
                      <w:b/>
                      <w:szCs w:val="20"/>
                    </w:rPr>
                    <w:t>1</w:t>
                  </w:r>
                  <w:r w:rsidRPr="004D3EAF">
                    <w:rPr>
                      <w:rFonts w:cs="Arial"/>
                      <w:b/>
                      <w:szCs w:val="20"/>
                    </w:rPr>
                    <w:t>)</w:t>
                  </w:r>
                </w:p>
              </w:tc>
            </w:tr>
            <w:tr w:rsidR="00EA321D" w:rsidRPr="004D3EAF" w14:paraId="2EC138E7" w14:textId="77777777" w:rsidTr="00EA321D">
              <w:trPr>
                <w:trHeight w:val="245"/>
                <w:jc w:val="center"/>
              </w:trPr>
              <w:tc>
                <w:tcPr>
                  <w:tcW w:w="1278" w:type="dxa"/>
                  <w:vMerge/>
                  <w:vAlign w:val="center"/>
                </w:tcPr>
                <w:p w14:paraId="2EC138E1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EC138E2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Both of the duplicate retests are &gt;1.0 S/CO</w:t>
                  </w:r>
                </w:p>
              </w:tc>
              <w:tc>
                <w:tcPr>
                  <w:tcW w:w="1297" w:type="dxa"/>
                  <w:vAlign w:val="center"/>
                </w:tcPr>
                <w:p w14:paraId="2EC138E3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Reactive</w:t>
                  </w:r>
                </w:p>
              </w:tc>
              <w:tc>
                <w:tcPr>
                  <w:tcW w:w="2538" w:type="dxa"/>
                  <w:vAlign w:val="center"/>
                </w:tcPr>
                <w:p w14:paraId="2EC138E4" w14:textId="77777777" w:rsidR="00EA321D" w:rsidRPr="004D3EAF" w:rsidRDefault="005C69FC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“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Presumptive evidence of antibodies to HCV. </w:t>
                  </w:r>
                  <w:r>
                    <w:rPr>
                      <w:rFonts w:cs="Arial"/>
                      <w:szCs w:val="20"/>
                    </w:rPr>
                    <w:t>Confirmatory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 testing</w:t>
                  </w:r>
                  <w:r>
                    <w:rPr>
                      <w:rFonts w:cs="Arial"/>
                      <w:szCs w:val="20"/>
                    </w:rPr>
                    <w:t xml:space="preserve"> reflexed.” Send to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 MML (HCVQN)</w:t>
                  </w:r>
                </w:p>
                <w:p w14:paraId="2EC138E5" w14:textId="2008A8C8" w:rsidR="006148C5" w:rsidRPr="004D3EAF" w:rsidRDefault="0040455F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 xml:space="preserve">Freeze </w:t>
                  </w:r>
                  <w:r>
                    <w:rPr>
                      <w:rFonts w:cs="Arial"/>
                      <w:b/>
                      <w:szCs w:val="20"/>
                    </w:rPr>
                    <w:t>at least 0.8mL s</w:t>
                  </w:r>
                  <w:r w:rsidRPr="004D3EAF">
                    <w:rPr>
                      <w:rFonts w:cs="Arial"/>
                      <w:b/>
                      <w:szCs w:val="20"/>
                    </w:rPr>
                    <w:t>erum immediately</w:t>
                  </w:r>
                  <w:r>
                    <w:rPr>
                      <w:rFonts w:cs="Arial"/>
                      <w:b/>
                      <w:szCs w:val="20"/>
                    </w:rPr>
                    <w:t xml:space="preserve"> for reflex to MML</w:t>
                  </w:r>
                </w:p>
              </w:tc>
              <w:tc>
                <w:tcPr>
                  <w:tcW w:w="1725" w:type="dxa"/>
                  <w:vAlign w:val="center"/>
                </w:tcPr>
                <w:p w14:paraId="2EC138E6" w14:textId="77777777" w:rsidR="00EA321D" w:rsidRPr="004D3EAF" w:rsidRDefault="00EA321D" w:rsidP="005C69FC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Accept Result of Reactive.</w:t>
                  </w:r>
                </w:p>
              </w:tc>
            </w:tr>
            <w:tr w:rsidR="00EA321D" w:rsidRPr="004D3EAF" w14:paraId="2EC138EE" w14:textId="77777777" w:rsidTr="00EA321D">
              <w:trPr>
                <w:trHeight w:val="245"/>
                <w:jc w:val="center"/>
              </w:trPr>
              <w:tc>
                <w:tcPr>
                  <w:tcW w:w="1278" w:type="dxa"/>
                  <w:vAlign w:val="center"/>
                </w:tcPr>
                <w:p w14:paraId="2EC138E8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≥1.0 S/CO</w:t>
                  </w:r>
                </w:p>
              </w:tc>
              <w:tc>
                <w:tcPr>
                  <w:tcW w:w="1788" w:type="dxa"/>
                  <w:vAlign w:val="center"/>
                </w:tcPr>
                <w:p w14:paraId="2EC138E9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No Retest Required</w:t>
                  </w:r>
                </w:p>
              </w:tc>
              <w:tc>
                <w:tcPr>
                  <w:tcW w:w="1297" w:type="dxa"/>
                  <w:vAlign w:val="center"/>
                </w:tcPr>
                <w:p w14:paraId="2EC138EA" w14:textId="77777777" w:rsidR="00EA321D" w:rsidRPr="004D3EAF" w:rsidRDefault="00EA321D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Reactive</w:t>
                  </w:r>
                </w:p>
              </w:tc>
              <w:tc>
                <w:tcPr>
                  <w:tcW w:w="2538" w:type="dxa"/>
                  <w:vAlign w:val="center"/>
                </w:tcPr>
                <w:p w14:paraId="2EC138EB" w14:textId="77777777" w:rsidR="00EA321D" w:rsidRPr="004D3EAF" w:rsidRDefault="005C69FC" w:rsidP="00EA321D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“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Presumptive evidence of antibodies to HCV. </w:t>
                  </w:r>
                  <w:r>
                    <w:rPr>
                      <w:rFonts w:cs="Arial"/>
                      <w:szCs w:val="20"/>
                    </w:rPr>
                    <w:t>Confirmatory t</w:t>
                  </w:r>
                  <w:r w:rsidR="00EA321D" w:rsidRPr="004D3EAF">
                    <w:rPr>
                      <w:rFonts w:cs="Arial"/>
                      <w:szCs w:val="20"/>
                    </w:rPr>
                    <w:t>esting</w:t>
                  </w:r>
                  <w:r>
                    <w:rPr>
                      <w:rFonts w:cs="Arial"/>
                      <w:szCs w:val="20"/>
                    </w:rPr>
                    <w:t xml:space="preserve"> reflexed.” Send to</w:t>
                  </w:r>
                  <w:r w:rsidR="00EA321D" w:rsidRPr="004D3EAF">
                    <w:rPr>
                      <w:rFonts w:cs="Arial"/>
                      <w:szCs w:val="20"/>
                    </w:rPr>
                    <w:t xml:space="preserve"> MML (HCVQN)</w:t>
                  </w:r>
                </w:p>
                <w:p w14:paraId="2EC138EC" w14:textId="0B8D7A98" w:rsidR="006148C5" w:rsidRPr="004D3EAF" w:rsidRDefault="006148C5" w:rsidP="00EA321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4D3EAF">
                    <w:rPr>
                      <w:rFonts w:cs="Arial"/>
                      <w:b/>
                      <w:szCs w:val="20"/>
                    </w:rPr>
                    <w:t xml:space="preserve">Freeze </w:t>
                  </w:r>
                  <w:r w:rsidR="0040455F">
                    <w:rPr>
                      <w:rFonts w:cs="Arial"/>
                      <w:b/>
                      <w:szCs w:val="20"/>
                    </w:rPr>
                    <w:t>at least 0.8mL s</w:t>
                  </w:r>
                  <w:r w:rsidRPr="004D3EAF">
                    <w:rPr>
                      <w:rFonts w:cs="Arial"/>
                      <w:b/>
                      <w:szCs w:val="20"/>
                    </w:rPr>
                    <w:t>erum immediately</w:t>
                  </w:r>
                  <w:r w:rsidR="0040455F">
                    <w:rPr>
                      <w:rFonts w:cs="Arial"/>
                      <w:b/>
                      <w:szCs w:val="20"/>
                    </w:rPr>
                    <w:t xml:space="preserve"> for reflex to MML</w:t>
                  </w:r>
                </w:p>
              </w:tc>
              <w:tc>
                <w:tcPr>
                  <w:tcW w:w="1725" w:type="dxa"/>
                  <w:vAlign w:val="center"/>
                </w:tcPr>
                <w:p w14:paraId="2EC138ED" w14:textId="77777777" w:rsidR="00EA321D" w:rsidRPr="004D3EAF" w:rsidRDefault="00EA321D" w:rsidP="005C69FC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4D3EAF">
                    <w:rPr>
                      <w:rFonts w:cs="Arial"/>
                      <w:szCs w:val="20"/>
                    </w:rPr>
                    <w:t>Accept Result of Reactive.</w:t>
                  </w:r>
                </w:p>
              </w:tc>
            </w:tr>
          </w:tbl>
          <w:p w14:paraId="2EC138EF" w14:textId="77777777" w:rsidR="00F92CDB" w:rsidRPr="004D3EAF" w:rsidRDefault="00F92CDB" w:rsidP="003571BD">
            <w:pPr>
              <w:pStyle w:val="CalVerTable"/>
              <w:ind w:left="0" w:firstLine="0"/>
              <w:rPr>
                <w:rFonts w:ascii="Arial" w:hAnsi="Arial" w:cs="Arial"/>
              </w:rPr>
            </w:pPr>
          </w:p>
        </w:tc>
      </w:tr>
      <w:tr w:rsidR="00AC78DD" w:rsidRPr="004D3EAF" w14:paraId="2EC138F5" w14:textId="77777777" w:rsidTr="00663133">
        <w:trPr>
          <w:trHeight w:val="1395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F1" w14:textId="77777777" w:rsidR="00AC78DD" w:rsidRPr="004D3EAF" w:rsidRDefault="00AC78DD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F2" w14:textId="77777777" w:rsidR="00AC78DD" w:rsidRPr="004D3EAF" w:rsidRDefault="00AC78DD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Specimen Storage</w:t>
            </w:r>
          </w:p>
          <w:p w14:paraId="2EC138F3" w14:textId="77777777" w:rsidR="00AC78DD" w:rsidRPr="004D3EAF" w:rsidRDefault="00AC78DD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F4" w14:textId="77777777" w:rsidR="00AC78DD" w:rsidRPr="004D3EAF" w:rsidRDefault="00AC78DD" w:rsidP="008E43B5">
            <w:p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Promptly stopper tested specimen and store upright in specimen rack. Every 8 hours remove specimens to refrigerator/freezer</w:t>
            </w:r>
            <w:r w:rsidR="00295B53" w:rsidRPr="004D3EAF">
              <w:rPr>
                <w:rFonts w:cs="Arial"/>
                <w:szCs w:val="20"/>
              </w:rPr>
              <w:t xml:space="preserve"> storage. Samples are retained 14</w:t>
            </w:r>
            <w:r w:rsidRPr="004D3EAF">
              <w:rPr>
                <w:rFonts w:cs="Arial"/>
                <w:szCs w:val="20"/>
              </w:rPr>
              <w:t xml:space="preserve"> days in specimen storage freezer.</w:t>
            </w:r>
          </w:p>
        </w:tc>
      </w:tr>
      <w:tr w:rsidR="00AC78DD" w:rsidRPr="004D3EAF" w14:paraId="2EC138FB" w14:textId="77777777" w:rsidTr="00A20D6D">
        <w:trPr>
          <w:trHeight w:val="1449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EC138F6" w14:textId="77777777" w:rsidR="00AC78DD" w:rsidRPr="004D3EAF" w:rsidRDefault="00AC78DD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EC138F7" w14:textId="77777777" w:rsidR="00AC78DD" w:rsidRPr="004D3EAF" w:rsidRDefault="00AC78DD" w:rsidP="008C6EDC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References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2EC138F8" w14:textId="77239266" w:rsidR="00813AAB" w:rsidRDefault="008D32F0" w:rsidP="00813AAB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Abbott Alinity i Anti-HCV</w:t>
            </w:r>
            <w:r w:rsidR="00813AAB" w:rsidRPr="004D3EAF">
              <w:rPr>
                <w:rFonts w:cs="Arial"/>
                <w:szCs w:val="20"/>
              </w:rPr>
              <w:t xml:space="preserve"> Package insert, Abbott </w:t>
            </w:r>
            <w:r w:rsidR="00A20D6D" w:rsidRPr="004D3EAF">
              <w:rPr>
                <w:rFonts w:cs="Arial"/>
                <w:szCs w:val="20"/>
              </w:rPr>
              <w:t>Diagnostics</w:t>
            </w:r>
            <w:r w:rsidR="00813AAB" w:rsidRPr="004D3EAF">
              <w:rPr>
                <w:rFonts w:cs="Arial"/>
                <w:szCs w:val="20"/>
              </w:rPr>
              <w:t xml:space="preserve">, Abbott Park, IL 60064. Revised </w:t>
            </w:r>
            <w:r>
              <w:rPr>
                <w:rFonts w:cs="Arial"/>
                <w:szCs w:val="20"/>
              </w:rPr>
              <w:t>July 2019</w:t>
            </w:r>
          </w:p>
          <w:p w14:paraId="68D8026D" w14:textId="190E4D2F" w:rsidR="008D32F0" w:rsidRPr="004D3EAF" w:rsidRDefault="008D32F0" w:rsidP="00813AAB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Abbott Alinity i Anti-HCV Calibrator Insert, Abbott Diagnostics, Abbott Park, IL, 60064.  Revised July 2019.</w:t>
            </w:r>
          </w:p>
          <w:p w14:paraId="2EC138F9" w14:textId="77777777" w:rsidR="005A6341" w:rsidRPr="004D3EAF" w:rsidRDefault="00A20D6D" w:rsidP="005A6341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Bio-Rad</w:t>
            </w:r>
            <w:r w:rsidR="00E81243" w:rsidRPr="004D3EAF">
              <w:rPr>
                <w:rFonts w:cs="Arial"/>
                <w:szCs w:val="20"/>
              </w:rPr>
              <w:t xml:space="preserve"> Virocl</w:t>
            </w:r>
            <w:r w:rsidR="005A6341" w:rsidRPr="004D3EAF">
              <w:rPr>
                <w:rFonts w:cs="Arial"/>
                <w:szCs w:val="20"/>
              </w:rPr>
              <w:t xml:space="preserve">ear Control Product Insert, </w:t>
            </w:r>
            <w:r w:rsidRPr="004D3EAF">
              <w:rPr>
                <w:rFonts w:cs="Arial"/>
                <w:szCs w:val="20"/>
              </w:rPr>
              <w:t>Bio-Rad</w:t>
            </w:r>
            <w:r w:rsidR="00E81243" w:rsidRPr="004D3EAF">
              <w:rPr>
                <w:rFonts w:cs="Arial"/>
                <w:szCs w:val="20"/>
              </w:rPr>
              <w:t xml:space="preserve"> Laboratories, Irvine, CA 92618 July 2017. </w:t>
            </w:r>
          </w:p>
          <w:p w14:paraId="2EC138FA" w14:textId="77777777" w:rsidR="00AC78DD" w:rsidRPr="004D3EAF" w:rsidRDefault="00A20D6D" w:rsidP="005C69FC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4D3EAF">
              <w:rPr>
                <w:rFonts w:cs="Arial"/>
                <w:szCs w:val="20"/>
              </w:rPr>
              <w:t>Bio-Rad</w:t>
            </w:r>
            <w:r w:rsidR="005A6341" w:rsidRPr="004D3EAF">
              <w:rPr>
                <w:rFonts w:cs="Arial"/>
                <w:szCs w:val="20"/>
              </w:rPr>
              <w:t xml:space="preserve"> Virotrol II Control Product Insert, </w:t>
            </w:r>
            <w:r w:rsidRPr="004D3EAF">
              <w:rPr>
                <w:rFonts w:cs="Arial"/>
                <w:szCs w:val="20"/>
              </w:rPr>
              <w:t>Bio-Rad</w:t>
            </w:r>
            <w:r w:rsidR="005A6341" w:rsidRPr="004D3EAF">
              <w:rPr>
                <w:rFonts w:cs="Arial"/>
                <w:szCs w:val="20"/>
              </w:rPr>
              <w:t xml:space="preserve"> Laboratories, Irvine, CA 92618 October 2017. </w:t>
            </w:r>
          </w:p>
        </w:tc>
      </w:tr>
      <w:tr w:rsidR="00AC78DD" w:rsidRPr="004D3EAF" w14:paraId="2EC13913" w14:textId="77777777" w:rsidTr="00663133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2EC138FC" w14:textId="77777777" w:rsidR="00AC78DD" w:rsidRPr="004D3EAF" w:rsidRDefault="00AC78DD">
            <w:pPr>
              <w:rPr>
                <w:rFonts w:cs="Arial"/>
                <w:b/>
                <w:bCs/>
                <w:color w:val="3366FF"/>
                <w:szCs w:val="20"/>
              </w:rPr>
            </w:pPr>
            <w:r w:rsidRPr="004D3EAF">
              <w:rPr>
                <w:rFonts w:cs="Arial"/>
                <w:b/>
                <w:bCs/>
                <w:color w:val="0000FF"/>
                <w:szCs w:val="20"/>
              </w:rPr>
              <w:t>Historical Record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2EC138FD" w14:textId="77777777" w:rsidR="00AC78DD" w:rsidRPr="004D3EAF" w:rsidRDefault="00AC78DD">
            <w:pPr>
              <w:rPr>
                <w:rFonts w:cs="Arial"/>
                <w:iCs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2070"/>
              <w:gridCol w:w="1980"/>
              <w:gridCol w:w="3510"/>
            </w:tblGrid>
            <w:tr w:rsidR="00AC78DD" w:rsidRPr="004D3EAF" w14:paraId="2EC13902" w14:textId="77777777" w:rsidTr="003571BD">
              <w:tc>
                <w:tcPr>
                  <w:tcW w:w="967" w:type="dxa"/>
                </w:tcPr>
                <w:p w14:paraId="2EC138FE" w14:textId="77777777" w:rsidR="00AC78DD" w:rsidRPr="004D3EAF" w:rsidRDefault="00AC78DD">
                  <w:pPr>
                    <w:rPr>
                      <w:rFonts w:cs="Arial"/>
                      <w:b/>
                      <w:iCs/>
                      <w:szCs w:val="20"/>
                    </w:rPr>
                  </w:pPr>
                  <w:r w:rsidRPr="004D3EAF">
                    <w:rPr>
                      <w:rFonts w:cs="Arial"/>
                      <w:b/>
                      <w:iCs/>
                      <w:szCs w:val="20"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14:paraId="2EC138FF" w14:textId="77777777" w:rsidR="00AC78DD" w:rsidRPr="004D3EAF" w:rsidRDefault="00AC78DD">
                  <w:pPr>
                    <w:rPr>
                      <w:rFonts w:cs="Arial"/>
                      <w:b/>
                      <w:iCs/>
                      <w:szCs w:val="20"/>
                    </w:rPr>
                  </w:pPr>
                  <w:r w:rsidRPr="004D3EAF">
                    <w:rPr>
                      <w:rFonts w:cs="Arial"/>
                      <w:b/>
                      <w:iCs/>
                      <w:szCs w:val="20"/>
                    </w:rPr>
                    <w:t>Written/Revised By</w:t>
                  </w:r>
                </w:p>
              </w:tc>
              <w:tc>
                <w:tcPr>
                  <w:tcW w:w="1980" w:type="dxa"/>
                </w:tcPr>
                <w:p w14:paraId="2EC13900" w14:textId="77777777" w:rsidR="00AC78DD" w:rsidRPr="004D3EAF" w:rsidRDefault="00AC78DD">
                  <w:pPr>
                    <w:rPr>
                      <w:rFonts w:cs="Arial"/>
                      <w:b/>
                      <w:iCs/>
                      <w:szCs w:val="20"/>
                    </w:rPr>
                  </w:pPr>
                  <w:r w:rsidRPr="004D3EAF">
                    <w:rPr>
                      <w:rFonts w:cs="Arial"/>
                      <w:b/>
                      <w:iCs/>
                      <w:szCs w:val="20"/>
                    </w:rPr>
                    <w:t>Effective Date</w:t>
                  </w:r>
                </w:p>
              </w:tc>
              <w:tc>
                <w:tcPr>
                  <w:tcW w:w="3510" w:type="dxa"/>
                </w:tcPr>
                <w:p w14:paraId="2EC13901" w14:textId="77777777" w:rsidR="00AC78DD" w:rsidRPr="004D3EAF" w:rsidRDefault="00AC78DD">
                  <w:pPr>
                    <w:rPr>
                      <w:rFonts w:cs="Arial"/>
                      <w:b/>
                      <w:iCs/>
                      <w:szCs w:val="20"/>
                    </w:rPr>
                  </w:pPr>
                  <w:r w:rsidRPr="004D3EAF">
                    <w:rPr>
                      <w:rFonts w:cs="Arial"/>
                      <w:b/>
                      <w:iCs/>
                      <w:szCs w:val="20"/>
                    </w:rPr>
                    <w:t>Summary of Revisions</w:t>
                  </w:r>
                </w:p>
              </w:tc>
            </w:tr>
            <w:tr w:rsidR="00AC78DD" w:rsidRPr="004D3EAF" w14:paraId="2EC13907" w14:textId="77777777" w:rsidTr="003571BD">
              <w:tc>
                <w:tcPr>
                  <w:tcW w:w="967" w:type="dxa"/>
                </w:tcPr>
                <w:p w14:paraId="2EC13903" w14:textId="77777777" w:rsidR="00AC78DD" w:rsidRPr="004D3EAF" w:rsidRDefault="00AC78DD">
                  <w:pPr>
                    <w:rPr>
                      <w:rFonts w:cs="Arial"/>
                      <w:iCs/>
                      <w:szCs w:val="20"/>
                    </w:rPr>
                  </w:pPr>
                  <w:r w:rsidRPr="004D3EAF">
                    <w:rPr>
                      <w:rFonts w:cs="Arial"/>
                      <w:iCs/>
                      <w:szCs w:val="20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2EC13904" w14:textId="77777777" w:rsidR="00AC78DD" w:rsidRPr="004D3EAF" w:rsidRDefault="005D737D">
                  <w:pPr>
                    <w:rPr>
                      <w:rFonts w:cs="Arial"/>
                      <w:iCs/>
                      <w:szCs w:val="20"/>
                    </w:rPr>
                  </w:pPr>
                  <w:r w:rsidRPr="004D3EAF">
                    <w:rPr>
                      <w:rFonts w:cs="Arial"/>
                      <w:iCs/>
                      <w:szCs w:val="20"/>
                    </w:rPr>
                    <w:t>Stephen Gripentrog</w:t>
                  </w:r>
                  <w:r w:rsidR="004D3EAF">
                    <w:rPr>
                      <w:rFonts w:cs="Arial"/>
                      <w:iCs/>
                      <w:szCs w:val="20"/>
                    </w:rPr>
                    <w:t>/Erin Bartos</w:t>
                  </w:r>
                </w:p>
              </w:tc>
              <w:tc>
                <w:tcPr>
                  <w:tcW w:w="1980" w:type="dxa"/>
                </w:tcPr>
                <w:p w14:paraId="2EC13905" w14:textId="77777777" w:rsidR="00AC78DD" w:rsidRPr="004D3EAF" w:rsidRDefault="004D3EAF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May 15, 2018</w:t>
                  </w:r>
                </w:p>
              </w:tc>
              <w:tc>
                <w:tcPr>
                  <w:tcW w:w="3510" w:type="dxa"/>
                </w:tcPr>
                <w:p w14:paraId="2EC13906" w14:textId="77777777" w:rsidR="00AC78DD" w:rsidRPr="004D3EAF" w:rsidRDefault="00AC78DD">
                  <w:pPr>
                    <w:rPr>
                      <w:rFonts w:cs="Arial"/>
                      <w:iCs/>
                      <w:szCs w:val="20"/>
                    </w:rPr>
                  </w:pPr>
                  <w:r w:rsidRPr="004D3EAF">
                    <w:rPr>
                      <w:rFonts w:cs="Arial"/>
                      <w:iCs/>
                      <w:szCs w:val="20"/>
                    </w:rPr>
                    <w:t>New Procedure</w:t>
                  </w:r>
                </w:p>
              </w:tc>
            </w:tr>
            <w:tr w:rsidR="00AC78DD" w:rsidRPr="004D3EAF" w14:paraId="2EC1390C" w14:textId="77777777" w:rsidTr="003571BD">
              <w:tc>
                <w:tcPr>
                  <w:tcW w:w="967" w:type="dxa"/>
                </w:tcPr>
                <w:p w14:paraId="2EC13908" w14:textId="7BFE140C" w:rsidR="00AC78DD" w:rsidRPr="004D3EAF" w:rsidRDefault="00AC78DD">
                  <w:pPr>
                    <w:rPr>
                      <w:rFonts w:cs="Arial"/>
                      <w:iCs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2EC13909" w14:textId="77777777" w:rsidR="00AC78DD" w:rsidRPr="004D3EAF" w:rsidRDefault="00FD6559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2EC1390A" w14:textId="77777777" w:rsidR="00AC78DD" w:rsidRPr="004D3EAF" w:rsidRDefault="00FD6559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May 1, 2019</w:t>
                  </w:r>
                </w:p>
              </w:tc>
              <w:tc>
                <w:tcPr>
                  <w:tcW w:w="3510" w:type="dxa"/>
                </w:tcPr>
                <w:p w14:paraId="2EC1390B" w14:textId="77777777" w:rsidR="00AC78DD" w:rsidRPr="004D3EAF" w:rsidRDefault="00FD6559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Updated Positive QC to Virotrol I</w:t>
                  </w:r>
                </w:p>
              </w:tc>
            </w:tr>
            <w:tr w:rsidR="00AC78DD" w:rsidRPr="004D3EAF" w14:paraId="2EC13911" w14:textId="77777777" w:rsidTr="003571BD">
              <w:tc>
                <w:tcPr>
                  <w:tcW w:w="967" w:type="dxa"/>
                </w:tcPr>
                <w:p w14:paraId="2EC1390D" w14:textId="7A23B77A" w:rsidR="00AC78DD" w:rsidRPr="004D3EAF" w:rsidRDefault="008D32F0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2EC1390E" w14:textId="4742BC41" w:rsidR="00AC78DD" w:rsidRPr="004D3EAF" w:rsidRDefault="008D32F0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2EC1390F" w14:textId="663CEA0B" w:rsidR="00AC78DD" w:rsidRPr="004D3EAF" w:rsidRDefault="008D32F0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October 28, 2020</w:t>
                  </w:r>
                </w:p>
              </w:tc>
              <w:tc>
                <w:tcPr>
                  <w:tcW w:w="3510" w:type="dxa"/>
                </w:tcPr>
                <w:p w14:paraId="2EC13910" w14:textId="57FA7317" w:rsidR="00AC78DD" w:rsidRPr="004D3EAF" w:rsidRDefault="008D32F0">
                  <w:pPr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rFonts w:cs="Arial"/>
                      <w:iCs/>
                      <w:szCs w:val="20"/>
                    </w:rPr>
                    <w:t>Changed analyzer from Architect to Alinity, updated some verbiage.</w:t>
                  </w:r>
                  <w:r w:rsidR="00FF6184">
                    <w:rPr>
                      <w:rFonts w:cs="Arial"/>
                      <w:iCs/>
                      <w:szCs w:val="20"/>
                    </w:rPr>
                    <w:t xml:space="preserve">  Limitations noted and added to Lab Directory page.</w:t>
                  </w:r>
                  <w:r w:rsidR="005B3DD8">
                    <w:rPr>
                      <w:rFonts w:cs="Arial"/>
                      <w:iCs/>
                      <w:szCs w:val="20"/>
                    </w:rPr>
                    <w:t xml:space="preserve">  Added “this is a screening test.”</w:t>
                  </w:r>
                  <w:bookmarkStart w:id="0" w:name="_GoBack"/>
                  <w:bookmarkEnd w:id="0"/>
                </w:p>
              </w:tc>
            </w:tr>
          </w:tbl>
          <w:p w14:paraId="2EC13912" w14:textId="77777777" w:rsidR="00AC78DD" w:rsidRPr="004D3EAF" w:rsidRDefault="00AC78DD">
            <w:pPr>
              <w:rPr>
                <w:rFonts w:cs="Arial"/>
                <w:iCs/>
                <w:szCs w:val="20"/>
              </w:rPr>
            </w:pPr>
          </w:p>
        </w:tc>
      </w:tr>
    </w:tbl>
    <w:p w14:paraId="2EC13914" w14:textId="77777777" w:rsidR="008C6EDC" w:rsidRPr="004D3EAF" w:rsidRDefault="008C6EDC">
      <w:pPr>
        <w:rPr>
          <w:rFonts w:cs="Arial"/>
          <w:szCs w:val="20"/>
        </w:rPr>
      </w:pPr>
    </w:p>
    <w:sectPr w:rsidR="008C6EDC" w:rsidRPr="004D3EAF" w:rsidSect="00287C41">
      <w:headerReference w:type="default" r:id="rId15"/>
      <w:footerReference w:type="default" r:id="rId16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13917" w14:textId="77777777" w:rsidR="00A20D6D" w:rsidRDefault="00A20D6D">
      <w:r>
        <w:separator/>
      </w:r>
    </w:p>
  </w:endnote>
  <w:endnote w:type="continuationSeparator" w:id="0">
    <w:p w14:paraId="2EC13918" w14:textId="77777777" w:rsidR="00A20D6D" w:rsidRDefault="00A2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e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91D" w14:textId="71554505" w:rsidR="00A20D6D" w:rsidRPr="001A774F" w:rsidRDefault="00A20D6D" w:rsidP="008C6EDC">
    <w:pPr>
      <w:ind w:left="-1260" w:right="-1260"/>
      <w:rPr>
        <w:rFonts w:cs="Arial"/>
        <w:sz w:val="18"/>
      </w:rPr>
    </w:pPr>
    <w:r>
      <w:rPr>
        <w:rFonts w:cs="Arial"/>
        <w:sz w:val="18"/>
      </w:rPr>
      <w:t>Laboratory, Chi</w:t>
    </w:r>
    <w:r w:rsidR="00C60046">
      <w:rPr>
        <w:rFonts w:cs="Arial"/>
        <w:sz w:val="18"/>
      </w:rPr>
      <w:t>ldren’s Minnesota, Minneapolis</w:t>
    </w:r>
    <w:r>
      <w:rPr>
        <w:rFonts w:cs="Arial"/>
        <w:sz w:val="18"/>
      </w:rPr>
      <w:t>, MN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sz w:val="18"/>
      </w:rPr>
      <w:t xml:space="preserve">Page </w:t>
    </w:r>
    <w:r w:rsidR="00FB3386">
      <w:rPr>
        <w:sz w:val="18"/>
      </w:rPr>
      <w:fldChar w:fldCharType="begin"/>
    </w:r>
    <w:r>
      <w:rPr>
        <w:sz w:val="18"/>
      </w:rPr>
      <w:instrText xml:space="preserve"> PAGE </w:instrText>
    </w:r>
    <w:r w:rsidR="00FB3386">
      <w:rPr>
        <w:sz w:val="18"/>
      </w:rPr>
      <w:fldChar w:fldCharType="separate"/>
    </w:r>
    <w:r w:rsidR="005B3DD8">
      <w:rPr>
        <w:noProof/>
        <w:sz w:val="18"/>
      </w:rPr>
      <w:t>8</w:t>
    </w:r>
    <w:r w:rsidR="00FB3386">
      <w:rPr>
        <w:sz w:val="18"/>
      </w:rPr>
      <w:fldChar w:fldCharType="end"/>
    </w:r>
    <w:r>
      <w:rPr>
        <w:sz w:val="18"/>
      </w:rPr>
      <w:t xml:space="preserve"> of </w:t>
    </w:r>
    <w:r w:rsidR="00FB3386">
      <w:rPr>
        <w:sz w:val="18"/>
      </w:rPr>
      <w:fldChar w:fldCharType="begin"/>
    </w:r>
    <w:r>
      <w:rPr>
        <w:sz w:val="18"/>
      </w:rPr>
      <w:instrText xml:space="preserve"> NUMPAGES </w:instrText>
    </w:r>
    <w:r w:rsidR="00FB3386">
      <w:rPr>
        <w:sz w:val="18"/>
      </w:rPr>
      <w:fldChar w:fldCharType="separate"/>
    </w:r>
    <w:r w:rsidR="005B3DD8">
      <w:rPr>
        <w:noProof/>
        <w:sz w:val="18"/>
      </w:rPr>
      <w:t>8</w:t>
    </w:r>
    <w:r w:rsidR="00FB338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13915" w14:textId="77777777" w:rsidR="00A20D6D" w:rsidRDefault="00A20D6D">
      <w:r>
        <w:separator/>
      </w:r>
    </w:p>
  </w:footnote>
  <w:footnote w:type="continuationSeparator" w:id="0">
    <w:p w14:paraId="2EC13916" w14:textId="77777777" w:rsidR="00A20D6D" w:rsidRDefault="00A2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919" w14:textId="02E20DD1" w:rsidR="00A20D6D" w:rsidRDefault="005B3DD8">
    <w:pPr>
      <w:ind w:left="-1260" w:right="-1260"/>
      <w:rPr>
        <w:rFonts w:cs="Arial"/>
        <w:sz w:val="18"/>
      </w:rPr>
    </w:pPr>
    <w:r>
      <w:rPr>
        <w:noProof/>
      </w:rPr>
      <w:pict w14:anchorId="2EC13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67.95pt;margin-top:-15.3pt;width:133.7pt;height:42.85pt;z-index:-251658752;mso-position-horizontal-relative:text;mso-position-vertical-relative:text" wrapcoords="-121 0 -121 21221 21600 21221 21600 0 -121 0">
          <v:imagedata r:id="rId1" o:title="Childrens_MN_2015_logo_2c_RGB_800x257"/>
          <w10:wrap type="tight"/>
        </v:shape>
      </w:pict>
    </w:r>
    <w:r w:rsidR="00A20D6D">
      <w:rPr>
        <w:rFonts w:cs="Arial"/>
        <w:sz w:val="18"/>
      </w:rPr>
      <w:t>CH 6.44 Hepatitis C Antibody</w:t>
    </w:r>
    <w:r>
      <w:rPr>
        <w:rFonts w:cs="Arial"/>
        <w:sz w:val="18"/>
      </w:rPr>
      <w:t xml:space="preserve"> Screen</w:t>
    </w:r>
  </w:p>
  <w:p w14:paraId="2EC1391A" w14:textId="06B4D485" w:rsidR="00A20D6D" w:rsidRDefault="00BD1DD0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2</w:t>
    </w:r>
  </w:p>
  <w:p w14:paraId="2EC1391B" w14:textId="668F012A" w:rsidR="00A20D6D" w:rsidRDefault="00BD1DD0">
    <w:pPr>
      <w:ind w:left="-1260" w:right="-1260"/>
      <w:rPr>
        <w:rFonts w:cs="Arial"/>
        <w:sz w:val="18"/>
      </w:rPr>
    </w:pPr>
    <w:r>
      <w:rPr>
        <w:rFonts w:cs="Arial"/>
        <w:sz w:val="18"/>
      </w:rPr>
      <w:t>Effective Date: 10/28/2020</w:t>
    </w:r>
  </w:p>
  <w:p w14:paraId="2EC1391C" w14:textId="77777777" w:rsidR="00A20D6D" w:rsidRDefault="00A20D6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BD5"/>
    <w:multiLevelType w:val="hybridMultilevel"/>
    <w:tmpl w:val="163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0804"/>
    <w:multiLevelType w:val="hybridMultilevel"/>
    <w:tmpl w:val="553897C6"/>
    <w:lvl w:ilvl="0" w:tplc="A1AC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7E759E"/>
    <w:multiLevelType w:val="hybridMultilevel"/>
    <w:tmpl w:val="12EC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935F3"/>
    <w:multiLevelType w:val="hybridMultilevel"/>
    <w:tmpl w:val="CCBA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4E1"/>
    <w:multiLevelType w:val="hybridMultilevel"/>
    <w:tmpl w:val="9A02D06C"/>
    <w:lvl w:ilvl="0" w:tplc="C6D8DF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4C53"/>
    <w:multiLevelType w:val="hybridMultilevel"/>
    <w:tmpl w:val="A3F4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EDC"/>
    <w:multiLevelType w:val="hybridMultilevel"/>
    <w:tmpl w:val="EE002A8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075893"/>
    <w:multiLevelType w:val="hybridMultilevel"/>
    <w:tmpl w:val="C768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2220"/>
    <w:multiLevelType w:val="hybridMultilevel"/>
    <w:tmpl w:val="EFBED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16995"/>
    <w:multiLevelType w:val="hybridMultilevel"/>
    <w:tmpl w:val="977C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63E3B"/>
    <w:multiLevelType w:val="hybridMultilevel"/>
    <w:tmpl w:val="4992B338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31311"/>
    <w:multiLevelType w:val="hybridMultilevel"/>
    <w:tmpl w:val="71B6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144438"/>
    <w:multiLevelType w:val="hybridMultilevel"/>
    <w:tmpl w:val="C5BA0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75C2C"/>
    <w:multiLevelType w:val="hybridMultilevel"/>
    <w:tmpl w:val="91C6C1E0"/>
    <w:lvl w:ilvl="0" w:tplc="12A23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E03B16"/>
    <w:multiLevelType w:val="hybridMultilevel"/>
    <w:tmpl w:val="99E46710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80F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4135C"/>
    <w:multiLevelType w:val="hybridMultilevel"/>
    <w:tmpl w:val="836403F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4ED877F2"/>
    <w:multiLevelType w:val="hybridMultilevel"/>
    <w:tmpl w:val="9D6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C138A"/>
    <w:multiLevelType w:val="hybridMultilevel"/>
    <w:tmpl w:val="E540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0F72CC"/>
    <w:multiLevelType w:val="hybridMultilevel"/>
    <w:tmpl w:val="39E436C2"/>
    <w:lvl w:ilvl="0" w:tplc="D5F0FC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B5466"/>
    <w:multiLevelType w:val="hybridMultilevel"/>
    <w:tmpl w:val="4C72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2A0C"/>
    <w:multiLevelType w:val="hybridMultilevel"/>
    <w:tmpl w:val="455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C124A0"/>
    <w:multiLevelType w:val="hybridMultilevel"/>
    <w:tmpl w:val="9A02D06C"/>
    <w:lvl w:ilvl="0" w:tplc="C6D8DFB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E2174"/>
    <w:multiLevelType w:val="hybridMultilevel"/>
    <w:tmpl w:val="337A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43396"/>
    <w:multiLevelType w:val="hybridMultilevel"/>
    <w:tmpl w:val="960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6EC5"/>
    <w:multiLevelType w:val="hybridMultilevel"/>
    <w:tmpl w:val="A86E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43988"/>
    <w:multiLevelType w:val="hybridMultilevel"/>
    <w:tmpl w:val="9A02D06C"/>
    <w:lvl w:ilvl="0" w:tplc="C6D8DFB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B15F0"/>
    <w:multiLevelType w:val="hybridMultilevel"/>
    <w:tmpl w:val="CEE8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4D05"/>
    <w:multiLevelType w:val="hybridMultilevel"/>
    <w:tmpl w:val="C5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A3B0D"/>
    <w:multiLevelType w:val="hybridMultilevel"/>
    <w:tmpl w:val="30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24D2"/>
    <w:multiLevelType w:val="hybridMultilevel"/>
    <w:tmpl w:val="74705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1F08"/>
    <w:multiLevelType w:val="hybridMultilevel"/>
    <w:tmpl w:val="6586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14723"/>
    <w:multiLevelType w:val="hybridMultilevel"/>
    <w:tmpl w:val="D4E4B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8B5382"/>
    <w:multiLevelType w:val="hybridMultilevel"/>
    <w:tmpl w:val="B04E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8"/>
  </w:num>
  <w:num w:numId="5">
    <w:abstractNumId w:val="17"/>
  </w:num>
  <w:num w:numId="6">
    <w:abstractNumId w:val="15"/>
  </w:num>
  <w:num w:numId="7">
    <w:abstractNumId w:val="19"/>
  </w:num>
  <w:num w:numId="8">
    <w:abstractNumId w:val="37"/>
  </w:num>
  <w:num w:numId="9">
    <w:abstractNumId w:val="14"/>
  </w:num>
  <w:num w:numId="10">
    <w:abstractNumId w:val="2"/>
  </w:num>
  <w:num w:numId="11">
    <w:abstractNumId w:val="39"/>
  </w:num>
  <w:num w:numId="12">
    <w:abstractNumId w:val="34"/>
  </w:num>
  <w:num w:numId="13">
    <w:abstractNumId w:val="7"/>
  </w:num>
  <w:num w:numId="14">
    <w:abstractNumId w:val="12"/>
  </w:num>
  <w:num w:numId="15">
    <w:abstractNumId w:val="11"/>
  </w:num>
  <w:num w:numId="16">
    <w:abstractNumId w:val="18"/>
  </w:num>
  <w:num w:numId="17">
    <w:abstractNumId w:val="10"/>
  </w:num>
  <w:num w:numId="18">
    <w:abstractNumId w:val="9"/>
  </w:num>
  <w:num w:numId="19">
    <w:abstractNumId w:val="27"/>
  </w:num>
  <w:num w:numId="20">
    <w:abstractNumId w:val="35"/>
  </w:num>
  <w:num w:numId="21">
    <w:abstractNumId w:val="38"/>
  </w:num>
  <w:num w:numId="22">
    <w:abstractNumId w:val="30"/>
  </w:num>
  <w:num w:numId="23">
    <w:abstractNumId w:val="0"/>
  </w:num>
  <w:num w:numId="24">
    <w:abstractNumId w:val="21"/>
  </w:num>
  <w:num w:numId="25">
    <w:abstractNumId w:val="31"/>
  </w:num>
  <w:num w:numId="26">
    <w:abstractNumId w:val="25"/>
  </w:num>
  <w:num w:numId="27">
    <w:abstractNumId w:val="16"/>
  </w:num>
  <w:num w:numId="28">
    <w:abstractNumId w:val="5"/>
  </w:num>
  <w:num w:numId="29">
    <w:abstractNumId w:val="40"/>
  </w:num>
  <w:num w:numId="30">
    <w:abstractNumId w:val="36"/>
  </w:num>
  <w:num w:numId="31">
    <w:abstractNumId w:val="26"/>
  </w:num>
  <w:num w:numId="32">
    <w:abstractNumId w:val="3"/>
  </w:num>
  <w:num w:numId="33">
    <w:abstractNumId w:val="28"/>
  </w:num>
  <w:num w:numId="34">
    <w:abstractNumId w:val="33"/>
  </w:num>
  <w:num w:numId="35">
    <w:abstractNumId w:val="1"/>
  </w:num>
  <w:num w:numId="36">
    <w:abstractNumId w:val="24"/>
  </w:num>
  <w:num w:numId="37">
    <w:abstractNumId w:val="20"/>
  </w:num>
  <w:num w:numId="38">
    <w:abstractNumId w:val="6"/>
  </w:num>
  <w:num w:numId="39">
    <w:abstractNumId w:val="32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hideSpellingErrors/>
  <w:hideGrammaticalErrors/>
  <w:proofState w:spelling="clean" w:grammar="clean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847"/>
    <w:rsid w:val="00000536"/>
    <w:rsid w:val="00003218"/>
    <w:rsid w:val="00015CEF"/>
    <w:rsid w:val="000201ED"/>
    <w:rsid w:val="000219E3"/>
    <w:rsid w:val="000273F3"/>
    <w:rsid w:val="000350DB"/>
    <w:rsid w:val="0004669D"/>
    <w:rsid w:val="000625DB"/>
    <w:rsid w:val="00081E34"/>
    <w:rsid w:val="0009335B"/>
    <w:rsid w:val="000A739F"/>
    <w:rsid w:val="000B459F"/>
    <w:rsid w:val="000B59B4"/>
    <w:rsid w:val="00127B11"/>
    <w:rsid w:val="00143FF4"/>
    <w:rsid w:val="001B0FCF"/>
    <w:rsid w:val="001B1C87"/>
    <w:rsid w:val="001E2DF4"/>
    <w:rsid w:val="001F2FF6"/>
    <w:rsid w:val="0021409B"/>
    <w:rsid w:val="002265E2"/>
    <w:rsid w:val="00253C63"/>
    <w:rsid w:val="00254100"/>
    <w:rsid w:val="00260A50"/>
    <w:rsid w:val="0027286E"/>
    <w:rsid w:val="00283E92"/>
    <w:rsid w:val="00287C41"/>
    <w:rsid w:val="00293B87"/>
    <w:rsid w:val="00295B53"/>
    <w:rsid w:val="0029711F"/>
    <w:rsid w:val="002A65EF"/>
    <w:rsid w:val="002D50CB"/>
    <w:rsid w:val="002F385E"/>
    <w:rsid w:val="00351168"/>
    <w:rsid w:val="003571BD"/>
    <w:rsid w:val="00376CFC"/>
    <w:rsid w:val="003B5727"/>
    <w:rsid w:val="003E12F7"/>
    <w:rsid w:val="003F46D0"/>
    <w:rsid w:val="0040455F"/>
    <w:rsid w:val="00431153"/>
    <w:rsid w:val="0044315B"/>
    <w:rsid w:val="0047363B"/>
    <w:rsid w:val="004D3EAF"/>
    <w:rsid w:val="00513F9B"/>
    <w:rsid w:val="00522BCE"/>
    <w:rsid w:val="00537C86"/>
    <w:rsid w:val="00542D1B"/>
    <w:rsid w:val="00542E90"/>
    <w:rsid w:val="005512C0"/>
    <w:rsid w:val="005516E7"/>
    <w:rsid w:val="0059338F"/>
    <w:rsid w:val="005A51FB"/>
    <w:rsid w:val="005A610F"/>
    <w:rsid w:val="005A6341"/>
    <w:rsid w:val="005B3DD8"/>
    <w:rsid w:val="005C69FC"/>
    <w:rsid w:val="005D58AB"/>
    <w:rsid w:val="005D737D"/>
    <w:rsid w:val="006058D6"/>
    <w:rsid w:val="006148C5"/>
    <w:rsid w:val="00621599"/>
    <w:rsid w:val="00660C65"/>
    <w:rsid w:val="00663133"/>
    <w:rsid w:val="006648CF"/>
    <w:rsid w:val="00707507"/>
    <w:rsid w:val="00712847"/>
    <w:rsid w:val="007421C2"/>
    <w:rsid w:val="00781856"/>
    <w:rsid w:val="0078439E"/>
    <w:rsid w:val="00813276"/>
    <w:rsid w:val="00813AAB"/>
    <w:rsid w:val="00814EAD"/>
    <w:rsid w:val="008168BB"/>
    <w:rsid w:val="0083747A"/>
    <w:rsid w:val="00847D4A"/>
    <w:rsid w:val="008B792E"/>
    <w:rsid w:val="008C6EDC"/>
    <w:rsid w:val="008D32F0"/>
    <w:rsid w:val="008E43B5"/>
    <w:rsid w:val="00907F04"/>
    <w:rsid w:val="009601E0"/>
    <w:rsid w:val="0097557C"/>
    <w:rsid w:val="009772CB"/>
    <w:rsid w:val="009923ED"/>
    <w:rsid w:val="009945A2"/>
    <w:rsid w:val="009A3F1E"/>
    <w:rsid w:val="009E0011"/>
    <w:rsid w:val="009F5B34"/>
    <w:rsid w:val="009F6A31"/>
    <w:rsid w:val="00A00D8A"/>
    <w:rsid w:val="00A01AF3"/>
    <w:rsid w:val="00A072CE"/>
    <w:rsid w:val="00A20D6D"/>
    <w:rsid w:val="00A403A4"/>
    <w:rsid w:val="00A459CC"/>
    <w:rsid w:val="00A52AF8"/>
    <w:rsid w:val="00A82A92"/>
    <w:rsid w:val="00AC562F"/>
    <w:rsid w:val="00AC78DD"/>
    <w:rsid w:val="00AF3DB0"/>
    <w:rsid w:val="00AF572A"/>
    <w:rsid w:val="00B00AD4"/>
    <w:rsid w:val="00B0339F"/>
    <w:rsid w:val="00B32730"/>
    <w:rsid w:val="00B6311A"/>
    <w:rsid w:val="00B75594"/>
    <w:rsid w:val="00B816B4"/>
    <w:rsid w:val="00BD1DD0"/>
    <w:rsid w:val="00BE48B9"/>
    <w:rsid w:val="00C0536C"/>
    <w:rsid w:val="00C24A72"/>
    <w:rsid w:val="00C53AB3"/>
    <w:rsid w:val="00C60046"/>
    <w:rsid w:val="00C8107B"/>
    <w:rsid w:val="00C9747C"/>
    <w:rsid w:val="00CB1877"/>
    <w:rsid w:val="00CB5856"/>
    <w:rsid w:val="00CF7522"/>
    <w:rsid w:val="00D0201D"/>
    <w:rsid w:val="00D120DB"/>
    <w:rsid w:val="00D169AE"/>
    <w:rsid w:val="00D6200B"/>
    <w:rsid w:val="00D77746"/>
    <w:rsid w:val="00D962A2"/>
    <w:rsid w:val="00D969C5"/>
    <w:rsid w:val="00DA7E2D"/>
    <w:rsid w:val="00DE32D9"/>
    <w:rsid w:val="00DF4638"/>
    <w:rsid w:val="00E03914"/>
    <w:rsid w:val="00E2166F"/>
    <w:rsid w:val="00E47962"/>
    <w:rsid w:val="00E63CB7"/>
    <w:rsid w:val="00E81243"/>
    <w:rsid w:val="00EA321D"/>
    <w:rsid w:val="00EE09AC"/>
    <w:rsid w:val="00F573F9"/>
    <w:rsid w:val="00F57474"/>
    <w:rsid w:val="00F62661"/>
    <w:rsid w:val="00F814F1"/>
    <w:rsid w:val="00F90958"/>
    <w:rsid w:val="00F92C69"/>
    <w:rsid w:val="00F92CDB"/>
    <w:rsid w:val="00FB3386"/>
    <w:rsid w:val="00FC2948"/>
    <w:rsid w:val="00FC6715"/>
    <w:rsid w:val="00FD158C"/>
    <w:rsid w:val="00FD6559"/>
    <w:rsid w:val="00FF423C"/>
    <w:rsid w:val="00FF6184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C137DB"/>
  <w15:docId w15:val="{480F5F7F-743A-455A-85EF-0E9A6E6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4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7C41"/>
    <w:pPr>
      <w:keepNext/>
      <w:numPr>
        <w:numId w:val="10"/>
      </w:numPr>
      <w:jc w:val="both"/>
      <w:outlineLvl w:val="0"/>
    </w:pPr>
    <w:rPr>
      <w:rFonts w:ascii="Times New Roman" w:hAnsi="Times New Roman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7C41"/>
    <w:pPr>
      <w:keepNext/>
      <w:numPr>
        <w:ilvl w:val="1"/>
        <w:numId w:val="10"/>
      </w:numPr>
      <w:jc w:val="both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7C41"/>
    <w:pPr>
      <w:keepNext/>
      <w:numPr>
        <w:ilvl w:val="2"/>
        <w:numId w:val="10"/>
      </w:numPr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287C41"/>
    <w:pPr>
      <w:keepNext/>
      <w:numPr>
        <w:ilvl w:val="3"/>
        <w:numId w:val="10"/>
      </w:numPr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287C41"/>
    <w:pPr>
      <w:keepNext/>
      <w:numPr>
        <w:ilvl w:val="4"/>
        <w:numId w:val="10"/>
      </w:numPr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287C41"/>
    <w:pPr>
      <w:keepNext/>
      <w:numPr>
        <w:ilvl w:val="5"/>
        <w:numId w:val="10"/>
      </w:numPr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287C41"/>
    <w:pPr>
      <w:keepNext/>
      <w:numPr>
        <w:ilvl w:val="6"/>
        <w:numId w:val="10"/>
      </w:numPr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287C41"/>
    <w:pPr>
      <w:keepNext/>
      <w:numPr>
        <w:ilvl w:val="7"/>
        <w:numId w:val="10"/>
      </w:numPr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287C41"/>
    <w:pPr>
      <w:keepNext/>
      <w:numPr>
        <w:ilvl w:val="8"/>
        <w:numId w:val="10"/>
      </w:numPr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7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7C41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287C41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287C41"/>
    <w:pPr>
      <w:spacing w:after="120"/>
    </w:pPr>
  </w:style>
  <w:style w:type="paragraph" w:customStyle="1" w:styleId="Reagents">
    <w:name w:val="Reagents"/>
    <w:basedOn w:val="Normal"/>
    <w:rsid w:val="00287C41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customStyle="1" w:styleId="Default">
    <w:name w:val="Default"/>
    <w:rsid w:val="00287C41"/>
    <w:pPr>
      <w:autoSpaceDE w:val="0"/>
      <w:autoSpaceDN w:val="0"/>
      <w:adjustRightInd w:val="0"/>
    </w:pPr>
    <w:rPr>
      <w:rFonts w:ascii="Helen Pro Cond" w:hAnsi="Helen Pro Cond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0">
    <w:name w:val="Pa10"/>
    <w:basedOn w:val="Normal"/>
    <w:next w:val="Normal"/>
    <w:rsid w:val="00287C41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Default"/>
    <w:next w:val="Default"/>
    <w:rsid w:val="00287C41"/>
    <w:pPr>
      <w:spacing w:line="151" w:lineRule="atLeast"/>
    </w:pPr>
    <w:rPr>
      <w:color w:val="auto"/>
    </w:rPr>
  </w:style>
  <w:style w:type="character" w:customStyle="1" w:styleId="A8">
    <w:name w:val="A8"/>
    <w:rsid w:val="00287C41"/>
    <w:rPr>
      <w:rFonts w:ascii="Helen Pro" w:hAnsi="Helen Pro"/>
      <w:color w:val="000000"/>
      <w:sz w:val="8"/>
      <w:szCs w:val="8"/>
    </w:rPr>
  </w:style>
  <w:style w:type="character" w:customStyle="1" w:styleId="A7">
    <w:name w:val="A7"/>
    <w:rsid w:val="00287C41"/>
    <w:rPr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rsid w:val="00287C41"/>
    <w:rPr>
      <w:color w:val="0000FF"/>
      <w:u w:val="single"/>
    </w:rPr>
  </w:style>
  <w:style w:type="paragraph" w:styleId="BodyTextIndent">
    <w:name w:val="Body Text Indent"/>
    <w:basedOn w:val="Normal"/>
    <w:semiHidden/>
    <w:rsid w:val="00287C41"/>
    <w:pPr>
      <w:ind w:left="-108"/>
    </w:pPr>
    <w:rPr>
      <w:rFonts w:cs="Arial"/>
      <w:b/>
      <w:bCs/>
      <w:color w:val="0000FF"/>
    </w:rPr>
  </w:style>
  <w:style w:type="paragraph" w:customStyle="1" w:styleId="TableText">
    <w:name w:val="Table Text"/>
    <w:basedOn w:val="Normal"/>
    <w:rsid w:val="00287C41"/>
    <w:pPr>
      <w:autoSpaceDE w:val="0"/>
      <w:autoSpaceDN w:val="0"/>
    </w:pPr>
    <w:rPr>
      <w:rFonts w:ascii="Times New Roman" w:hAnsi="Times New Roman"/>
    </w:rPr>
  </w:style>
  <w:style w:type="paragraph" w:customStyle="1" w:styleId="Pa27">
    <w:name w:val="Pa27"/>
    <w:basedOn w:val="Default"/>
    <w:next w:val="Default"/>
    <w:rsid w:val="00287C41"/>
    <w:pPr>
      <w:spacing w:line="141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unhideWhenUsed/>
    <w:rsid w:val="009C0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0037"/>
    <w:rPr>
      <w:rFonts w:ascii="Arial" w:hAnsi="Arial"/>
      <w:szCs w:val="24"/>
    </w:rPr>
  </w:style>
  <w:style w:type="character" w:customStyle="1" w:styleId="A9">
    <w:name w:val="A9"/>
    <w:uiPriority w:val="99"/>
    <w:rsid w:val="00CA766B"/>
    <w:rPr>
      <w:color w:val="000000"/>
      <w:sz w:val="8"/>
      <w:szCs w:val="8"/>
    </w:rPr>
  </w:style>
  <w:style w:type="paragraph" w:styleId="CommentText">
    <w:name w:val="annotation text"/>
    <w:basedOn w:val="Normal"/>
    <w:link w:val="CommentTextChar"/>
    <w:semiHidden/>
    <w:rsid w:val="00EF74E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4E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13F9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5E2"/>
    <w:pPr>
      <w:spacing w:before="240" w:after="60"/>
      <w:jc w:val="center"/>
    </w:pPr>
    <w:rPr>
      <w:rFonts w:ascii="Times New Roman" w:hAnsi="Times New Roman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65E2"/>
    <w:rPr>
      <w:rFonts w:cs="Arial"/>
      <w:b/>
      <w:bCs/>
      <w:kern w:val="28"/>
      <w:sz w:val="28"/>
      <w:szCs w:val="32"/>
    </w:rPr>
  </w:style>
  <w:style w:type="character" w:customStyle="1" w:styleId="tgc">
    <w:name w:val="_tgc"/>
    <w:basedOn w:val="DefaultParagraphFont"/>
    <w:rsid w:val="002265E2"/>
  </w:style>
  <w:style w:type="table" w:styleId="TableGrid">
    <w:name w:val="Table Grid"/>
    <w:basedOn w:val="TableNormal"/>
    <w:uiPriority w:val="59"/>
    <w:rsid w:val="003571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663133"/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emergency-and-safe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rnet.childrenshc.org/References/labsop/chem/quality/ch-2.17-unity-real-time-qc-review-general-us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2020-05-15T05:00:00+00:00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F6TN54CWY5RS-50183619-35882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6.44 Hepatitis C Antibody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CHEM</Owner>
    <Content_x0020_Release_x0020_Date xmlns="199f0838-75a6-4f0c-9be1-f2c07140bccc">2018-05-15T05:00:00+00:00</Content_x0020_Release_x0020_Date>
    <Summary xmlns="199f0838-75a6-4f0c-9be1-f2c07140bccc" xsi:nil="true"/>
    <SubTitle xmlns="199f0838-75a6-4f0c-9be1-f2c07140bccc" xsi:nil="true"/>
    <_dlc_DocIdUrl xmlns="199f0838-75a6-4f0c-9be1-f2c07140bccc">
      <Url>https://vcpsharepoint4.childrenshc.org/references/_layouts/15/DocIdRedir.aspx?ID=F6TN54CWY5RS-50183619-35882</Url>
      <Description>F6TN54CWY5RS-50183619-35882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29F5-5224-49F7-8AE2-7D0F2A48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F4924-055F-437A-BF96-931834C44D4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199f0838-75a6-4f0c-9be1-f2c07140bccc"/>
    <ds:schemaRef ds:uri="c1848e11-9cf6-4ce4-877e-6837d2c2fa23"/>
    <ds:schemaRef ds:uri="http://schemas.openxmlformats.org/package/2006/metadata/core-properties"/>
    <ds:schemaRef ds:uri="http://purl.org/dc/dcmitype/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4CB3B2-B889-495C-9217-71907AA5B9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F3DA06-553B-4E49-9126-4F0F347B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D1A3C0-697D-4FCF-B681-88C18F72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6.44 Hepatitis C Antibody</vt:lpstr>
    </vt:vector>
  </TitlesOfParts>
  <Company>Authorized User</Company>
  <LinksUpToDate>false</LinksUpToDate>
  <CharactersWithSpaces>17638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http://khan.childrensmn.org/Manuals/Lab/SOP/Chem/Procedure/206820.pdf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6.44 Hepatitis C Antibody</dc:title>
  <dc:creator>CE155076</dc:creator>
  <dc:description>New Method/Procedure: Abbott Architect.  ERB 5/15/18_x000d_
Updated Positive QC to Virotrol I ERB 5/1/2019</dc:description>
  <cp:lastModifiedBy>Erin Bartos</cp:lastModifiedBy>
  <cp:revision>28</cp:revision>
  <cp:lastPrinted>2018-05-07T15:08:00Z</cp:lastPrinted>
  <dcterms:created xsi:type="dcterms:W3CDTF">2018-05-08T16:12:00Z</dcterms:created>
  <dcterms:modified xsi:type="dcterms:W3CDTF">2020-12-04T20:37:00Z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226a3526-111e-4b82-8d72-3b72eb0dad4b</vt:lpwstr>
  </property>
</Properties>
</file>