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070"/>
        <w:gridCol w:w="9000"/>
      </w:tblGrid>
      <w:tr w:rsidR="008C6EDC" w:rsidTr="00D120DB">
        <w:trPr>
          <w:cantSplit/>
          <w:tblHeader/>
        </w:trPr>
        <w:tc>
          <w:tcPr>
            <w:tcW w:w="11070" w:type="dxa"/>
            <w:gridSpan w:val="2"/>
            <w:tcBorders>
              <w:bottom w:val="single" w:sz="18" w:space="0" w:color="A6A6A6" w:themeColor="background1" w:themeShade="A6"/>
            </w:tcBorders>
          </w:tcPr>
          <w:p w:rsidR="008C6EDC" w:rsidRDefault="00753ED7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b/>
                <w:bCs/>
                <w:color w:val="0000FF"/>
                <w:sz w:val="36"/>
              </w:rPr>
            </w:pPr>
            <w:r>
              <w:rPr>
                <w:rFonts w:cs="Arial"/>
                <w:b/>
                <w:bCs/>
                <w:color w:val="0000FF"/>
                <w:sz w:val="36"/>
              </w:rPr>
              <w:t>HIV</w:t>
            </w:r>
            <w:r w:rsidR="00BC3B49">
              <w:rPr>
                <w:rFonts w:cs="Arial"/>
                <w:b/>
                <w:bCs/>
                <w:color w:val="0000FF"/>
                <w:sz w:val="36"/>
              </w:rPr>
              <w:t xml:space="preserve"> </w:t>
            </w:r>
            <w:r w:rsidR="00D154D9">
              <w:rPr>
                <w:rFonts w:cs="Arial"/>
                <w:b/>
                <w:bCs/>
                <w:color w:val="0000FF"/>
                <w:sz w:val="36"/>
              </w:rPr>
              <w:t>Ag/Ab</w:t>
            </w:r>
            <w:r w:rsidR="001D270C">
              <w:rPr>
                <w:rFonts w:cs="Arial"/>
                <w:b/>
                <w:bCs/>
                <w:color w:val="0000FF"/>
                <w:sz w:val="36"/>
              </w:rPr>
              <w:t xml:space="preserve"> Screen with Reflex</w:t>
            </w:r>
          </w:p>
          <w:p w:rsidR="008C6EDC" w:rsidRDefault="00BC3B49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 </w:t>
            </w:r>
          </w:p>
        </w:tc>
      </w:tr>
      <w:tr w:rsidR="008C6EDC" w:rsidTr="00677231">
        <w:trPr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 w:rsidP="00753ED7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753ED7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Purpose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2F385E" w:rsidRDefault="002F385E" w:rsidP="00753ED7">
            <w:pPr>
              <w:rPr>
                <w:rFonts w:cs="Arial"/>
              </w:rPr>
            </w:pPr>
          </w:p>
          <w:p w:rsidR="001D270C" w:rsidRDefault="001D270C" w:rsidP="00753ED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1684C">
              <w:rPr>
                <w:rFonts w:cs="Arial"/>
              </w:rPr>
              <w:t xml:space="preserve">This procedure provides instructions for performing </w:t>
            </w:r>
            <w:r w:rsidR="00753ED7">
              <w:rPr>
                <w:rFonts w:cs="Arial"/>
                <w:szCs w:val="20"/>
              </w:rPr>
              <w:t xml:space="preserve">ARCHITECT HIV </w:t>
            </w:r>
            <w:r w:rsidR="00D154D9">
              <w:rPr>
                <w:rFonts w:cs="Arial"/>
                <w:szCs w:val="20"/>
              </w:rPr>
              <w:t>ANTIGEN/ANTIBODY SCREEN WITH REFLEX</w:t>
            </w:r>
            <w:r w:rsidRPr="0041684C">
              <w:rPr>
                <w:rFonts w:cs="Arial"/>
              </w:rPr>
              <w:t xml:space="preserve"> on the Abbott Architect i1000SR</w:t>
            </w:r>
          </w:p>
          <w:p w:rsidR="008C6EDC" w:rsidRPr="008634BF" w:rsidRDefault="008C6EDC" w:rsidP="00753ED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D270C" w:rsidTr="00677231">
        <w:trPr>
          <w:trHeight w:val="935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1D270C" w:rsidRDefault="001D270C" w:rsidP="008C6EDC">
            <w:pPr>
              <w:rPr>
                <w:rFonts w:cs="Arial"/>
                <w:b/>
                <w:bCs/>
                <w:color w:val="0000FF"/>
              </w:rPr>
            </w:pPr>
          </w:p>
          <w:p w:rsidR="001D270C" w:rsidRDefault="001D270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Policy Statements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1D270C" w:rsidRPr="001246C0" w:rsidRDefault="001D270C" w:rsidP="001D27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41684C">
              <w:rPr>
                <w:rFonts w:cs="Arial"/>
                <w:szCs w:val="15"/>
              </w:rPr>
              <w:t>This procedure applies to all personnel responsible for performing testing on the Abbott Architect i1000SR</w:t>
            </w:r>
          </w:p>
        </w:tc>
      </w:tr>
      <w:tr w:rsidR="008C6EDC" w:rsidTr="00677231">
        <w:trPr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D154D9" w:rsidRDefault="00D154D9">
            <w:pPr>
              <w:rPr>
                <w:rFonts w:cs="Arial"/>
                <w:b/>
                <w:bCs/>
                <w:color w:val="0000FF"/>
              </w:rPr>
            </w:pPr>
          </w:p>
          <w:p w:rsidR="00D154D9" w:rsidRDefault="00D154D9">
            <w:pPr>
              <w:rPr>
                <w:rFonts w:cs="Arial"/>
                <w:b/>
                <w:bCs/>
                <w:color w:val="0000FF"/>
              </w:rPr>
            </w:pPr>
          </w:p>
          <w:p w:rsidR="00D154D9" w:rsidRDefault="00D154D9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Principle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D154D9" w:rsidRDefault="00D154D9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:rsid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887394">
              <w:rPr>
                <w:rFonts w:eastAsia="HelenPro-Regular"/>
              </w:rPr>
              <w:t>The ARCHITECT HIV Ag/Ab Combo assay for use on the ARCHITECT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 xml:space="preserve">i System is a two-step immunoassay to determine the presence of </w:t>
            </w:r>
            <w:r w:rsidR="000F17DC">
              <w:rPr>
                <w:rFonts w:eastAsia="HelenPro-Regular"/>
              </w:rPr>
              <w:t>human immunodeficiency (</w:t>
            </w:r>
            <w:r w:rsidRPr="00887394">
              <w:rPr>
                <w:rFonts w:eastAsia="HelenPro-Regular"/>
              </w:rPr>
              <w:t>HIV</w:t>
            </w:r>
            <w:r w:rsidR="000F17DC">
              <w:rPr>
                <w:rFonts w:eastAsia="HelenPro-Regular"/>
              </w:rPr>
              <w:t>)</w:t>
            </w:r>
            <w:r w:rsidRPr="00887394">
              <w:rPr>
                <w:rFonts w:eastAsia="HelenPro-Regular"/>
              </w:rPr>
              <w:t>-1 p24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antigen, antibodies to HIV-1 (group M and group O), and antibodies to HIV-2 in</w:t>
            </w:r>
            <w:r>
              <w:rPr>
                <w:rFonts w:eastAsia="HelenPro-Regular"/>
              </w:rPr>
              <w:t xml:space="preserve"> </w:t>
            </w:r>
            <w:r w:rsidR="000F17DC">
              <w:rPr>
                <w:rFonts w:eastAsia="HelenPro-Regular"/>
              </w:rPr>
              <w:t>human serum or plasma using Chemiluminescent Microparticle Immunoassay (CMIA)</w:t>
            </w:r>
            <w:r w:rsidRPr="00887394">
              <w:rPr>
                <w:rFonts w:eastAsia="HelenPro-Regular"/>
              </w:rPr>
              <w:t xml:space="preserve"> technology with flexible assay protocols,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referred to as Chemiflex.</w:t>
            </w:r>
          </w:p>
          <w:p w:rsidR="00887394" w:rsidRP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:rsid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887394">
              <w:rPr>
                <w:rFonts w:eastAsia="HelenPro-Regular"/>
              </w:rPr>
              <w:t>In the first step, sample, ARCHITECT i Wash Buffer, assay diluent, and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 xml:space="preserve">paramagnetic microparticles are combined. </w:t>
            </w:r>
            <w:r w:rsidR="003F0F20"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HIV-1 p24 antigen and HIV-1/HIV</w:t>
            </w:r>
            <w:r w:rsidRPr="00887394">
              <w:rPr>
                <w:rFonts w:ascii="MS Gothic" w:eastAsia="HelenPro-Regular" w:hAnsi="MS Gothic" w:cs="MS Gothic" w:hint="eastAsia"/>
              </w:rPr>
              <w:t>‑</w:t>
            </w:r>
            <w:r w:rsidRPr="00887394">
              <w:rPr>
                <w:rFonts w:eastAsia="HelenPro-Regular" w:cs="Arial"/>
              </w:rPr>
              <w:t>2</w:t>
            </w:r>
            <w:r>
              <w:rPr>
                <w:rFonts w:eastAsia="HelenPro-Regular" w:cs="Arial"/>
              </w:rPr>
              <w:t xml:space="preserve"> </w:t>
            </w:r>
            <w:r w:rsidRPr="00887394">
              <w:rPr>
                <w:rFonts w:eastAsia="HelenPro-Regular"/>
              </w:rPr>
              <w:t>antibodies present in the sample bind to the HIV</w:t>
            </w:r>
            <w:r w:rsidRPr="00887394">
              <w:rPr>
                <w:rFonts w:ascii="MS Gothic" w:eastAsia="HelenPro-Regular" w:hAnsi="MS Gothic" w:cs="MS Gothic" w:hint="eastAsia"/>
              </w:rPr>
              <w:t>‑</w:t>
            </w:r>
            <w:r w:rsidRPr="00887394">
              <w:rPr>
                <w:rFonts w:eastAsia="HelenPro-Regular" w:cs="Arial"/>
              </w:rPr>
              <w:t>1/HIV-2 antigen and HIV-1 p24</w:t>
            </w:r>
            <w:r>
              <w:rPr>
                <w:rFonts w:eastAsia="HelenPro-Regular" w:cs="Arial"/>
              </w:rPr>
              <w:t xml:space="preserve"> </w:t>
            </w:r>
            <w:r w:rsidRPr="00887394">
              <w:rPr>
                <w:rFonts w:eastAsia="HelenPro-Regular"/>
              </w:rPr>
              <w:t>monoclonal (mouse) antibody coated microparticles. After washing, the bound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HIV-1 p24 antigen and HIV-1/HIV</w:t>
            </w:r>
            <w:r w:rsidRPr="00887394">
              <w:rPr>
                <w:rFonts w:ascii="MS Gothic" w:eastAsia="HelenPro-Regular" w:hAnsi="MS Gothic" w:cs="MS Gothic" w:hint="eastAsia"/>
              </w:rPr>
              <w:t>‑</w:t>
            </w:r>
            <w:r w:rsidRPr="00887394">
              <w:rPr>
                <w:rFonts w:eastAsia="HelenPro-Regular" w:cs="Arial"/>
              </w:rPr>
              <w:t>2 a</w:t>
            </w:r>
            <w:r w:rsidRPr="00887394">
              <w:rPr>
                <w:rFonts w:eastAsia="HelenPro-Regular"/>
              </w:rPr>
              <w:t>ntibodies bind to the acridinium-labeled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conjugates. Following another wash cycle, pre</w:t>
            </w:r>
            <w:r w:rsidRPr="00887394">
              <w:rPr>
                <w:rFonts w:ascii="MS Gothic" w:eastAsia="HelenPro-Regular" w:hAnsi="MS Gothic" w:cs="MS Gothic" w:hint="eastAsia"/>
              </w:rPr>
              <w:t>‑</w:t>
            </w:r>
            <w:r w:rsidRPr="00887394">
              <w:rPr>
                <w:rFonts w:eastAsia="HelenPro-Regular" w:cs="Arial"/>
              </w:rPr>
              <w:t>trigger and trigger solutions</w:t>
            </w:r>
            <w:r>
              <w:rPr>
                <w:rFonts w:eastAsia="HelenPro-Regular" w:cs="Arial"/>
              </w:rPr>
              <w:t xml:space="preserve"> </w:t>
            </w:r>
            <w:r w:rsidRPr="00887394">
              <w:rPr>
                <w:rFonts w:eastAsia="HelenPro-Regular"/>
              </w:rPr>
              <w:t>are added to the reaction mixture. The resulting chemiluminescent reaction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is measured as relative light units (RLU). A relationship exists between the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amount of HIV antigen and antibodies in the sample and the RLU detected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by the ARCHITECT i System optics. The presence or absence of HIV-1 p24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antigen or HIV-1/HIV</w:t>
            </w:r>
            <w:r w:rsidRPr="00887394">
              <w:rPr>
                <w:rFonts w:ascii="MS Gothic" w:eastAsia="HelenPro-Regular" w:hAnsi="MS Gothic" w:cs="MS Gothic" w:hint="eastAsia"/>
              </w:rPr>
              <w:t>‑</w:t>
            </w:r>
            <w:r w:rsidRPr="00887394">
              <w:rPr>
                <w:rFonts w:eastAsia="HelenPro-Regular" w:cs="Arial"/>
              </w:rPr>
              <w:t>2 antibodies in the specimen is determined by comparing</w:t>
            </w:r>
            <w:r>
              <w:rPr>
                <w:rFonts w:eastAsia="HelenPro-Regular" w:cs="Arial"/>
              </w:rPr>
              <w:t xml:space="preserve"> </w:t>
            </w:r>
            <w:r w:rsidRPr="00887394">
              <w:rPr>
                <w:rFonts w:eastAsia="HelenPro-Regular"/>
              </w:rPr>
              <w:t>the chemiluminescent signal in the reaction to the cutoff signal determined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 xml:space="preserve">from an ARCHITECT HIV Ag/Ab Combo calibration. </w:t>
            </w:r>
            <w:r w:rsidR="003F0F20"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Specimens with signal to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cutoff (S/CO) values greater than or equal to 1.00 are considered reactive for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HIV-1 p24 antigen or HIV-1/HIV-2 antibodies. Specimens with S/CO values less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than 1.00 are considered nonreactive for HIV-1 p24 antigen and HIV-1/ HIV</w:t>
            </w:r>
            <w:r w:rsidRPr="00887394">
              <w:rPr>
                <w:rFonts w:ascii="MS Gothic" w:eastAsia="HelenPro-Regular" w:hAnsi="MS Gothic" w:cs="MS Gothic" w:hint="eastAsia"/>
              </w:rPr>
              <w:t>‑</w:t>
            </w:r>
            <w:r w:rsidRPr="00887394">
              <w:rPr>
                <w:rFonts w:eastAsia="HelenPro-Regular" w:cs="Arial"/>
              </w:rPr>
              <w:t>2</w:t>
            </w:r>
            <w:r>
              <w:rPr>
                <w:rFonts w:eastAsia="HelenPro-Regular" w:cs="Arial"/>
              </w:rPr>
              <w:t xml:space="preserve"> </w:t>
            </w:r>
            <w:r w:rsidRPr="00887394">
              <w:rPr>
                <w:rFonts w:eastAsia="HelenPro-Regular"/>
              </w:rPr>
              <w:t>antibodies.</w:t>
            </w:r>
          </w:p>
          <w:p w:rsidR="00887394" w:rsidRP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:rsid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887394">
              <w:rPr>
                <w:rFonts w:eastAsia="HelenPro-Regular"/>
              </w:rPr>
              <w:t>Specimens that are initially reactive in the ARCHITECT HIV Ag/Ab Combo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 xml:space="preserve">assay should be retested in duplicate. </w:t>
            </w:r>
            <w:r w:rsidR="003F0F20"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Repeat reactivity is highly predictive of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the presence of HIV-1 p24 antigen and/or HIV-1/HIV-2 antibodies. However,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as with all immunoassays, the ARCHITECT HIV Ag/Ab Combo assay may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yield nonspecific reactions due to other causes, particularly when testing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in low prevalence populations. A repeatedly reactive specimen should be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investigated further with supplemental confirmatory HIV-specific tests, such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as immunoblots, antigen tests, and HIV nucleic acid tests. Supplemental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testing of repeatedly reactive specimens obtained from individuals with HIV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infection usually confirms the presence of HIV antibodies, HIV antigen, or HIV</w:t>
            </w:r>
            <w:r>
              <w:rPr>
                <w:rFonts w:eastAsia="HelenPro-Regular"/>
              </w:rPr>
              <w:t xml:space="preserve"> N</w:t>
            </w:r>
            <w:r w:rsidRPr="00887394">
              <w:rPr>
                <w:rFonts w:eastAsia="HelenPro-Regular"/>
              </w:rPr>
              <w:t>ucleic acid. A full differential diagnostic work-up for the diagnosis of AIDS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and AIDS-related conditions includes an examination of the patient’s immune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status and a clinical history.</w:t>
            </w:r>
          </w:p>
          <w:p w:rsidR="00887394" w:rsidRP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:rsidR="00887394" w:rsidRDefault="00887394" w:rsidP="00887394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887394">
              <w:rPr>
                <w:rFonts w:eastAsia="HelenPro-Regular"/>
              </w:rPr>
              <w:t>For additional information on system and assay technology, refer to the</w:t>
            </w:r>
            <w:r>
              <w:rPr>
                <w:rFonts w:eastAsia="HelenPro-Regular"/>
              </w:rPr>
              <w:t xml:space="preserve"> </w:t>
            </w:r>
            <w:r w:rsidRPr="00887394">
              <w:rPr>
                <w:rFonts w:eastAsia="HelenPro-Regular"/>
              </w:rPr>
              <w:t>ARCHITECT System Operations Manual, Section 3.</w:t>
            </w:r>
          </w:p>
          <w:p w:rsidR="001B1C87" w:rsidRPr="00253C63" w:rsidRDefault="001B1C87" w:rsidP="002F385E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8C6EDC" w:rsidTr="00677231">
        <w:trPr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Clinical Significance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1B1C87" w:rsidRDefault="001B1C87" w:rsidP="001B1C87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:rsid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  <w:r w:rsidRPr="001564C9">
              <w:rPr>
                <w:rFonts w:cs="Arial"/>
                <w:szCs w:val="15"/>
              </w:rPr>
              <w:t>Acquired immunodeficiency syndrome (AIDS) is caused by two types of human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immunodeficiency viruses, collectively design</w:t>
            </w:r>
            <w:r>
              <w:rPr>
                <w:rFonts w:cs="Arial"/>
                <w:szCs w:val="15"/>
              </w:rPr>
              <w:t>ated HIV.</w:t>
            </w:r>
            <w:r w:rsidR="003F0F20">
              <w:rPr>
                <w:rFonts w:cs="Arial"/>
                <w:szCs w:val="15"/>
              </w:rPr>
              <w:t xml:space="preserve">  </w:t>
            </w:r>
            <w:r w:rsidRPr="001564C9">
              <w:rPr>
                <w:rFonts w:cs="Arial"/>
                <w:szCs w:val="15"/>
              </w:rPr>
              <w:t>HIV is transmitted by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sexual contact, exposure to blood or blood products, and prenatal or perinatal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i</w:t>
            </w:r>
            <w:r>
              <w:rPr>
                <w:rFonts w:cs="Arial"/>
                <w:szCs w:val="15"/>
              </w:rPr>
              <w:t>nfection of a fetus or newborn.</w:t>
            </w:r>
            <w:r w:rsidRPr="001564C9">
              <w:rPr>
                <w:rFonts w:cs="Arial"/>
                <w:szCs w:val="15"/>
              </w:rPr>
              <w:t xml:space="preserve"> 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Antibodies against HIV are nearly always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detected in AIDS patients and HIV</w:t>
            </w:r>
            <w:r w:rsidRPr="001564C9">
              <w:rPr>
                <w:rFonts w:ascii="MS Gothic" w:eastAsia="MS Gothic" w:hAnsi="MS Gothic" w:cs="Arial" w:hint="eastAsia"/>
                <w:szCs w:val="15"/>
              </w:rPr>
              <w:t>‑</w:t>
            </w:r>
            <w:r w:rsidRPr="001564C9">
              <w:rPr>
                <w:rFonts w:cs="Arial"/>
                <w:szCs w:val="15"/>
              </w:rPr>
              <w:t>infected asymptomatic individuals.</w:t>
            </w:r>
          </w:p>
          <w:p w:rsidR="001564C9" w:rsidRP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  <w:p w:rsid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  <w:r w:rsidRPr="001564C9">
              <w:rPr>
                <w:rFonts w:cs="Arial"/>
                <w:szCs w:val="15"/>
              </w:rPr>
              <w:t>Phylogenetic analysis classifies HIV type 1 (HIV-1) into groups M (major),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N (non-M, non-O), O (outlier), and P. HIV</w:t>
            </w:r>
            <w:r w:rsidRPr="001564C9">
              <w:rPr>
                <w:rFonts w:ascii="MS Gothic" w:eastAsia="MS Gothic" w:hAnsi="MS Gothic" w:cs="Arial" w:hint="eastAsia"/>
                <w:szCs w:val="15"/>
              </w:rPr>
              <w:t>‑</w:t>
            </w:r>
            <w:r w:rsidRPr="001564C9">
              <w:rPr>
                <w:rFonts w:cs="Arial"/>
                <w:szCs w:val="15"/>
              </w:rPr>
              <w:t>1 group M is composed of genetic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subtypes (A-D, F-H, J, and K) and circul</w:t>
            </w:r>
            <w:r>
              <w:rPr>
                <w:rFonts w:cs="Arial"/>
                <w:szCs w:val="15"/>
              </w:rPr>
              <w:t xml:space="preserve">ating recombinant forms (CRFs). 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Group M viruses have spread throughout the world to cause the global AIDS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 xml:space="preserve">pandemic. 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 xml:space="preserve">However, the geographic distribution and regional </w:t>
            </w:r>
            <w:r w:rsidR="00C658D2" w:rsidRPr="001564C9">
              <w:rPr>
                <w:rFonts w:cs="Arial"/>
                <w:szCs w:val="15"/>
              </w:rPr>
              <w:t>predominance</w:t>
            </w:r>
            <w:r w:rsidRPr="001564C9">
              <w:rPr>
                <w:rFonts w:cs="Arial"/>
                <w:szCs w:val="15"/>
              </w:rPr>
              <w:t xml:space="preserve"> of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HIV</w:t>
            </w:r>
            <w:r w:rsidRPr="001564C9">
              <w:rPr>
                <w:rFonts w:ascii="MS Gothic" w:eastAsia="MS Gothic" w:hAnsi="MS Gothic" w:cs="Arial" w:hint="eastAsia"/>
                <w:szCs w:val="15"/>
              </w:rPr>
              <w:t>‑</w:t>
            </w:r>
            <w:r w:rsidRPr="001564C9">
              <w:rPr>
                <w:rFonts w:cs="Arial"/>
                <w:szCs w:val="15"/>
              </w:rPr>
              <w:t xml:space="preserve">1 subtypes and CRFs vary. 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HIV</w:t>
            </w:r>
            <w:r w:rsidRPr="001564C9">
              <w:rPr>
                <w:rFonts w:ascii="MS Gothic" w:eastAsia="MS Gothic" w:hAnsi="MS Gothic" w:cs="Arial" w:hint="eastAsia"/>
                <w:szCs w:val="15"/>
              </w:rPr>
              <w:t>‑</w:t>
            </w:r>
            <w:r w:rsidRPr="001564C9">
              <w:rPr>
                <w:rFonts w:cs="Arial"/>
                <w:szCs w:val="15"/>
              </w:rPr>
              <w:t>1 subtype B is the predominant subtype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in North America, South America, Europe, Japan, and Australia, although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other subtypes and CRFs are pr</w:t>
            </w:r>
            <w:r>
              <w:rPr>
                <w:rFonts w:cs="Arial"/>
                <w:szCs w:val="15"/>
              </w:rPr>
              <w:t>esent in these regions as well.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 xml:space="preserve"> A significant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percentage of new HIV-1 infections in Europe are caused by non-B subtype</w:t>
            </w:r>
            <w:r>
              <w:rPr>
                <w:rFonts w:cs="Arial"/>
                <w:szCs w:val="15"/>
              </w:rPr>
              <w:t xml:space="preserve"> strains.</w:t>
            </w:r>
            <w:r w:rsidR="003F0F20">
              <w:rPr>
                <w:rFonts w:cs="Arial"/>
                <w:szCs w:val="15"/>
              </w:rPr>
              <w:t xml:space="preserve">  </w:t>
            </w:r>
            <w:r w:rsidRPr="001564C9">
              <w:rPr>
                <w:rFonts w:cs="Arial"/>
                <w:szCs w:val="15"/>
              </w:rPr>
              <w:t>All subtypes and many recom</w:t>
            </w:r>
            <w:r>
              <w:rPr>
                <w:rFonts w:cs="Arial"/>
                <w:szCs w:val="15"/>
              </w:rPr>
              <w:t>binant strains exist in Africa.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 xml:space="preserve"> In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Asia, subtypes B and C, and CRF01_AE (formerly called subtype E) are</w:t>
            </w:r>
            <w:r>
              <w:rPr>
                <w:rFonts w:cs="Arial"/>
                <w:szCs w:val="15"/>
              </w:rPr>
              <w:t xml:space="preserve"> </w:t>
            </w:r>
            <w:r w:rsidR="003F0F20">
              <w:rPr>
                <w:rFonts w:cs="Arial"/>
                <w:szCs w:val="15"/>
              </w:rPr>
              <w:t xml:space="preserve">found. </w:t>
            </w:r>
            <w:r w:rsidRPr="001564C9">
              <w:rPr>
                <w:rFonts w:cs="Arial"/>
                <w:szCs w:val="15"/>
              </w:rPr>
              <w:t xml:space="preserve"> HIV-1 groups N, O, and P are endemic to west central Africa and are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relatively rare.</w:t>
            </w:r>
            <w:r w:rsidR="003F0F20">
              <w:rPr>
                <w:rFonts w:cs="Arial"/>
                <w:szCs w:val="15"/>
              </w:rPr>
              <w:t xml:space="preserve"> </w:t>
            </w:r>
            <w:r w:rsidR="00426D0B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However, group O infections have been identified in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Europe and the USA.</w:t>
            </w:r>
          </w:p>
          <w:p w:rsid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  <w:p w:rsid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  <w:r w:rsidRPr="001564C9">
              <w:rPr>
                <w:rFonts w:cs="Arial"/>
                <w:szCs w:val="15"/>
              </w:rPr>
              <w:t>HIV type 2 (HIV-2) is similar to HIV-1 in its structural morphology, genomic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organization, cell tropism, in vitro cytopathogenicity, transmission routes, and</w:t>
            </w:r>
            <w:r>
              <w:rPr>
                <w:rFonts w:cs="Arial"/>
                <w:szCs w:val="15"/>
              </w:rPr>
              <w:t xml:space="preserve"> </w:t>
            </w:r>
            <w:r w:rsidR="003F0F20">
              <w:rPr>
                <w:rFonts w:cs="Arial"/>
                <w:szCs w:val="15"/>
              </w:rPr>
              <w:t xml:space="preserve">ability to cause AIDS. </w:t>
            </w:r>
            <w:r w:rsidRPr="001564C9">
              <w:rPr>
                <w:rFonts w:cs="Arial"/>
                <w:szCs w:val="15"/>
              </w:rPr>
              <w:t xml:space="preserve"> HIV-2 is endemic to West Africa, but HIV-2 infections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have been identified in North America and Europe at a low frequency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compared to HIV-1.</w:t>
            </w:r>
          </w:p>
          <w:p w:rsid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  <w:p w:rsid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  <w:r w:rsidRPr="001564C9">
              <w:rPr>
                <w:rFonts w:cs="Arial"/>
                <w:szCs w:val="15"/>
              </w:rPr>
              <w:t xml:space="preserve"> Early after infection with HIV-1, but prior to seroconversion, HIV-1 core protein,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p24 antigen, may be detected in HIV-1</w:t>
            </w:r>
            <w:r w:rsidRPr="001564C9">
              <w:rPr>
                <w:rFonts w:ascii="MS Gothic" w:eastAsia="MS Gothic" w:hAnsi="MS Gothic" w:cs="Arial" w:hint="eastAsia"/>
                <w:szCs w:val="15"/>
              </w:rPr>
              <w:t>‑</w:t>
            </w:r>
            <w:r w:rsidR="003F0F20">
              <w:rPr>
                <w:rFonts w:cs="Arial"/>
                <w:szCs w:val="15"/>
              </w:rPr>
              <w:t xml:space="preserve">infected individuals. </w:t>
            </w:r>
            <w:r w:rsidRPr="001564C9">
              <w:rPr>
                <w:rFonts w:cs="Arial"/>
                <w:szCs w:val="15"/>
              </w:rPr>
              <w:t xml:space="preserve"> ARCHITECT HIV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Ag/Ab Combo uses anti-HIV-1 p24 antibodies as reagents to detect HIV-1 p24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antigen, thereby decreasing the window period and improving early detection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of HIV infection.</w:t>
            </w:r>
          </w:p>
          <w:p w:rsidR="001564C9" w:rsidRPr="001564C9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  <w:p w:rsidR="008C6EDC" w:rsidRDefault="001564C9" w:rsidP="001564C9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  <w:r w:rsidRPr="001564C9">
              <w:rPr>
                <w:rFonts w:cs="Arial"/>
                <w:szCs w:val="15"/>
              </w:rPr>
              <w:t>The key immunogenic protein for serodetection of HIV infection is the viral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transmembrane protein (TMP).</w:t>
            </w:r>
            <w:r w:rsidR="003F0F20"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 xml:space="preserve"> Antibodies against the TMP are consistently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among the first to appear during seroconversion of HIV-infected individuals and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remain relatively strong throughout the asymptomatic and symptomatic stages</w:t>
            </w:r>
            <w:r>
              <w:rPr>
                <w:rFonts w:cs="Arial"/>
                <w:szCs w:val="15"/>
              </w:rPr>
              <w:t xml:space="preserve"> </w:t>
            </w:r>
            <w:r w:rsidR="003F0F20">
              <w:rPr>
                <w:rFonts w:cs="Arial"/>
                <w:szCs w:val="15"/>
              </w:rPr>
              <w:t xml:space="preserve">of HIV infection. </w:t>
            </w:r>
            <w:r w:rsidRPr="001564C9">
              <w:rPr>
                <w:rFonts w:cs="Arial"/>
                <w:szCs w:val="15"/>
              </w:rPr>
              <w:t xml:space="preserve"> ARCHITECT HIV Ag/Ab Combo detects antibodies to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HIV-1 groups M and O, and HIV-2 through the use of five recombinant proteins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and two synthetic peptides derived from native TMP sequences of HIV-1</w:t>
            </w:r>
            <w:r>
              <w:rPr>
                <w:rFonts w:cs="Arial"/>
                <w:szCs w:val="15"/>
              </w:rPr>
              <w:t xml:space="preserve"> </w:t>
            </w:r>
            <w:r w:rsidRPr="001564C9">
              <w:rPr>
                <w:rFonts w:cs="Arial"/>
                <w:szCs w:val="15"/>
              </w:rPr>
              <w:t>groups M and O, and HIV-2</w:t>
            </w:r>
            <w:r w:rsidR="003F0F20">
              <w:rPr>
                <w:rFonts w:cs="Arial"/>
                <w:szCs w:val="15"/>
              </w:rPr>
              <w:t>.</w:t>
            </w:r>
          </w:p>
          <w:p w:rsidR="001B1C87" w:rsidRDefault="001B1C87" w:rsidP="00D0201D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</w:tc>
      </w:tr>
      <w:tr w:rsidR="008C6EDC" w:rsidTr="00677231">
        <w:trPr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D154D9" w:rsidRDefault="00D154D9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Instrument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D154D9" w:rsidRDefault="00D154D9" w:rsidP="001D270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/>
                <w:bCs/>
                <w:color w:val="5F497A"/>
              </w:rPr>
            </w:pPr>
          </w:p>
          <w:p w:rsidR="001D270C" w:rsidRDefault="001B568D" w:rsidP="001D270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</w:pPr>
            <w:r w:rsidRPr="00D05869">
              <w:rPr>
                <w:b/>
                <w:bCs/>
                <w:color w:val="5F497A"/>
              </w:rPr>
              <w:t>PRIMARY METHOD:</w:t>
            </w:r>
            <w:r w:rsidRPr="00B101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Abbott Alinity ci (Sunquest method code MACI)</w:t>
            </w:r>
          </w:p>
          <w:p w:rsidR="001B568D" w:rsidRPr="001B568D" w:rsidRDefault="001B568D" w:rsidP="001D270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Cs/>
              </w:rPr>
            </w:pPr>
            <w:r w:rsidRPr="00441910">
              <w:rPr>
                <w:b/>
                <w:bCs/>
                <w:color w:val="984806" w:themeColor="accent6" w:themeShade="80"/>
              </w:rPr>
              <w:t xml:space="preserve">PRIMARY METHOD: </w:t>
            </w:r>
            <w:r>
              <w:rPr>
                <w:bCs/>
              </w:rPr>
              <w:t>Abbott Architect i1000SR (Sunquest method code: AI1)</w:t>
            </w:r>
          </w:p>
          <w:p w:rsidR="001D270C" w:rsidRDefault="001B568D" w:rsidP="001D270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</w:rPr>
            </w:pPr>
            <w:r>
              <w:rPr>
                <w:bCs/>
              </w:rPr>
              <w:t>C</w:t>
            </w:r>
            <w:r w:rsidR="003F0F20">
              <w:rPr>
                <w:bCs/>
              </w:rPr>
              <w:t>onfirmatory</w:t>
            </w:r>
            <w:r w:rsidR="001D270C" w:rsidRPr="003F0F20">
              <w:rPr>
                <w:bCs/>
              </w:rPr>
              <w:t xml:space="preserve">: Mayo Medical </w:t>
            </w:r>
            <w:r w:rsidR="00426D0B" w:rsidRPr="003F0F20">
              <w:rPr>
                <w:bCs/>
              </w:rPr>
              <w:t>Laboratories</w:t>
            </w:r>
            <w:r w:rsidR="001D270C" w:rsidRPr="003F0F20">
              <w:rPr>
                <w:bCs/>
              </w:rPr>
              <w:t xml:space="preserve"> </w:t>
            </w:r>
          </w:p>
          <w:p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15"/>
              </w:rPr>
            </w:pPr>
          </w:p>
        </w:tc>
      </w:tr>
      <w:tr w:rsidR="00B816B4" w:rsidTr="00D154D9">
        <w:trPr>
          <w:trHeight w:val="1008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Sunquest Test Code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1D270C" w:rsidRDefault="001D270C" w:rsidP="001D270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/>
                <w:bCs/>
                <w:color w:val="5F497A"/>
              </w:rPr>
            </w:pPr>
          </w:p>
          <w:p w:rsidR="001B568D" w:rsidRPr="001B568D" w:rsidRDefault="001D270C" w:rsidP="00D154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/>
                <w:bCs/>
              </w:rPr>
            </w:pPr>
            <w:r w:rsidRPr="00D05869">
              <w:rPr>
                <w:b/>
                <w:bCs/>
                <w:color w:val="5F497A"/>
              </w:rPr>
              <w:t>PRIMARY METHOD:</w:t>
            </w:r>
            <w:r w:rsidRPr="00B101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HIVI</w:t>
            </w:r>
          </w:p>
          <w:p w:rsidR="003F0F20" w:rsidRPr="00D154D9" w:rsidRDefault="003F0F20" w:rsidP="00D154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Confirmatory</w:t>
            </w:r>
            <w:r>
              <w:rPr>
                <w:b/>
                <w:bCs/>
              </w:rPr>
              <w:t>: HIV</w:t>
            </w:r>
            <w:r w:rsidR="005A33A5">
              <w:rPr>
                <w:b/>
                <w:bCs/>
              </w:rPr>
              <w:t>DI</w:t>
            </w:r>
          </w:p>
        </w:tc>
      </w:tr>
      <w:tr w:rsidR="008C6EDC" w:rsidTr="00677231">
        <w:trPr>
          <w:cantSplit/>
          <w:trHeight w:val="2095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</w:t>
            </w:r>
          </w:p>
          <w:p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  <w:p w:rsidR="008C6EDC" w:rsidRPr="006618B0" w:rsidRDefault="00D0201D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  <w:r w:rsidRPr="00D154D9">
              <w:rPr>
                <w:rFonts w:cs="Arial"/>
                <w:b/>
              </w:rPr>
              <w:t>Sample type:</w:t>
            </w:r>
            <w:r w:rsidR="001D270C" w:rsidRPr="00D154D9">
              <w:rPr>
                <w:rFonts w:cs="Arial"/>
                <w:b/>
              </w:rPr>
              <w:t xml:space="preserve"> </w:t>
            </w:r>
            <w:r w:rsidR="00AD4510">
              <w:rPr>
                <w:rFonts w:cs="Arial"/>
              </w:rPr>
              <w:t xml:space="preserve">EDTA </w:t>
            </w:r>
            <w:proofErr w:type="gramStart"/>
            <w:r w:rsidR="00AD4510">
              <w:rPr>
                <w:rFonts w:cs="Arial"/>
              </w:rPr>
              <w:t>plasma</w:t>
            </w:r>
            <w:r w:rsidR="006618B0">
              <w:rPr>
                <w:rFonts w:cs="Arial"/>
              </w:rPr>
              <w:t xml:space="preserve">  </w:t>
            </w:r>
            <w:r w:rsidR="006618B0">
              <w:rPr>
                <w:rFonts w:cs="Arial"/>
                <w:b/>
              </w:rPr>
              <w:t>Alternative</w:t>
            </w:r>
            <w:proofErr w:type="gramEnd"/>
            <w:r w:rsidR="006618B0">
              <w:rPr>
                <w:rFonts w:cs="Arial"/>
                <w:b/>
              </w:rPr>
              <w:t xml:space="preserve"> tubes: </w:t>
            </w:r>
            <w:r w:rsidR="006618B0">
              <w:rPr>
                <w:rFonts w:cs="Arial"/>
              </w:rPr>
              <w:t xml:space="preserve">Lithium heparin (gel </w:t>
            </w:r>
            <w:r w:rsidR="00AD4510">
              <w:rPr>
                <w:rFonts w:cs="Arial"/>
              </w:rPr>
              <w:t>or no gel), Sodium heparin, SST</w:t>
            </w:r>
            <w:r w:rsidR="006618B0">
              <w:rPr>
                <w:rFonts w:cs="Arial"/>
              </w:rPr>
              <w:t xml:space="preserve">.  </w:t>
            </w:r>
            <w:r w:rsidR="006618B0">
              <w:rPr>
                <w:rFonts w:cs="Arial"/>
                <w:b/>
              </w:rPr>
              <w:t>Please note, using an alternative tube type does not allow for confirmatory testing.  Patient will need to be re-drawn to perform confirmatory testing.</w:t>
            </w:r>
          </w:p>
          <w:p w:rsidR="008C6EDC" w:rsidRPr="00D154D9" w:rsidRDefault="008C6EDC" w:rsidP="00FC6715">
            <w:pPr>
              <w:rPr>
                <w:rFonts w:cs="Arial"/>
              </w:rPr>
            </w:pPr>
          </w:p>
          <w:p w:rsidR="001D270C" w:rsidRPr="003F0F20" w:rsidRDefault="003F0F20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Preferred </w:t>
            </w:r>
            <w:r w:rsidR="001D270C" w:rsidRPr="00D154D9">
              <w:rPr>
                <w:rFonts w:ascii="Arial" w:hAnsi="Arial" w:cs="Arial"/>
                <w:b/>
                <w:bCs/>
                <w:sz w:val="20"/>
                <w:szCs w:val="20"/>
              </w:rPr>
              <w:t>Sample Draw Volume</w:t>
            </w:r>
            <w:r w:rsidR="001D270C" w:rsidRPr="00D154D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F17DC" w:rsidRPr="003F0F20">
              <w:rPr>
                <w:rFonts w:ascii="Arial" w:hAnsi="Arial" w:cs="Arial"/>
                <w:sz w:val="20"/>
                <w:szCs w:val="20"/>
              </w:rPr>
              <w:t>3.0</w:t>
            </w:r>
            <w:r w:rsidR="001D270C" w:rsidRPr="003F0F20">
              <w:rPr>
                <w:rFonts w:ascii="Arial" w:hAnsi="Arial" w:cs="Arial"/>
                <w:sz w:val="20"/>
                <w:szCs w:val="20"/>
              </w:rPr>
              <w:t xml:space="preserve"> mL </w:t>
            </w:r>
          </w:p>
          <w:p w:rsidR="001D270C" w:rsidRPr="00D154D9" w:rsidRDefault="000F17D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D270C" w:rsidRDefault="003F0F20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</w:t>
            </w:r>
            <w:r w:rsidR="001D270C" w:rsidRPr="00D154D9">
              <w:rPr>
                <w:rFonts w:ascii="Arial" w:hAnsi="Arial" w:cs="Arial"/>
                <w:b/>
                <w:bCs/>
                <w:sz w:val="20"/>
                <w:szCs w:val="20"/>
              </w:rPr>
              <w:t>Processed Volume: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0.5 mL</w:t>
            </w:r>
            <w:r w:rsidR="001D270C" w:rsidRPr="00D154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7DC">
              <w:rPr>
                <w:rFonts w:ascii="Arial" w:hAnsi="Arial" w:cs="Arial"/>
                <w:sz w:val="20"/>
                <w:szCs w:val="20"/>
              </w:rPr>
              <w:t xml:space="preserve">(does not permit confirmation testing and is not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0F17DC">
              <w:rPr>
                <w:rFonts w:ascii="Arial" w:hAnsi="Arial" w:cs="Arial"/>
                <w:sz w:val="20"/>
                <w:szCs w:val="20"/>
              </w:rPr>
              <w:t>recommended)</w:t>
            </w:r>
          </w:p>
          <w:p w:rsidR="00095F9D" w:rsidRDefault="00095F9D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95F9D" w:rsidRP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95F9D">
              <w:rPr>
                <w:rFonts w:ascii="Arial" w:hAnsi="Arial" w:cs="Arial"/>
                <w:sz w:val="20"/>
                <w:szCs w:val="20"/>
              </w:rPr>
              <w:t>Maximum number of replicates sampled from the same sample cup: 10</w:t>
            </w:r>
          </w:p>
          <w:p w:rsidR="00095F9D" w:rsidRP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Priority Loaded:</w:t>
            </w:r>
          </w:p>
          <w:p w:rsidR="00095F9D" w:rsidRP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◦</w:t>
            </w:r>
            <w:r w:rsidRPr="00095F9D">
              <w:rPr>
                <w:rFonts w:ascii="Arial" w:hAnsi="Arial" w:cs="Arial"/>
                <w:sz w:val="20"/>
                <w:szCs w:val="20"/>
              </w:rPr>
              <w:t>Sample volume for first test: 150 μL</w:t>
            </w:r>
          </w:p>
          <w:p w:rsid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◦</w:t>
            </w:r>
            <w:r w:rsidRPr="00095F9D">
              <w:rPr>
                <w:rFonts w:ascii="Arial" w:hAnsi="Arial" w:cs="Arial"/>
                <w:sz w:val="20"/>
                <w:szCs w:val="20"/>
              </w:rPr>
              <w:t>Sample volume for each additional test from same sample cup: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F9D">
              <w:rPr>
                <w:rFonts w:ascii="Arial" w:hAnsi="Arial" w:cs="Arial"/>
                <w:sz w:val="20"/>
                <w:szCs w:val="20"/>
              </w:rPr>
              <w:t>100 μL</w:t>
            </w:r>
          </w:p>
          <w:p w:rsidR="00095F9D" w:rsidRP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95F9D" w:rsidRP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Routinely Loaded:</w:t>
            </w:r>
          </w:p>
          <w:p w:rsidR="00095F9D" w:rsidRPr="00095F9D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◦</w:t>
            </w:r>
            <w:r w:rsidRPr="00095F9D">
              <w:rPr>
                <w:rFonts w:ascii="Arial" w:hAnsi="Arial" w:cs="Arial"/>
                <w:sz w:val="20"/>
                <w:szCs w:val="20"/>
              </w:rPr>
              <w:t>Sample volume for first test: 150 μL</w:t>
            </w:r>
          </w:p>
          <w:p w:rsidR="00095F9D" w:rsidRPr="003F0F20" w:rsidRDefault="00095F9D" w:rsidP="00095F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◦</w:t>
            </w:r>
            <w:r w:rsidRPr="00095F9D">
              <w:rPr>
                <w:rFonts w:ascii="Arial" w:hAnsi="Arial" w:cs="Arial"/>
                <w:sz w:val="20"/>
                <w:szCs w:val="20"/>
              </w:rPr>
              <w:t>Sample volume for each additional test from same sample cup: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F9D">
              <w:rPr>
                <w:rFonts w:ascii="Arial" w:hAnsi="Arial" w:cs="Arial"/>
                <w:sz w:val="20"/>
                <w:szCs w:val="20"/>
              </w:rPr>
              <w:t>100 μL</w:t>
            </w:r>
          </w:p>
          <w:p w:rsidR="001D270C" w:rsidRPr="00D154D9" w:rsidRDefault="000F17D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b/>
                <w:bCs/>
                <w:sz w:val="20"/>
                <w:szCs w:val="20"/>
              </w:rPr>
              <w:t>Sample Stability</w:t>
            </w:r>
            <w:r w:rsidRPr="00D154D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sz w:val="20"/>
                <w:szCs w:val="20"/>
              </w:rPr>
              <w:tab/>
            </w:r>
            <w:r w:rsidR="003F0F20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Pr="00D154D9">
              <w:rPr>
                <w:rFonts w:ascii="Arial" w:hAnsi="Arial" w:cs="Arial"/>
                <w:sz w:val="20"/>
                <w:szCs w:val="20"/>
              </w:rPr>
              <w:t>3 day</w:t>
            </w:r>
            <w:r w:rsidR="000F17DC">
              <w:rPr>
                <w:rFonts w:ascii="Arial" w:hAnsi="Arial" w:cs="Arial"/>
                <w:sz w:val="20"/>
                <w:szCs w:val="20"/>
              </w:rPr>
              <w:t>s</w:t>
            </w:r>
            <w:r w:rsidR="003F0F20">
              <w:rPr>
                <w:rFonts w:ascii="Arial" w:hAnsi="Arial" w:cs="Arial"/>
                <w:sz w:val="20"/>
                <w:szCs w:val="20"/>
              </w:rPr>
              <w:t xml:space="preserve"> (separated)</w:t>
            </w:r>
            <w:r w:rsidRPr="00D154D9">
              <w:rPr>
                <w:rFonts w:ascii="Arial" w:hAnsi="Arial" w:cs="Arial"/>
                <w:sz w:val="20"/>
                <w:szCs w:val="20"/>
              </w:rPr>
              <w:t xml:space="preserve"> @ room temp</w:t>
            </w:r>
            <w:r w:rsidR="000F17DC">
              <w:rPr>
                <w:rFonts w:ascii="Arial" w:hAnsi="Arial" w:cs="Arial"/>
                <w:sz w:val="20"/>
                <w:szCs w:val="20"/>
              </w:rPr>
              <w:t>erature</w:t>
            </w:r>
            <w:r w:rsidRPr="00D154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270C" w:rsidRPr="00D154D9" w:rsidRDefault="003F0F20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Up to 7 days refrigerated @ 2-8°C</w:t>
            </w: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sz w:val="20"/>
                <w:szCs w:val="20"/>
              </w:rPr>
              <w:tab/>
            </w:r>
            <w:r w:rsidR="003F0F20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Pr="00D154D9">
              <w:rPr>
                <w:rFonts w:ascii="Arial" w:hAnsi="Arial" w:cs="Arial"/>
                <w:sz w:val="20"/>
                <w:szCs w:val="20"/>
              </w:rPr>
              <w:t xml:space="preserve">2 years </w:t>
            </w:r>
            <w:r w:rsidR="003F0F20">
              <w:rPr>
                <w:rFonts w:ascii="Arial" w:hAnsi="Arial" w:cs="Arial"/>
                <w:sz w:val="20"/>
                <w:szCs w:val="20"/>
              </w:rPr>
              <w:t xml:space="preserve">frozen </w:t>
            </w:r>
            <w:r w:rsidRPr="00D154D9">
              <w:rPr>
                <w:rFonts w:ascii="Arial" w:hAnsi="Arial" w:cs="Arial"/>
                <w:sz w:val="20"/>
                <w:szCs w:val="20"/>
              </w:rPr>
              <w:t>@ -20°</w:t>
            </w:r>
            <w:r w:rsidR="003F0F20">
              <w:rPr>
                <w:rFonts w:ascii="Arial" w:hAnsi="Arial" w:cs="Arial"/>
                <w:sz w:val="20"/>
                <w:szCs w:val="20"/>
              </w:rPr>
              <w:t>C</w:t>
            </w:r>
            <w:r w:rsidRPr="00D154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Processing: </w:t>
            </w: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sz w:val="20"/>
                <w:szCs w:val="20"/>
              </w:rPr>
              <w:t>Centrifuge specimen within one hour of coll</w:t>
            </w:r>
            <w:r w:rsidR="00AD4510">
              <w:rPr>
                <w:rFonts w:ascii="Arial" w:hAnsi="Arial" w:cs="Arial"/>
                <w:sz w:val="20"/>
                <w:szCs w:val="20"/>
              </w:rPr>
              <w:t>ection. Remove EDTA plasma</w:t>
            </w:r>
            <w:r w:rsidR="000F17DC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="00095F9D">
              <w:rPr>
                <w:rFonts w:ascii="Arial" w:hAnsi="Arial" w:cs="Arial"/>
                <w:sz w:val="20"/>
                <w:szCs w:val="20"/>
              </w:rPr>
              <w:t>a pilot tube.</w:t>
            </w:r>
          </w:p>
          <w:p w:rsidR="001D270C" w:rsidRDefault="001D270C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F0F20" w:rsidRPr="00AD4510" w:rsidRDefault="003F0F20" w:rsidP="001D270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F0F20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sz w:val="20"/>
                <w:szCs w:val="20"/>
              </w:rPr>
              <w:t>: Ship refrigerated</w:t>
            </w:r>
            <w:r w:rsidR="005A33A5">
              <w:rPr>
                <w:rFonts w:ascii="Arial" w:hAnsi="Arial" w:cs="Arial"/>
                <w:sz w:val="20"/>
                <w:szCs w:val="20"/>
              </w:rPr>
              <w:t xml:space="preserve"> @ 2-8°C</w:t>
            </w:r>
            <w:r>
              <w:rPr>
                <w:rFonts w:ascii="Arial" w:hAnsi="Arial" w:cs="Arial"/>
                <w:sz w:val="20"/>
                <w:szCs w:val="20"/>
              </w:rPr>
              <w:t xml:space="preserve"> to Minneapolis lab</w:t>
            </w:r>
            <w:r w:rsidR="00C658D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658D2" w:rsidRPr="00AD4510">
              <w:rPr>
                <w:rFonts w:ascii="Arial" w:hAnsi="Arial" w:cs="Arial"/>
                <w:b/>
                <w:sz w:val="20"/>
                <w:szCs w:val="20"/>
              </w:rPr>
              <w:t xml:space="preserve">Confirmation testing to Mayo must be </w:t>
            </w:r>
            <w:r w:rsidR="00AD4510" w:rsidRPr="00AD4510">
              <w:rPr>
                <w:rFonts w:ascii="Arial" w:hAnsi="Arial" w:cs="Arial"/>
                <w:b/>
                <w:sz w:val="20"/>
                <w:szCs w:val="20"/>
              </w:rPr>
              <w:t xml:space="preserve">EDTA plasma and </w:t>
            </w:r>
            <w:r w:rsidR="00C658D2" w:rsidRPr="00AD4510">
              <w:rPr>
                <w:rFonts w:ascii="Arial" w:hAnsi="Arial" w:cs="Arial"/>
                <w:b/>
                <w:sz w:val="20"/>
                <w:szCs w:val="20"/>
              </w:rPr>
              <w:t>sent frozen.</w:t>
            </w:r>
          </w:p>
          <w:p w:rsidR="003F0F20" w:rsidRPr="00D154D9" w:rsidRDefault="003F0F20" w:rsidP="001D270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D270C" w:rsidRPr="00D154D9" w:rsidRDefault="001D270C" w:rsidP="001D270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154D9">
              <w:rPr>
                <w:rFonts w:ascii="Arial" w:hAnsi="Arial" w:cs="Arial"/>
                <w:b/>
                <w:sz w:val="20"/>
                <w:szCs w:val="20"/>
              </w:rPr>
              <w:t xml:space="preserve">Rejection Criteria: </w:t>
            </w:r>
          </w:p>
          <w:p w:rsidR="001D270C" w:rsidRPr="00D154D9" w:rsidRDefault="001D270C" w:rsidP="001D270C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sz w:val="20"/>
                <w:szCs w:val="20"/>
              </w:rPr>
              <w:t>Sp</w:t>
            </w:r>
            <w:r w:rsidR="00AF1086">
              <w:rPr>
                <w:rFonts w:ascii="Arial" w:hAnsi="Arial" w:cs="Arial"/>
                <w:sz w:val="20"/>
                <w:szCs w:val="20"/>
              </w:rPr>
              <w:t>ecimens not separated within one</w:t>
            </w:r>
            <w:r w:rsidRPr="00D154D9">
              <w:rPr>
                <w:rFonts w:ascii="Arial" w:hAnsi="Arial" w:cs="Arial"/>
                <w:sz w:val="20"/>
                <w:szCs w:val="20"/>
              </w:rPr>
              <w:t xml:space="preserve"> hour of collection. </w:t>
            </w:r>
          </w:p>
          <w:p w:rsidR="001D270C" w:rsidRPr="00D154D9" w:rsidRDefault="001D270C" w:rsidP="001D270C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sz w:val="20"/>
                <w:szCs w:val="20"/>
              </w:rPr>
              <w:t xml:space="preserve">Mislabeled or unlabeled specimen </w:t>
            </w:r>
          </w:p>
          <w:p w:rsidR="0038646D" w:rsidRPr="00D154D9" w:rsidRDefault="0038646D" w:rsidP="001D270C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D154D9">
              <w:rPr>
                <w:rFonts w:ascii="Arial" w:hAnsi="Arial" w:cs="Arial"/>
                <w:sz w:val="20"/>
                <w:szCs w:val="20"/>
              </w:rPr>
              <w:t>grossly hemolyzed</w:t>
            </w:r>
          </w:p>
          <w:p w:rsidR="008C6EDC" w:rsidRDefault="008C6EDC" w:rsidP="00FC671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816B4" w:rsidTr="00677231">
        <w:trPr>
          <w:trHeight w:val="5417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</w:p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Reagents</w:t>
            </w:r>
          </w:p>
          <w:p w:rsidR="00B816B4" w:rsidRDefault="00B816B4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Pr="00EF1741" w:rsidRDefault="00B816B4" w:rsidP="008C6EDC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7"/>
              <w:gridCol w:w="1710"/>
              <w:gridCol w:w="4140"/>
              <w:gridCol w:w="393"/>
            </w:tblGrid>
            <w:tr w:rsidR="00B816B4">
              <w:tc>
                <w:tcPr>
                  <w:tcW w:w="2857" w:type="dxa"/>
                </w:tcPr>
                <w:p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710" w:type="dxa"/>
                </w:tcPr>
                <w:p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Product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Code</w:t>
                  </w:r>
                </w:p>
              </w:tc>
              <w:tc>
                <w:tcPr>
                  <w:tcW w:w="4533" w:type="dxa"/>
                  <w:gridSpan w:val="2"/>
                </w:tcPr>
                <w:p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B816B4" w:rsidRPr="00C709DD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:rsidR="00B816B4" w:rsidRPr="006A36C8" w:rsidRDefault="008B5FEE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Architect </w:t>
                  </w:r>
                  <w:r w:rsidR="00AF1086">
                    <w:rPr>
                      <w:rFonts w:cs="Arial"/>
                      <w:szCs w:val="20"/>
                    </w:rPr>
                    <w:t>HIV Combo Reagent</w:t>
                  </w:r>
                </w:p>
              </w:tc>
              <w:tc>
                <w:tcPr>
                  <w:tcW w:w="1710" w:type="dxa"/>
                </w:tcPr>
                <w:p w:rsidR="00B816B4" w:rsidRPr="006A36C8" w:rsidRDefault="00AF1086" w:rsidP="00627678">
                  <w:pPr>
                    <w:pStyle w:val="BodyText"/>
                    <w:tabs>
                      <w:tab w:val="left" w:pos="324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02P3625</w:t>
                  </w:r>
                </w:p>
              </w:tc>
              <w:tc>
                <w:tcPr>
                  <w:tcW w:w="4140" w:type="dxa"/>
                  <w:vAlign w:val="center"/>
                </w:tcPr>
                <w:p w:rsidR="00B816B4" w:rsidRPr="00214007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214007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:rsidR="00B816B4" w:rsidRPr="00214007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>/Opened</w:t>
                  </w:r>
                  <w:r w:rsidRPr="00214007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265E2">
                    <w:rPr>
                      <w:rFonts w:ascii="Arial" w:hAnsi="Arial" w:cs="Arial"/>
                      <w:bCs/>
                    </w:rPr>
                    <w:t>Manufacture</w:t>
                  </w:r>
                  <w:r w:rsidR="00AF1086">
                    <w:rPr>
                      <w:rFonts w:ascii="Arial" w:hAnsi="Arial" w:cs="Arial"/>
                      <w:bCs/>
                    </w:rPr>
                    <w:t>r</w:t>
                  </w:r>
                  <w:r w:rsidR="002265E2">
                    <w:rPr>
                      <w:rFonts w:ascii="Arial" w:hAnsi="Arial" w:cs="Arial"/>
                      <w:bCs/>
                    </w:rPr>
                    <w:t xml:space="preserve"> expiration date</w:t>
                  </w:r>
                  <w:r w:rsidRPr="00214007"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B816B4" w:rsidRPr="00214007" w:rsidRDefault="00B816B4" w:rsidP="002265E2">
                  <w:pPr>
                    <w:autoSpaceDE w:val="0"/>
                    <w:autoSpaceDN w:val="0"/>
                    <w:adjustRightInd w:val="0"/>
                    <w:spacing w:after="80"/>
                    <w:rPr>
                      <w:rFonts w:cs="Arial"/>
                      <w:szCs w:val="20"/>
                    </w:rPr>
                  </w:pPr>
                  <w:r w:rsidRPr="00214007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 w:rsidR="002265E2">
                    <w:rPr>
                      <w:rFonts w:cs="Arial"/>
                      <w:szCs w:val="20"/>
                    </w:rPr>
                    <w:t>30 Days</w:t>
                  </w:r>
                </w:p>
              </w:tc>
            </w:tr>
            <w:tr w:rsidR="00B816B4" w:rsidRPr="007B2A3E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:rsidR="00B816B4" w:rsidRPr="006A36C8" w:rsidRDefault="008B5FEE" w:rsidP="00627678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Architect </w:t>
                  </w:r>
                  <w:r w:rsidR="00AF1086">
                    <w:rPr>
                      <w:rFonts w:cs="Arial"/>
                      <w:szCs w:val="20"/>
                    </w:rPr>
                    <w:t>HIV Combo Calibrator</w:t>
                  </w:r>
                </w:p>
              </w:tc>
              <w:tc>
                <w:tcPr>
                  <w:tcW w:w="1710" w:type="dxa"/>
                </w:tcPr>
                <w:p w:rsidR="00B816B4" w:rsidRPr="006A36C8" w:rsidRDefault="00AF1086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02P3601</w:t>
                  </w:r>
                </w:p>
              </w:tc>
              <w:tc>
                <w:tcPr>
                  <w:tcW w:w="4140" w:type="dxa"/>
                  <w:vAlign w:val="center"/>
                </w:tcPr>
                <w:p w:rsidR="00B816B4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 w:rsidR="00CF7522">
                    <w:rPr>
                      <w:rFonts w:cs="Arial"/>
                      <w:szCs w:val="20"/>
                    </w:rPr>
                    <w:t xml:space="preserve"> 2-8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:rsid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 w:rsidR="00CF7522">
                    <w:rPr>
                      <w:rFonts w:cs="Arial"/>
                      <w:bCs/>
                    </w:rPr>
                    <w:t>: Manufacture</w:t>
                  </w:r>
                  <w:r w:rsidR="00AF1086">
                    <w:rPr>
                      <w:rFonts w:cs="Arial"/>
                      <w:bCs/>
                    </w:rPr>
                    <w:t>r</w:t>
                  </w:r>
                  <w:r w:rsidR="00CF7522">
                    <w:rPr>
                      <w:rFonts w:cs="Arial"/>
                      <w:bCs/>
                    </w:rPr>
                    <w:t xml:space="preserve"> ex</w:t>
                  </w:r>
                  <w:r>
                    <w:rPr>
                      <w:rFonts w:cs="Arial"/>
                      <w:bCs/>
                    </w:rPr>
                    <w:t>piration date.</w:t>
                  </w:r>
                </w:p>
                <w:p w:rsidR="00260A50" w:rsidRPr="00260A50" w:rsidRDefault="00260A50" w:rsidP="00CF7522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 w:rsidR="00CF7522">
                    <w:rPr>
                      <w:rFonts w:cs="Arial"/>
                      <w:bCs/>
                    </w:rPr>
                    <w:t xml:space="preserve">, stable until expiration date when stored and handled as directed. </w:t>
                  </w:r>
                </w:p>
              </w:tc>
            </w:tr>
            <w:tr w:rsidR="00B568F0" w:rsidRPr="007B2A3E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:rsidR="00B568F0" w:rsidRDefault="008B5FEE" w:rsidP="00627678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Architect </w:t>
                  </w:r>
                  <w:r w:rsidR="009D638C">
                    <w:rPr>
                      <w:rFonts w:cs="Arial"/>
                      <w:szCs w:val="20"/>
                    </w:rPr>
                    <w:t xml:space="preserve">Abbott Architect </w:t>
                  </w:r>
                  <w:r w:rsidR="00B568F0">
                    <w:rPr>
                      <w:rFonts w:cs="Arial"/>
                      <w:szCs w:val="20"/>
                    </w:rPr>
                    <w:t>HIV Combo Controls</w:t>
                  </w:r>
                  <w:r w:rsidR="009D638C">
                    <w:rPr>
                      <w:rFonts w:cs="Arial"/>
                      <w:szCs w:val="20"/>
                    </w:rPr>
                    <w:t>, 5 levels</w:t>
                  </w:r>
                </w:p>
              </w:tc>
              <w:tc>
                <w:tcPr>
                  <w:tcW w:w="1710" w:type="dxa"/>
                </w:tcPr>
                <w:p w:rsidR="00B568F0" w:rsidRDefault="00B568F0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02P3610</w:t>
                  </w:r>
                </w:p>
              </w:tc>
              <w:tc>
                <w:tcPr>
                  <w:tcW w:w="4140" w:type="dxa"/>
                  <w:vAlign w:val="center"/>
                </w:tcPr>
                <w:p w:rsidR="00B568F0" w:rsidRDefault="009D638C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>
                    <w:rPr>
                      <w:rFonts w:cs="Arial"/>
                      <w:szCs w:val="20"/>
                    </w:rPr>
                    <w:t>2-8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:rsidR="009D638C" w:rsidRDefault="009D638C" w:rsidP="009D638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>
                    <w:rPr>
                      <w:rFonts w:cs="Arial"/>
                      <w:bCs/>
                    </w:rPr>
                    <w:t>: Manufacturer expiration date.</w:t>
                  </w:r>
                </w:p>
                <w:p w:rsidR="009D638C" w:rsidRDefault="009D638C" w:rsidP="009D638C">
                  <w:pPr>
                    <w:pStyle w:val="BodyText"/>
                    <w:spacing w:after="80"/>
                    <w:jc w:val="both"/>
                    <w:rPr>
                      <w:rFonts w:cs="Arial"/>
                      <w:b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>
                    <w:rPr>
                      <w:rFonts w:cs="Arial"/>
                      <w:bCs/>
                    </w:rPr>
                    <w:t>, stable until expiration date when stored and handled as directed.  Must be stored upright.  May be used directly from the refrigerator.</w:t>
                  </w:r>
                </w:p>
              </w:tc>
            </w:tr>
            <w:tr w:rsidR="002265E2" w:rsidRPr="007B2A3E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:rsidR="002265E2" w:rsidRDefault="001B568D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Abbott Alinity i HIV Ag/Ab</w:t>
                  </w:r>
                  <w:r w:rsidR="0006008E">
                    <w:rPr>
                      <w:rFonts w:cs="Arial"/>
                      <w:szCs w:val="20"/>
                    </w:rPr>
                    <w:t xml:space="preserve"> Combo</w:t>
                  </w:r>
                  <w:r>
                    <w:rPr>
                      <w:rFonts w:cs="Arial"/>
                      <w:szCs w:val="20"/>
                    </w:rPr>
                    <w:t xml:space="preserve"> Reagent</w:t>
                  </w:r>
                  <w:r w:rsidR="0006008E">
                    <w:rPr>
                      <w:rFonts w:cs="Arial"/>
                      <w:szCs w:val="20"/>
                    </w:rPr>
                    <w:t xml:space="preserve"> Kit</w:t>
                  </w:r>
                </w:p>
              </w:tc>
              <w:tc>
                <w:tcPr>
                  <w:tcW w:w="1710" w:type="dxa"/>
                </w:tcPr>
                <w:p w:rsidR="002265E2" w:rsidRDefault="0006008E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06008E">
                    <w:rPr>
                      <w:rFonts w:cs="Arial"/>
                      <w:szCs w:val="20"/>
                    </w:rPr>
                    <w:t>08P0721</w:t>
                  </w:r>
                </w:p>
              </w:tc>
              <w:tc>
                <w:tcPr>
                  <w:tcW w:w="4140" w:type="dxa"/>
                  <w:vAlign w:val="center"/>
                </w:tcPr>
                <w:p w:rsidR="008B5FEE" w:rsidRPr="00214007" w:rsidRDefault="008B5FEE" w:rsidP="008B5FEE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214007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:rsidR="008B5FEE" w:rsidRPr="00214007" w:rsidRDefault="008B5FEE" w:rsidP="008B5FEE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>
                    <w:rPr>
                      <w:rFonts w:ascii="Arial" w:hAnsi="Arial" w:cs="Arial"/>
                      <w:b/>
                      <w:bCs/>
                    </w:rPr>
                    <w:t>/Opened</w:t>
                  </w:r>
                  <w:r w:rsidRPr="00214007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Manufacturer expiration date</w:t>
                  </w:r>
                  <w:r w:rsidRPr="00214007"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2265E2" w:rsidRDefault="008B5FEE" w:rsidP="008B5FE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214007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>
                    <w:rPr>
                      <w:rFonts w:cs="Arial"/>
                      <w:szCs w:val="20"/>
                    </w:rPr>
                    <w:t>30 Days</w:t>
                  </w:r>
                </w:p>
                <w:p w:rsidR="008B5FEE" w:rsidRPr="008B5FEE" w:rsidRDefault="008B5FEE" w:rsidP="008B5FE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8B5FEE">
                    <w:rPr>
                      <w:rFonts w:cs="Arial"/>
                      <w:b/>
                      <w:szCs w:val="20"/>
                    </w:rPr>
                    <w:t>Opened</w:t>
                  </w:r>
                  <w:r>
                    <w:rPr>
                      <w:rFonts w:cs="Arial"/>
                      <w:szCs w:val="20"/>
                    </w:rPr>
                    <w:t xml:space="preserve">: </w:t>
                  </w:r>
                  <w:r w:rsidRPr="008B5FEE">
                    <w:rPr>
                      <w:rFonts w:cs="Arial"/>
                      <w:szCs w:val="20"/>
                    </w:rPr>
                    <w:t>2 to 8°C Until expiration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date</w:t>
                  </w:r>
                </w:p>
                <w:p w:rsidR="008B5FEE" w:rsidRPr="008B5FEE" w:rsidRDefault="008B5FEE" w:rsidP="008B5FE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8B5FEE">
                    <w:rPr>
                      <w:rFonts w:cs="Arial"/>
                      <w:szCs w:val="20"/>
                    </w:rPr>
                    <w:t>Store in upright position.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If cartridge does not remain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upright during storage, discard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the cartridge.</w:t>
                  </w:r>
                </w:p>
                <w:p w:rsidR="008B5FEE" w:rsidRDefault="008B5FEE" w:rsidP="008B5FE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8B5FEE">
                    <w:rPr>
                      <w:rFonts w:cs="Arial"/>
                      <w:szCs w:val="20"/>
                    </w:rPr>
                    <w:t>Do not reuse original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reagent caps or replacement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caps due to the risk of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contamination and potential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to compromise reagent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performance.</w:t>
                  </w:r>
                </w:p>
                <w:p w:rsidR="008B5FEE" w:rsidRPr="008B5FEE" w:rsidRDefault="008B5FEE" w:rsidP="008B5FE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8B5FEE">
                    <w:rPr>
                      <w:rFonts w:cs="Arial"/>
                      <w:szCs w:val="20"/>
                    </w:rPr>
                    <w:t>Reagents may be stored on or off the system. If removed from the system,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store reagents with new replacement caps in an upright position at 2 to 8°C.</w:t>
                  </w:r>
                </w:p>
                <w:p w:rsidR="008B5FEE" w:rsidRPr="007B2A3E" w:rsidRDefault="008B5FEE" w:rsidP="008B5FEE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8B5FEE">
                    <w:rPr>
                      <w:rFonts w:cs="Arial"/>
                      <w:szCs w:val="20"/>
                    </w:rPr>
                    <w:t>For reagents stored off the system, it is recommended that they be stored in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B5FEE">
                    <w:rPr>
                      <w:rFonts w:cs="Arial"/>
                      <w:szCs w:val="20"/>
                    </w:rPr>
                    <w:t>their original trays or boxes to ensure they remain upright.</w:t>
                  </w:r>
                </w:p>
              </w:tc>
            </w:tr>
            <w:tr w:rsidR="002265E2" w:rsidRPr="007B2A3E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:rsidR="002265E2" w:rsidRDefault="001B568D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1B568D">
                    <w:rPr>
                      <w:rFonts w:cs="Arial"/>
                      <w:szCs w:val="20"/>
                    </w:rPr>
                    <w:t>Ab</w:t>
                  </w:r>
                  <w:r>
                    <w:rPr>
                      <w:rFonts w:cs="Arial"/>
                      <w:szCs w:val="20"/>
                    </w:rPr>
                    <w:t>bott Alinity i HIV Ag/Ab</w:t>
                  </w:r>
                  <w:r w:rsidR="0006008E">
                    <w:rPr>
                      <w:rFonts w:cs="Arial"/>
                      <w:szCs w:val="20"/>
                    </w:rPr>
                    <w:t xml:space="preserve"> Combo</w:t>
                  </w:r>
                  <w:r>
                    <w:rPr>
                      <w:rFonts w:cs="Arial"/>
                      <w:szCs w:val="20"/>
                    </w:rPr>
                    <w:t xml:space="preserve"> Calibrators</w:t>
                  </w:r>
                </w:p>
              </w:tc>
              <w:tc>
                <w:tcPr>
                  <w:tcW w:w="1710" w:type="dxa"/>
                </w:tcPr>
                <w:p w:rsidR="002265E2" w:rsidRPr="00DE32D9" w:rsidRDefault="008B5FEE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08P0702</w:t>
                  </w:r>
                </w:p>
              </w:tc>
              <w:tc>
                <w:tcPr>
                  <w:tcW w:w="4140" w:type="dxa"/>
                  <w:vAlign w:val="center"/>
                </w:tcPr>
                <w:p w:rsidR="008B5FEE" w:rsidRDefault="008B5FEE" w:rsidP="008B5FEE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>
                    <w:rPr>
                      <w:rFonts w:cs="Arial"/>
                      <w:szCs w:val="20"/>
                    </w:rPr>
                    <w:t xml:space="preserve"> 2-8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:rsidR="008B5FEE" w:rsidRDefault="008B5FEE" w:rsidP="008B5FEE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>
                    <w:rPr>
                      <w:rFonts w:cs="Arial"/>
                      <w:bCs/>
                    </w:rPr>
                    <w:t>: Manufacturer expiration date.</w:t>
                  </w:r>
                </w:p>
                <w:p w:rsidR="002265E2" w:rsidRPr="007B2A3E" w:rsidRDefault="008B5FEE" w:rsidP="008B5FEE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>
                    <w:rPr>
                      <w:rFonts w:cs="Arial"/>
                      <w:bCs/>
                    </w:rPr>
                    <w:t>, stable until expiration date when stored and handled as directed.</w:t>
                  </w:r>
                </w:p>
              </w:tc>
            </w:tr>
            <w:tr w:rsidR="002265E2" w:rsidRPr="007B2A3E">
              <w:trPr>
                <w:gridAfter w:val="1"/>
                <w:wAfter w:w="393" w:type="dxa"/>
              </w:trPr>
              <w:tc>
                <w:tcPr>
                  <w:tcW w:w="2857" w:type="dxa"/>
                </w:tcPr>
                <w:p w:rsidR="002265E2" w:rsidRDefault="001B568D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1B568D">
                    <w:rPr>
                      <w:rFonts w:cs="Arial"/>
                      <w:szCs w:val="20"/>
                    </w:rPr>
                    <w:t xml:space="preserve">Abbott Alinity </w:t>
                  </w:r>
                  <w:r>
                    <w:rPr>
                      <w:rFonts w:cs="Arial"/>
                      <w:szCs w:val="20"/>
                    </w:rPr>
                    <w:t>i HIV Ag/Ab</w:t>
                  </w:r>
                  <w:r w:rsidR="0006008E">
                    <w:rPr>
                      <w:rFonts w:cs="Arial"/>
                      <w:szCs w:val="20"/>
                    </w:rPr>
                    <w:t xml:space="preserve"> Combo</w:t>
                  </w:r>
                  <w:r>
                    <w:rPr>
                      <w:rFonts w:cs="Arial"/>
                      <w:szCs w:val="20"/>
                    </w:rPr>
                    <w:t xml:space="preserve"> Controls</w:t>
                  </w:r>
                </w:p>
              </w:tc>
              <w:tc>
                <w:tcPr>
                  <w:tcW w:w="1710" w:type="dxa"/>
                </w:tcPr>
                <w:p w:rsidR="002265E2" w:rsidRPr="00DE32D9" w:rsidRDefault="008B5FEE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08P0712</w:t>
                  </w:r>
                </w:p>
              </w:tc>
              <w:tc>
                <w:tcPr>
                  <w:tcW w:w="4140" w:type="dxa"/>
                  <w:vAlign w:val="center"/>
                </w:tcPr>
                <w:p w:rsidR="008B5FEE" w:rsidRDefault="008B5FEE" w:rsidP="008B5FEE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>
                    <w:rPr>
                      <w:rFonts w:cs="Arial"/>
                      <w:szCs w:val="20"/>
                    </w:rPr>
                    <w:t>2-8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:rsidR="008B5FEE" w:rsidRDefault="008B5FEE" w:rsidP="008B5FEE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>
                    <w:rPr>
                      <w:rFonts w:cs="Arial"/>
                      <w:bCs/>
                    </w:rPr>
                    <w:t>: Manufacturer expiration date.</w:t>
                  </w:r>
                </w:p>
                <w:p w:rsidR="002265E2" w:rsidRPr="007B2A3E" w:rsidRDefault="008B5FEE" w:rsidP="008B5FEE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>
                    <w:rPr>
                      <w:rFonts w:cs="Arial"/>
                      <w:bCs/>
                    </w:rPr>
                    <w:t>, stable until expiration date when stored and handled as directed.  Must be stored upright.  May be used directly from the refrigerator.</w:t>
                  </w:r>
                </w:p>
              </w:tc>
            </w:tr>
          </w:tbl>
          <w:p w:rsidR="00B816B4" w:rsidRDefault="00B816B4" w:rsidP="008C6ED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8C6EDC" w:rsidTr="00677231">
        <w:trPr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Risk and Safety: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Pr="005516E7" w:rsidRDefault="008C6EDC">
            <w:pPr>
              <w:pStyle w:val="Pa13"/>
              <w:rPr>
                <w:rFonts w:ascii="Arial" w:hAnsi="Arial" w:cs="Arial"/>
                <w:color w:val="000000"/>
                <w:sz w:val="20"/>
                <w:szCs w:val="15"/>
              </w:rPr>
            </w:pPr>
          </w:p>
          <w:p w:rsidR="008C6EDC" w:rsidRDefault="00A072CE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A072CE">
              <w:rPr>
                <w:rFonts w:eastAsia="HelenPro-Regular" w:cs="Arial"/>
                <w:szCs w:val="20"/>
              </w:rPr>
              <w:t>Contains sodium azide</w:t>
            </w:r>
            <w:r>
              <w:rPr>
                <w:rFonts w:ascii="HelenPro-Regular" w:eastAsia="HelenPro-Regular" w:hAnsi="Times New Roman" w:cs="HelenPro-Regular"/>
                <w:sz w:val="17"/>
                <w:szCs w:val="17"/>
              </w:rPr>
              <w:t>.</w:t>
            </w:r>
            <w:r w:rsidR="00AF1086">
              <w:rPr>
                <w:rFonts w:ascii="HelenPro-Regular" w:eastAsia="HelenPro-Regular" w:hAnsi="Times New Roman" w:cs="HelenPro-Regular"/>
                <w:sz w:val="17"/>
                <w:szCs w:val="17"/>
              </w:rPr>
              <w:t xml:space="preserve">  </w:t>
            </w:r>
            <w:r w:rsidR="008C6EDC" w:rsidRPr="005516E7">
              <w:rPr>
                <w:rFonts w:cs="Arial"/>
                <w:szCs w:val="20"/>
              </w:rPr>
              <w:t>Avoid contact with skin</w:t>
            </w:r>
            <w:r>
              <w:rPr>
                <w:rFonts w:cs="Arial"/>
                <w:szCs w:val="20"/>
              </w:rPr>
              <w:t xml:space="preserve"> and eye</w:t>
            </w:r>
            <w:r w:rsidR="00AF1086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.  Causes serious eye irritation. </w:t>
            </w:r>
            <w:r w:rsidR="00AF1086">
              <w:rPr>
                <w:rFonts w:cs="Arial"/>
                <w:szCs w:val="20"/>
              </w:rPr>
              <w:t xml:space="preserve"> </w:t>
            </w:r>
            <w:r w:rsidR="008C6EDC" w:rsidRPr="005516E7">
              <w:rPr>
                <w:rFonts w:cs="Arial"/>
                <w:szCs w:val="20"/>
              </w:rPr>
              <w:t>Wear gloves.</w:t>
            </w:r>
            <w:r>
              <w:rPr>
                <w:rFonts w:cs="Arial"/>
                <w:szCs w:val="20"/>
              </w:rPr>
              <w:t xml:space="preserve"> </w:t>
            </w:r>
            <w:r w:rsidRPr="00A072CE">
              <w:rPr>
                <w:rFonts w:eastAsia="HelenPro-Regular" w:cs="Arial"/>
                <w:szCs w:val="20"/>
              </w:rPr>
              <w:t>Contact with acids liberates very toxic gas.</w:t>
            </w:r>
            <w:r w:rsidR="00CF7522">
              <w:rPr>
                <w:rFonts w:eastAsia="HelenPro-Regular" w:cs="Arial"/>
                <w:szCs w:val="20"/>
              </w:rPr>
              <w:t xml:space="preserve">  Recap and d</w:t>
            </w:r>
            <w:r>
              <w:rPr>
                <w:rFonts w:eastAsia="HelenPro-Regular" w:cs="Arial"/>
                <w:szCs w:val="20"/>
              </w:rPr>
              <w:t>ispose of in appropriate Hazardous Waste Container.</w:t>
            </w:r>
            <w:r w:rsidR="00C658D2">
              <w:rPr>
                <w:rFonts w:eastAsia="HelenPro-Regular" w:cs="Arial"/>
                <w:szCs w:val="20"/>
              </w:rPr>
              <w:t xml:space="preserve">  Dispose of empty HIV reagent bottles in the red biohazard waste.</w:t>
            </w:r>
          </w:p>
          <w:p w:rsidR="008B5FEE" w:rsidRDefault="008B5FEE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:rsidR="008B5FEE" w:rsidRDefault="008B5FEE" w:rsidP="008B5FEE">
            <w:r>
              <w:rPr>
                <w:szCs w:val="20"/>
              </w:rPr>
              <w:t xml:space="preserve">Safety data sheets (MSDS/SDS) available on </w:t>
            </w:r>
            <w:hyperlink r:id="rId12" w:history="1">
              <w:r w:rsidRPr="00D302B9">
                <w:rPr>
                  <w:rStyle w:val="Hyperlink"/>
                  <w:szCs w:val="20"/>
                </w:rPr>
                <w:t>Children’s Intranet</w:t>
              </w:r>
            </w:hyperlink>
          </w:p>
          <w:p w:rsidR="00CF7522" w:rsidRPr="00A072CE" w:rsidRDefault="00CF7522" w:rsidP="00CF752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B816B4" w:rsidTr="008B1686">
        <w:trPr>
          <w:trHeight w:val="3357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Default="00B816B4" w:rsidP="008C6EDC">
            <w:pPr>
              <w:pStyle w:val="BodyTextIndent"/>
            </w:pPr>
          </w:p>
          <w:p w:rsidR="00B816B4" w:rsidRDefault="00B816B4" w:rsidP="008C6EDC">
            <w:pPr>
              <w:pStyle w:val="BodyTextIndent"/>
            </w:pPr>
            <w:r>
              <w:t>Calibration/ Verification/AMR</w:t>
            </w:r>
          </w:p>
          <w:p w:rsidR="00B816B4" w:rsidRDefault="00B816B4" w:rsidP="008C6EDC">
            <w:pPr>
              <w:pStyle w:val="BodyTextIndent"/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816B4" w:rsidRPr="00B13C1A" w:rsidRDefault="00B816B4" w:rsidP="008C6EDC">
            <w:pPr>
              <w:rPr>
                <w:rFonts w:cs="Arial"/>
                <w:szCs w:val="20"/>
              </w:rPr>
            </w:pP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5760"/>
              <w:gridCol w:w="509"/>
            </w:tblGrid>
            <w:tr w:rsidR="00B816B4" w:rsidTr="00814EAD">
              <w:trPr>
                <w:gridAfter w:val="1"/>
                <w:wAfter w:w="509" w:type="dxa"/>
                <w:trHeight w:val="377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Analytical Measuring Range: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16B4" w:rsidRPr="00FC6715" w:rsidRDefault="008B1686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 – 99999.9 (Qualitative 1 Pt Cal)</w:t>
                  </w:r>
                </w:p>
              </w:tc>
            </w:tr>
            <w:tr w:rsidR="00B816B4" w:rsidTr="00814EAD">
              <w:trPr>
                <w:gridAfter w:val="1"/>
                <w:wAfter w:w="509" w:type="dxa"/>
                <w:trHeight w:val="494"/>
              </w:trPr>
              <w:tc>
                <w:tcPr>
                  <w:tcW w:w="2947" w:type="dxa"/>
                  <w:tcBorders>
                    <w:top w:val="single" w:sz="4" w:space="0" w:color="auto"/>
                  </w:tcBorders>
                </w:tcPr>
                <w:p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</w:tcBorders>
                  <w:vAlign w:val="center"/>
                </w:tcPr>
                <w:p w:rsidR="00B816B4" w:rsidRDefault="008B1686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Abbott Architect HIV Ag/Ab Combo Calibrator</w:t>
                  </w:r>
                </w:p>
                <w:p w:rsidR="008B5FEE" w:rsidRDefault="008B5FEE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Abbott Alinity i HIV Ag/Ab Combo Calibrator</w:t>
                  </w:r>
                </w:p>
                <w:p w:rsidR="00627678" w:rsidRPr="00E14C48" w:rsidRDefault="00627678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16B4" w:rsidTr="00814EAD">
              <w:trPr>
                <w:gridAfter w:val="1"/>
                <w:wAfter w:w="509" w:type="dxa"/>
                <w:trHeight w:val="521"/>
              </w:trPr>
              <w:tc>
                <w:tcPr>
                  <w:tcW w:w="2947" w:type="dxa"/>
                </w:tcPr>
                <w:p w:rsidR="00B816B4" w:rsidRPr="00E14C48" w:rsidRDefault="00B816B4" w:rsidP="00814EAD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Suggested Calibration Levels</w:t>
                  </w:r>
                </w:p>
              </w:tc>
              <w:tc>
                <w:tcPr>
                  <w:tcW w:w="5760" w:type="dxa"/>
                  <w:vAlign w:val="center"/>
                </w:tcPr>
                <w:p w:rsidR="00260A50" w:rsidRPr="00E14C48" w:rsidRDefault="00260A50" w:rsidP="008B1686">
                  <w:pPr>
                    <w:pStyle w:val="CalVerTable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8B1686">
                    <w:rPr>
                      <w:rFonts w:ascii="Arial" w:hAnsi="Arial" w:cs="Arial"/>
                    </w:rPr>
                    <w:t>4000 RLU</w:t>
                  </w:r>
                </w:p>
              </w:tc>
            </w:tr>
            <w:tr w:rsidR="00B816B4" w:rsidTr="003571BD">
              <w:trPr>
                <w:gridAfter w:val="1"/>
                <w:wAfter w:w="509" w:type="dxa"/>
                <w:trHeight w:val="1169"/>
              </w:trPr>
              <w:tc>
                <w:tcPr>
                  <w:tcW w:w="2947" w:type="dxa"/>
                </w:tcPr>
                <w:p w:rsidR="00B816B4" w:rsidRPr="00E14C48" w:rsidRDefault="008B1686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Calibration</w:t>
                  </w:r>
                  <w:r w:rsidR="00B816B4" w:rsidRPr="00E14C48">
                    <w:rPr>
                      <w:rFonts w:cs="Arial"/>
                      <w:szCs w:val="20"/>
                    </w:rPr>
                    <w:t xml:space="preserve"> Frequency:</w:t>
                  </w:r>
                </w:p>
              </w:tc>
              <w:tc>
                <w:tcPr>
                  <w:tcW w:w="5760" w:type="dxa"/>
                  <w:vAlign w:val="center"/>
                </w:tcPr>
                <w:p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For each new lot of reagent </w:t>
                  </w:r>
                </w:p>
                <w:p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After major maintenance or service, if indicated by quality control results</w:t>
                  </w:r>
                </w:p>
                <w:p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 indicated in laboratory quality control procedures</w:t>
                  </w:r>
                </w:p>
              </w:tc>
            </w:tr>
            <w:tr w:rsidR="00B816B4" w:rsidTr="00B816B4">
              <w:tc>
                <w:tcPr>
                  <w:tcW w:w="921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B816B4" w:rsidRPr="00B13C1A" w:rsidRDefault="00B816B4" w:rsidP="008C6EDC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B816B4" w:rsidRPr="00FB1EFD" w:rsidRDefault="00B816B4" w:rsidP="008C6EDC">
            <w:pPr>
              <w:pStyle w:val="Default"/>
            </w:pPr>
          </w:p>
        </w:tc>
      </w:tr>
      <w:tr w:rsidR="00627678" w:rsidTr="00677231">
        <w:trPr>
          <w:trHeight w:val="5520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568F0" w:rsidRDefault="00B568F0" w:rsidP="008C6EDC">
            <w:pPr>
              <w:pStyle w:val="BodyTextIndent"/>
            </w:pPr>
          </w:p>
          <w:p w:rsidR="00B568F0" w:rsidRDefault="00B568F0" w:rsidP="008C6EDC">
            <w:pPr>
              <w:pStyle w:val="BodyTextIndent"/>
            </w:pPr>
          </w:p>
          <w:p w:rsidR="00B568F0" w:rsidRDefault="00B568F0" w:rsidP="008C6EDC">
            <w:pPr>
              <w:pStyle w:val="BodyTextIndent"/>
            </w:pPr>
          </w:p>
          <w:p w:rsidR="00627678" w:rsidRDefault="00627678" w:rsidP="008C6EDC">
            <w:pPr>
              <w:pStyle w:val="BodyTextIndent"/>
            </w:pPr>
            <w:r>
              <w:t>Quality Control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568F0" w:rsidRDefault="00B568F0" w:rsidP="006276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627678" w:rsidRPr="00B568F0" w:rsidRDefault="00627678" w:rsidP="00627678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B568F0">
              <w:rPr>
                <w:rFonts w:cs="Arial"/>
                <w:b/>
                <w:bCs/>
                <w:color w:val="000000"/>
                <w:szCs w:val="20"/>
              </w:rPr>
              <w:t>Abbott Architect HIV Controls</w:t>
            </w:r>
            <w:r w:rsidR="008B5FEE">
              <w:rPr>
                <w:rFonts w:cs="Arial"/>
                <w:b/>
                <w:bCs/>
                <w:color w:val="000000"/>
                <w:szCs w:val="20"/>
              </w:rPr>
              <w:t xml:space="preserve"> or Abbott Alinity i HIV Controls</w:t>
            </w:r>
          </w:p>
          <w:p w:rsidR="00627678" w:rsidRPr="00B568F0" w:rsidRDefault="00627678" w:rsidP="00627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627678" w:rsidRPr="00B568F0" w:rsidRDefault="00627678" w:rsidP="00627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B568F0">
              <w:rPr>
                <w:rFonts w:cs="Arial"/>
                <w:b/>
                <w:bCs/>
                <w:szCs w:val="20"/>
              </w:rPr>
              <w:t xml:space="preserve">Frequency: </w:t>
            </w:r>
            <w:r w:rsidRPr="00B568F0">
              <w:rPr>
                <w:rFonts w:cs="Arial"/>
                <w:szCs w:val="20"/>
              </w:rPr>
              <w:t>Five levels each day of use.</w:t>
            </w:r>
          </w:p>
          <w:p w:rsidR="00627678" w:rsidRPr="00B568F0" w:rsidRDefault="00627678" w:rsidP="00627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627678" w:rsidRPr="007A3B97" w:rsidRDefault="00627678" w:rsidP="00627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B568F0">
              <w:rPr>
                <w:rFonts w:cs="Arial"/>
                <w:b/>
                <w:bCs/>
                <w:szCs w:val="20"/>
              </w:rPr>
              <w:t xml:space="preserve">Stability: </w:t>
            </w:r>
            <w:r w:rsidR="007A3B97">
              <w:rPr>
                <w:rFonts w:cs="Arial"/>
                <w:bCs/>
                <w:szCs w:val="20"/>
              </w:rPr>
              <w:t xml:space="preserve">Until manufacturer expiration date when stored upright at </w:t>
            </w:r>
            <w:r w:rsidR="007A3B97">
              <w:rPr>
                <w:rFonts w:cs="Arial"/>
                <w:szCs w:val="20"/>
              </w:rPr>
              <w:t>2-8</w:t>
            </w:r>
            <w:r w:rsidR="007A3B97" w:rsidRPr="00214007">
              <w:rPr>
                <w:rFonts w:cs="Arial"/>
                <w:bCs/>
              </w:rPr>
              <w:t>°C</w:t>
            </w:r>
          </w:p>
          <w:p w:rsidR="00627678" w:rsidRPr="00B568F0" w:rsidRDefault="00627678" w:rsidP="00627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:rsidR="00627678" w:rsidRPr="00B568F0" w:rsidRDefault="00627678" w:rsidP="006276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B568F0">
              <w:rPr>
                <w:rFonts w:cs="Arial"/>
                <w:b/>
                <w:bCs/>
                <w:szCs w:val="20"/>
              </w:rPr>
              <w:t>Preparation</w:t>
            </w:r>
            <w:r w:rsidR="007A3B97">
              <w:rPr>
                <w:rFonts w:cs="Arial"/>
                <w:szCs w:val="20"/>
              </w:rPr>
              <w:t>: None, ready to use.</w:t>
            </w:r>
            <w:r w:rsidR="008B5FEE">
              <w:rPr>
                <w:rFonts w:cs="Arial"/>
                <w:szCs w:val="20"/>
              </w:rPr>
              <w:t xml:space="preserve">  Invert several times prior to </w:t>
            </w:r>
            <w:proofErr w:type="spellStart"/>
            <w:r w:rsidR="008B5FEE">
              <w:rPr>
                <w:rFonts w:cs="Arial"/>
                <w:szCs w:val="20"/>
              </w:rPr>
              <w:t>aliquoting</w:t>
            </w:r>
            <w:proofErr w:type="gramStart"/>
            <w:r w:rsidR="008B5FEE">
              <w:rPr>
                <w:rFonts w:cs="Arial"/>
                <w:szCs w:val="20"/>
              </w:rPr>
              <w:t>,and</w:t>
            </w:r>
            <w:proofErr w:type="spellEnd"/>
            <w:proofErr w:type="gramEnd"/>
            <w:r w:rsidR="008B5FEE">
              <w:rPr>
                <w:rFonts w:cs="Arial"/>
                <w:szCs w:val="20"/>
              </w:rPr>
              <w:t xml:space="preserve"> keep bottles tightly sealed.</w:t>
            </w:r>
          </w:p>
          <w:p w:rsidR="00627678" w:rsidRDefault="00627678" w:rsidP="00627678">
            <w:pPr>
              <w:jc w:val="both"/>
              <w:rPr>
                <w:rFonts w:cs="Arial"/>
                <w:b/>
                <w:bCs/>
              </w:rPr>
            </w:pPr>
          </w:p>
          <w:p w:rsidR="00627678" w:rsidRDefault="00627678" w:rsidP="0062767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Acceptable ranges:</w:t>
            </w:r>
            <w:r>
              <w:rPr>
                <w:rFonts w:cs="Arial"/>
              </w:rPr>
              <w:t xml:space="preserve"> </w:t>
            </w:r>
          </w:p>
          <w:p w:rsidR="008B5FEE" w:rsidRPr="008B5FEE" w:rsidRDefault="008B5FEE" w:rsidP="008B5FEE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8B5FEE">
              <w:rPr>
                <w:rFonts w:cs="Arial"/>
                <w:szCs w:val="20"/>
              </w:rPr>
              <w:t>Non-Bio-Rad controls will utilize manufacturer ranges and 2 SD Westgard rules</w:t>
            </w:r>
            <w:r>
              <w:rPr>
                <w:rFonts w:cs="Arial"/>
                <w:szCs w:val="20"/>
              </w:rPr>
              <w:t xml:space="preserve"> for </w:t>
            </w:r>
            <w:proofErr w:type="spellStart"/>
            <w:r>
              <w:rPr>
                <w:rFonts w:cs="Arial"/>
                <w:szCs w:val="20"/>
              </w:rPr>
              <w:t>quantitativetests</w:t>
            </w:r>
            <w:proofErr w:type="spellEnd"/>
            <w:r w:rsidRPr="008B5FEE">
              <w:rPr>
                <w:rFonts w:cs="Arial"/>
                <w:szCs w:val="20"/>
              </w:rPr>
              <w:t>.</w:t>
            </w:r>
            <w:r>
              <w:t xml:space="preserve"> </w:t>
            </w:r>
            <w:r w:rsidRPr="008B5FEE">
              <w:rPr>
                <w:rFonts w:cs="Arial"/>
                <w:szCs w:val="20"/>
              </w:rPr>
              <w:t>This assay is a qualitative assay.  The negative control should be non-reactive, and the 4 other levels should be reactive.</w:t>
            </w:r>
          </w:p>
          <w:p w:rsidR="008B5FEE" w:rsidRPr="008B5FEE" w:rsidRDefault="008B5FEE" w:rsidP="008B5FE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B5FEE">
              <w:rPr>
                <w:rFonts w:cs="Arial"/>
                <w:szCs w:val="20"/>
              </w:rPr>
              <w:t xml:space="preserve">New lots of Bio-Rad controls should be run for 20 days in parallel with the current lot whenever possible prior to switching to the new lot.  </w:t>
            </w:r>
          </w:p>
          <w:p w:rsidR="008B5FEE" w:rsidRPr="008B5FEE" w:rsidRDefault="008B5FEE" w:rsidP="008B5FE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B5FEE">
              <w:rPr>
                <w:rFonts w:cs="Arial"/>
                <w:szCs w:val="20"/>
              </w:rPr>
              <w:t xml:space="preserve">Refer to the Westgard Rules in Chemistry procedure for current Westgard rules in place for each analyte.  </w:t>
            </w:r>
          </w:p>
          <w:p w:rsidR="008B5FEE" w:rsidRPr="008B5FEE" w:rsidRDefault="008B5FEE" w:rsidP="008B5FE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B5FEE">
              <w:rPr>
                <w:rFonts w:cs="Arial"/>
                <w:szCs w:val="20"/>
              </w:rPr>
              <w:t xml:space="preserve">Acceptable ranges are current in Unity Real Time only.  Quality Control results must be rejected in Sunquest when the results cross the interface.  </w:t>
            </w:r>
          </w:p>
          <w:p w:rsidR="008B5FEE" w:rsidRPr="008B5FEE" w:rsidRDefault="008B5FEE" w:rsidP="008B5FE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B5FEE">
              <w:rPr>
                <w:rFonts w:cs="Arial"/>
                <w:szCs w:val="20"/>
              </w:rPr>
              <w:t>In the event of a QC failure, refer to the Unity Real Time QC Review, General User and navigate to the QC Troubleshooting section.</w:t>
            </w:r>
          </w:p>
          <w:p w:rsidR="008B5FEE" w:rsidRPr="008B5FEE" w:rsidRDefault="008B5FEE" w:rsidP="008B5FE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8B5FEE">
              <w:rPr>
                <w:rFonts w:cs="Arial"/>
                <w:szCs w:val="20"/>
              </w:rPr>
              <w:t xml:space="preserve">Do not load or release patients until QC is acceptable in Unity Real Time.  </w:t>
            </w:r>
          </w:p>
          <w:p w:rsidR="00627678" w:rsidRPr="00B13C1A" w:rsidRDefault="00627678" w:rsidP="008B5FEE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</w:p>
        </w:tc>
      </w:tr>
      <w:tr w:rsidR="00C33633" w:rsidTr="00677231">
        <w:trPr>
          <w:trHeight w:val="5520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252639" w:rsidRDefault="00252639" w:rsidP="008C6EDC">
            <w:pPr>
              <w:pStyle w:val="BodyTextIndent"/>
            </w:pPr>
          </w:p>
          <w:p w:rsidR="00252639" w:rsidRDefault="00252639" w:rsidP="008C6EDC">
            <w:pPr>
              <w:pStyle w:val="BodyTextIndent"/>
            </w:pPr>
          </w:p>
          <w:p w:rsidR="00C33633" w:rsidRDefault="00252639" w:rsidP="00E76CAC">
            <w:pPr>
              <w:pStyle w:val="BodyTextIndent"/>
              <w:ind w:left="0"/>
            </w:pPr>
            <w:r>
              <w:t>Interpretation and Result Reporting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BC68A7" w:rsidRPr="00E76CAC" w:rsidRDefault="00F75788" w:rsidP="00BC68A7">
            <w:pPr>
              <w:rPr>
                <w:rFonts w:cs="Arial"/>
                <w:b/>
                <w:szCs w:val="20"/>
              </w:rPr>
            </w:pPr>
            <w:r w:rsidRPr="00E76CAC">
              <w:rPr>
                <w:rFonts w:cs="Arial"/>
                <w:b/>
                <w:szCs w:val="20"/>
              </w:rPr>
              <w:t xml:space="preserve"> </w:t>
            </w:r>
          </w:p>
          <w:p w:rsidR="006B523E" w:rsidRPr="00E76CAC" w:rsidRDefault="00E76CAC" w:rsidP="00BC68A7">
            <w:pPr>
              <w:rPr>
                <w:rFonts w:cs="Arial"/>
                <w:b/>
                <w:szCs w:val="20"/>
              </w:rPr>
            </w:pPr>
            <w:r w:rsidRPr="00E76CAC">
              <w:rPr>
                <w:rFonts w:cs="Arial"/>
                <w:szCs w:val="20"/>
              </w:rPr>
              <w:t xml:space="preserve"> Results that</w:t>
            </w:r>
            <w:r w:rsidR="006B523E" w:rsidRPr="00E76CAC">
              <w:rPr>
                <w:rFonts w:cs="Arial"/>
                <w:szCs w:val="20"/>
              </w:rPr>
              <w:t xml:space="preserve"> cro</w:t>
            </w:r>
            <w:r w:rsidR="00252639" w:rsidRPr="00E76CAC">
              <w:rPr>
                <w:rFonts w:cs="Arial"/>
                <w:szCs w:val="20"/>
              </w:rPr>
              <w:t>ss</w:t>
            </w:r>
            <w:r w:rsidRPr="00E76CAC">
              <w:rPr>
                <w:rFonts w:cs="Arial"/>
                <w:szCs w:val="20"/>
              </w:rPr>
              <w:t xml:space="preserve"> the Sunquest interface</w:t>
            </w:r>
            <w:r w:rsidR="00252639" w:rsidRPr="00E76CAC">
              <w:rPr>
                <w:rFonts w:cs="Arial"/>
                <w:szCs w:val="20"/>
              </w:rPr>
              <w:t xml:space="preserve"> in OEM will be Reactive</w:t>
            </w:r>
            <w:r w:rsidRPr="00E76CAC">
              <w:rPr>
                <w:rFonts w:cs="Arial"/>
                <w:szCs w:val="20"/>
              </w:rPr>
              <w:t xml:space="preserve"> (S/CO greater than or equal to 1)</w:t>
            </w:r>
            <w:r w:rsidR="006B523E" w:rsidRPr="00E76CAC">
              <w:rPr>
                <w:rFonts w:cs="Arial"/>
                <w:szCs w:val="20"/>
              </w:rPr>
              <w:t xml:space="preserve"> </w:t>
            </w:r>
            <w:r w:rsidR="00541ACD" w:rsidRPr="00E76CAC">
              <w:rPr>
                <w:rFonts w:cs="Arial"/>
                <w:szCs w:val="20"/>
              </w:rPr>
              <w:t xml:space="preserve">or </w:t>
            </w:r>
            <w:r w:rsidR="006B523E" w:rsidRPr="00E76CAC">
              <w:rPr>
                <w:rFonts w:cs="Arial"/>
                <w:szCs w:val="20"/>
              </w:rPr>
              <w:t>Nonreactive</w:t>
            </w:r>
            <w:r w:rsidRPr="00E76CAC">
              <w:rPr>
                <w:rFonts w:cs="Arial"/>
                <w:szCs w:val="20"/>
              </w:rPr>
              <w:t xml:space="preserve"> (S/CO &lt;1.0).</w:t>
            </w:r>
            <w:r w:rsidR="006B523E" w:rsidRPr="00E76CAC">
              <w:rPr>
                <w:rFonts w:cs="Arial"/>
                <w:szCs w:val="20"/>
              </w:rPr>
              <w:t xml:space="preserve">  Each result will have the comment “Check procedure for repeat and interpretation protocol.”  </w:t>
            </w:r>
            <w:r w:rsidRPr="00E76CAC">
              <w:rPr>
                <w:rFonts w:cs="Arial"/>
                <w:szCs w:val="20"/>
              </w:rPr>
              <w:t>If the result is reactive, follow the detailed instructions below.  If the result is nonreactive,</w:t>
            </w:r>
            <w:r w:rsidR="004222A1" w:rsidRPr="00E76CAC">
              <w:rPr>
                <w:rFonts w:cs="Arial"/>
                <w:szCs w:val="20"/>
              </w:rPr>
              <w:t xml:space="preserve"> </w:t>
            </w:r>
            <w:r w:rsidR="006B523E" w:rsidRPr="00E76CAC">
              <w:rPr>
                <w:rFonts w:cs="Arial"/>
                <w:szCs w:val="20"/>
              </w:rPr>
              <w:t xml:space="preserve">accept the </w:t>
            </w:r>
            <w:r w:rsidR="004222A1" w:rsidRPr="00E76CAC">
              <w:rPr>
                <w:rFonts w:cs="Arial"/>
                <w:szCs w:val="20"/>
              </w:rPr>
              <w:t xml:space="preserve">Nonreactive </w:t>
            </w:r>
            <w:r w:rsidRPr="00E76CAC">
              <w:rPr>
                <w:rFonts w:cs="Arial"/>
                <w:szCs w:val="20"/>
              </w:rPr>
              <w:t>Sunquest result in OEM</w:t>
            </w:r>
            <w:r w:rsidR="006B523E" w:rsidRPr="00E76CAC">
              <w:rPr>
                <w:rFonts w:cs="Arial"/>
                <w:szCs w:val="20"/>
              </w:rPr>
              <w:t xml:space="preserve"> </w:t>
            </w:r>
          </w:p>
          <w:p w:rsidR="006B523E" w:rsidRPr="00E76CAC" w:rsidRDefault="006B523E" w:rsidP="006B52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52639" w:rsidRPr="00E76CAC" w:rsidRDefault="006B523E" w:rsidP="006B52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>If retesting is required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B523E" w:rsidRPr="00E76CAC" w:rsidRDefault="00252639" w:rsidP="0025263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>Reject the cup in OEM.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23E" w:rsidRPr="00E76CAC" w:rsidRDefault="006B523E" w:rsidP="006B523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>Take specimen off the analyzer and check for clots, red cells, or o</w:t>
            </w:r>
            <w:r w:rsidR="00BC68A7" w:rsidRPr="00E76CAC">
              <w:rPr>
                <w:rFonts w:ascii="Arial" w:hAnsi="Arial" w:cs="Arial"/>
                <w:sz w:val="20"/>
                <w:szCs w:val="20"/>
              </w:rPr>
              <w:t xml:space="preserve">ther particulate matter. 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8A7" w:rsidRPr="00E76CAC">
              <w:rPr>
                <w:rFonts w:ascii="Arial" w:hAnsi="Arial" w:cs="Arial"/>
                <w:sz w:val="20"/>
                <w:szCs w:val="20"/>
              </w:rPr>
              <w:t>Recent</w:t>
            </w:r>
            <w:r w:rsidRPr="00E76CAC">
              <w:rPr>
                <w:rFonts w:ascii="Arial" w:hAnsi="Arial" w:cs="Arial"/>
                <w:sz w:val="20"/>
                <w:szCs w:val="20"/>
              </w:rPr>
              <w:t>r</w:t>
            </w:r>
            <w:r w:rsidR="00BC68A7" w:rsidRPr="00E76CAC">
              <w:rPr>
                <w:rFonts w:ascii="Arial" w:hAnsi="Arial" w:cs="Arial"/>
                <w:sz w:val="20"/>
                <w:szCs w:val="20"/>
              </w:rPr>
              <w:t>i</w:t>
            </w:r>
            <w:r w:rsidRPr="00E76CAC">
              <w:rPr>
                <w:rFonts w:ascii="Arial" w:hAnsi="Arial" w:cs="Arial"/>
                <w:sz w:val="20"/>
                <w:szCs w:val="20"/>
              </w:rPr>
              <w:t>fug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e if any are seen.</w:t>
            </w:r>
          </w:p>
          <w:p w:rsidR="006B523E" w:rsidRPr="00E76CAC" w:rsidRDefault="006B523E" w:rsidP="006B523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 xml:space="preserve">Manually order the specimen </w:t>
            </w:r>
            <w:r w:rsidRPr="00E76CAC">
              <w:rPr>
                <w:rFonts w:ascii="Arial" w:hAnsi="Arial" w:cs="Arial"/>
                <w:b/>
                <w:sz w:val="20"/>
                <w:szCs w:val="20"/>
              </w:rPr>
              <w:t>in duplicate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 xml:space="preserve"> (two replicates</w:t>
            </w:r>
            <w:r w:rsidR="00A05EAB">
              <w:rPr>
                <w:rFonts w:ascii="Arial" w:hAnsi="Arial" w:cs="Arial"/>
                <w:sz w:val="20"/>
                <w:szCs w:val="20"/>
              </w:rPr>
              <w:t xml:space="preserve"> from the same sample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)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with an 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“</w:t>
            </w:r>
            <w:r w:rsidRPr="00E76CAC">
              <w:rPr>
                <w:rFonts w:ascii="Arial" w:hAnsi="Arial" w:cs="Arial"/>
                <w:sz w:val="20"/>
                <w:szCs w:val="20"/>
              </w:rPr>
              <w:t>R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”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>(for “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repeat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>”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76CAC">
              <w:rPr>
                <w:rFonts w:ascii="Arial" w:hAnsi="Arial" w:cs="Arial"/>
                <w:sz w:val="20"/>
                <w:szCs w:val="20"/>
              </w:rPr>
              <w:t>in front of the accession number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.  For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example</w:t>
            </w:r>
            <w:proofErr w:type="gramStart"/>
            <w:r w:rsidR="004222A1" w:rsidRPr="00E76C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>H111</w:t>
            </w:r>
            <w:proofErr w:type="gramEnd"/>
            <w:r w:rsidR="00252639" w:rsidRPr="00E76CAC">
              <w:rPr>
                <w:rFonts w:ascii="Arial" w:hAnsi="Arial" w:cs="Arial"/>
                <w:sz w:val="20"/>
                <w:szCs w:val="20"/>
              </w:rPr>
              <w:t xml:space="preserve"> would be </w:t>
            </w:r>
            <w:r w:rsidR="00A05EAB">
              <w:rPr>
                <w:rFonts w:ascii="Arial" w:hAnsi="Arial" w:cs="Arial"/>
                <w:sz w:val="20"/>
                <w:szCs w:val="20"/>
              </w:rPr>
              <w:t xml:space="preserve">manually 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>ordered</w:t>
            </w:r>
            <w:r w:rsidR="00A05EAB">
              <w:rPr>
                <w:rFonts w:ascii="Arial" w:hAnsi="Arial" w:cs="Arial"/>
                <w:sz w:val="20"/>
                <w:szCs w:val="20"/>
              </w:rPr>
              <w:t xml:space="preserve"> on the Architect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“</w:t>
            </w:r>
            <w:r w:rsidRPr="00E76CAC">
              <w:rPr>
                <w:rFonts w:ascii="Arial" w:hAnsi="Arial" w:cs="Arial"/>
                <w:sz w:val="20"/>
                <w:szCs w:val="20"/>
              </w:rPr>
              <w:t>RH111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”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23E" w:rsidRPr="00E76CAC" w:rsidRDefault="006B523E" w:rsidP="006B523E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>When testing is complete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,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both results will cross into Sunquest in two different cups.</w:t>
            </w:r>
          </w:p>
          <w:p w:rsidR="006B523E" w:rsidRPr="00E76CAC" w:rsidRDefault="004222A1" w:rsidP="00541AC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>To accept results in S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>unquest</w:t>
            </w:r>
            <w:r w:rsidRPr="00E76CAC">
              <w:rPr>
                <w:rFonts w:ascii="Arial" w:hAnsi="Arial" w:cs="Arial"/>
                <w:sz w:val="20"/>
                <w:szCs w:val="20"/>
              </w:rPr>
              <w:t>,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 xml:space="preserve"> you will have to manually retype the correct accession number without the (R)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 xml:space="preserve"> for the result you wish to </w:t>
            </w:r>
            <w:r w:rsidR="00252639" w:rsidRPr="00DA6C79">
              <w:rPr>
                <w:rFonts w:ascii="Arial" w:hAnsi="Arial" w:cs="Arial"/>
                <w:sz w:val="20"/>
                <w:szCs w:val="20"/>
              </w:rPr>
              <w:t>report</w:t>
            </w:r>
            <w:r w:rsidR="00DA6C79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DA6C79">
              <w:rPr>
                <w:rFonts w:ascii="Arial" w:hAnsi="Arial" w:cs="Arial"/>
                <w:sz w:val="20"/>
                <w:szCs w:val="20"/>
              </w:rPr>
              <w:t xml:space="preserve"> OEM</w:t>
            </w:r>
            <w:r w:rsidRPr="00762D9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DA6C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533" w:rsidRPr="00E76CAC">
              <w:rPr>
                <w:rFonts w:ascii="Arial" w:hAnsi="Arial" w:cs="Arial"/>
                <w:sz w:val="20"/>
                <w:szCs w:val="20"/>
              </w:rPr>
              <w:t>Sunquest will ask CHANGE EXISTING ACCESSION NUMBER (Y/&lt;N&gt;)</w:t>
            </w:r>
            <w:r w:rsidRPr="00E76CAC">
              <w:rPr>
                <w:rFonts w:ascii="Arial" w:hAnsi="Arial" w:cs="Arial"/>
                <w:sz w:val="20"/>
                <w:szCs w:val="20"/>
              </w:rPr>
              <w:t>.   Type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 xml:space="preserve"> Y then press ENTER to enter the accession number for the cup you wish to report.</w:t>
            </w:r>
          </w:p>
          <w:p w:rsidR="006B523E" w:rsidRPr="00E76CAC" w:rsidRDefault="006B523E" w:rsidP="006B52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b/>
                <w:sz w:val="20"/>
                <w:szCs w:val="20"/>
              </w:rPr>
              <w:t>Go to the analyzer and check results</w:t>
            </w:r>
            <w:r w:rsidR="00C658D2">
              <w:rPr>
                <w:rFonts w:ascii="Arial" w:hAnsi="Arial" w:cs="Arial"/>
                <w:sz w:val="20"/>
                <w:szCs w:val="20"/>
              </w:rPr>
              <w:t xml:space="preserve"> to properly determine the interpretation:</w:t>
            </w:r>
          </w:p>
          <w:p w:rsidR="006B523E" w:rsidRPr="00E76CAC" w:rsidRDefault="006B523E" w:rsidP="006B523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 xml:space="preserve">If both repeat tests are &lt;1 </w:t>
            </w:r>
            <w:proofErr w:type="spellStart"/>
            <w:r w:rsidRPr="00E76CAC">
              <w:rPr>
                <w:rFonts w:ascii="Arial" w:hAnsi="Arial" w:cs="Arial"/>
                <w:sz w:val="20"/>
                <w:szCs w:val="20"/>
              </w:rPr>
              <w:t>non reactive</w:t>
            </w:r>
            <w:proofErr w:type="spellEnd"/>
            <w:r w:rsidRPr="00E76CAC">
              <w:rPr>
                <w:rFonts w:ascii="Arial" w:hAnsi="Arial" w:cs="Arial"/>
                <w:sz w:val="20"/>
                <w:szCs w:val="20"/>
              </w:rPr>
              <w:t>, then manually accept the Sunquest result of nonreactive.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2639" w:rsidRPr="00C658D2">
              <w:rPr>
                <w:rFonts w:ascii="Arial" w:hAnsi="Arial" w:cs="Arial"/>
                <w:b/>
                <w:sz w:val="20"/>
                <w:szCs w:val="20"/>
              </w:rPr>
              <w:t>Do not free-text “non-reactive.”</w:t>
            </w:r>
            <w:r w:rsidR="00252639" w:rsidRPr="00E76CAC">
              <w:rPr>
                <w:rFonts w:ascii="Arial" w:hAnsi="Arial" w:cs="Arial"/>
                <w:sz w:val="20"/>
                <w:szCs w:val="20"/>
              </w:rPr>
              <w:t xml:space="preserve">  If you wish to manually enter your result in MEM, you must enter the numeric value of one of the non-reactive results so that the appropriate comment will append.</w:t>
            </w:r>
          </w:p>
          <w:p w:rsidR="006B523E" w:rsidRPr="00E76CAC" w:rsidRDefault="00252639" w:rsidP="006B523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 xml:space="preserve">If one of the repeat tests is 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>&lt;1 and the other test is-</w:t>
            </w:r>
            <w:r w:rsidR="00DA6C79">
              <w:rPr>
                <w:rFonts w:ascii="Arial" w:hAnsi="Arial" w:cs="Arial"/>
                <w:sz w:val="20"/>
                <w:szCs w:val="20"/>
              </w:rPr>
              <w:t>≥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>1reactive,</w:t>
            </w:r>
            <w:r w:rsidR="00C658D2">
              <w:rPr>
                <w:rFonts w:ascii="Arial" w:hAnsi="Arial" w:cs="Arial"/>
                <w:sz w:val="20"/>
                <w:szCs w:val="20"/>
              </w:rPr>
              <w:t xml:space="preserve"> then (M) modify the result in S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>unquest. When modifying resu</w:t>
            </w:r>
            <w:r w:rsidR="00C658D2">
              <w:rPr>
                <w:rFonts w:ascii="Arial" w:hAnsi="Arial" w:cs="Arial"/>
                <w:sz w:val="20"/>
                <w:szCs w:val="20"/>
              </w:rPr>
              <w:t>lts you must enter the reactive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23E" w:rsidRPr="00C658D2">
              <w:rPr>
                <w:rFonts w:ascii="Arial" w:hAnsi="Arial" w:cs="Arial"/>
                <w:b/>
                <w:sz w:val="20"/>
                <w:szCs w:val="20"/>
              </w:rPr>
              <w:t>numeric</w:t>
            </w:r>
            <w:r w:rsidR="006B523E" w:rsidRPr="00E76CAC">
              <w:rPr>
                <w:rFonts w:ascii="Arial" w:hAnsi="Arial" w:cs="Arial"/>
                <w:sz w:val="20"/>
                <w:szCs w:val="20"/>
              </w:rPr>
              <w:t xml:space="preserve"> result from the analyzer and Sunquest will change the numerical result to th</w:t>
            </w:r>
            <w:r w:rsidR="00C658D2">
              <w:rPr>
                <w:rFonts w:ascii="Arial" w:hAnsi="Arial" w:cs="Arial"/>
                <w:sz w:val="20"/>
                <w:szCs w:val="20"/>
              </w:rPr>
              <w:t>e correct interpretation</w:t>
            </w:r>
            <w:r w:rsidR="00E76CAC">
              <w:rPr>
                <w:rFonts w:ascii="Arial" w:hAnsi="Arial" w:cs="Arial"/>
                <w:sz w:val="20"/>
                <w:szCs w:val="20"/>
              </w:rPr>
              <w:t xml:space="preserve"> and append the correct comment.</w:t>
            </w:r>
          </w:p>
          <w:p w:rsidR="00E453F1" w:rsidRPr="00E76CAC" w:rsidRDefault="006B523E" w:rsidP="00E453F1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76CAC">
              <w:rPr>
                <w:rFonts w:ascii="Arial" w:hAnsi="Arial" w:cs="Arial"/>
                <w:sz w:val="20"/>
                <w:szCs w:val="20"/>
              </w:rPr>
              <w:t xml:space="preserve">If both repeat tests are </w:t>
            </w:r>
            <w:r w:rsidR="00DA6C79">
              <w:rPr>
                <w:rFonts w:ascii="Arial" w:hAnsi="Arial" w:cs="Arial"/>
                <w:sz w:val="20"/>
                <w:szCs w:val="20"/>
              </w:rPr>
              <w:t>≥</w:t>
            </w:r>
            <w:r w:rsidRPr="00E76CAC">
              <w:rPr>
                <w:rFonts w:ascii="Arial" w:hAnsi="Arial" w:cs="Arial"/>
                <w:sz w:val="20"/>
                <w:szCs w:val="20"/>
              </w:rPr>
              <w:t>1 r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eactive, accept one of the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Sunquest result</w:t>
            </w:r>
            <w:r w:rsidR="004222A1" w:rsidRPr="00E76CAC">
              <w:rPr>
                <w:rFonts w:ascii="Arial" w:hAnsi="Arial" w:cs="Arial"/>
                <w:sz w:val="20"/>
                <w:szCs w:val="20"/>
              </w:rPr>
              <w:t>s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of reactive.</w:t>
            </w:r>
            <w:r w:rsidR="00C658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CAC" w:rsidRPr="00E76CAC">
              <w:rPr>
                <w:rFonts w:ascii="Arial" w:hAnsi="Arial" w:cs="Arial"/>
                <w:sz w:val="20"/>
                <w:szCs w:val="20"/>
              </w:rPr>
              <w:t>Mayo</w:t>
            </w:r>
            <w:r w:rsidR="00C658D2">
              <w:rPr>
                <w:rFonts w:ascii="Arial" w:hAnsi="Arial" w:cs="Arial"/>
                <w:sz w:val="20"/>
                <w:szCs w:val="20"/>
              </w:rPr>
              <w:t xml:space="preserve"> Medical Laboratories test HIVDI</w:t>
            </w:r>
            <w:r w:rsidR="00E76CAC" w:rsidRPr="00E76CAC">
              <w:rPr>
                <w:rFonts w:ascii="Arial" w:hAnsi="Arial" w:cs="Arial"/>
                <w:sz w:val="20"/>
                <w:szCs w:val="20"/>
              </w:rPr>
              <w:t xml:space="preserve"> will automatically reflex for confirmati</w:t>
            </w:r>
            <w:r w:rsidR="00E76CAC">
              <w:rPr>
                <w:rFonts w:ascii="Arial" w:hAnsi="Arial" w:cs="Arial"/>
                <w:sz w:val="20"/>
                <w:szCs w:val="20"/>
              </w:rPr>
              <w:t>on and a label will print.  Place</w:t>
            </w:r>
            <w:r w:rsidR="00E76CAC" w:rsidRP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D0B">
              <w:rPr>
                <w:rFonts w:ascii="Arial" w:hAnsi="Arial" w:cs="Arial"/>
                <w:sz w:val="20"/>
                <w:szCs w:val="20"/>
              </w:rPr>
              <w:t xml:space="preserve">label on </w:t>
            </w:r>
            <w:r w:rsidR="00E76CAC" w:rsidRPr="00E76CAC">
              <w:rPr>
                <w:rFonts w:ascii="Arial" w:hAnsi="Arial" w:cs="Arial"/>
                <w:sz w:val="20"/>
                <w:szCs w:val="20"/>
              </w:rPr>
              <w:t>sample</w:t>
            </w:r>
            <w:r w:rsidR="00E7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D0B">
              <w:rPr>
                <w:rFonts w:ascii="Arial" w:hAnsi="Arial" w:cs="Arial"/>
                <w:sz w:val="20"/>
                <w:szCs w:val="20"/>
              </w:rPr>
              <w:t xml:space="preserve">and place </w:t>
            </w:r>
            <w:r w:rsidR="00E76CAC">
              <w:rPr>
                <w:rFonts w:ascii="Arial" w:hAnsi="Arial" w:cs="Arial"/>
                <w:sz w:val="20"/>
                <w:szCs w:val="20"/>
              </w:rPr>
              <w:t>in the Send outs freezer for transport to</w:t>
            </w:r>
            <w:r w:rsidR="00E76CAC" w:rsidRPr="00E76CAC">
              <w:rPr>
                <w:rFonts w:ascii="Arial" w:hAnsi="Arial" w:cs="Arial"/>
                <w:sz w:val="20"/>
                <w:szCs w:val="20"/>
              </w:rPr>
              <w:t xml:space="preserve"> MML.</w:t>
            </w:r>
          </w:p>
          <w:p w:rsidR="00F75788" w:rsidRDefault="00F75788" w:rsidP="00627678">
            <w:pPr>
              <w:rPr>
                <w:rFonts w:cs="Arial"/>
                <w:b/>
                <w:noProof/>
                <w:szCs w:val="20"/>
              </w:rPr>
            </w:pPr>
          </w:p>
          <w:tbl>
            <w:tblPr>
              <w:tblW w:w="8626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1788"/>
              <w:gridCol w:w="1297"/>
              <w:gridCol w:w="2538"/>
              <w:gridCol w:w="1725"/>
            </w:tblGrid>
            <w:tr w:rsidR="00762D9A" w:rsidRPr="00EA321D" w:rsidTr="00762D9A">
              <w:trPr>
                <w:trHeight w:val="467"/>
                <w:jc w:val="center"/>
              </w:trPr>
              <w:tc>
                <w:tcPr>
                  <w:tcW w:w="1278" w:type="dxa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  <w:b/>
                    </w:rPr>
                  </w:pPr>
                  <w:r w:rsidRPr="00EA321D">
                    <w:rPr>
                      <w:rFonts w:cs="Arial"/>
                      <w:b/>
                    </w:rPr>
                    <w:t>Initial Result</w:t>
                  </w:r>
                </w:p>
              </w:tc>
              <w:tc>
                <w:tcPr>
                  <w:tcW w:w="1788" w:type="dxa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  <w:b/>
                    </w:rPr>
                  </w:pPr>
                  <w:r w:rsidRPr="00EA321D">
                    <w:rPr>
                      <w:rFonts w:cs="Arial"/>
                      <w:b/>
                    </w:rPr>
                    <w:t>Retest Result</w:t>
                  </w:r>
                </w:p>
              </w:tc>
              <w:tc>
                <w:tcPr>
                  <w:tcW w:w="1297" w:type="dxa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  <w:b/>
                    </w:rPr>
                  </w:pPr>
                  <w:r w:rsidRPr="00EA321D">
                    <w:rPr>
                      <w:rFonts w:cs="Arial"/>
                      <w:b/>
                    </w:rPr>
                    <w:t>Result</w:t>
                  </w:r>
                </w:p>
              </w:tc>
              <w:tc>
                <w:tcPr>
                  <w:tcW w:w="2538" w:type="dxa"/>
                </w:tcPr>
                <w:p w:rsidR="00762D9A" w:rsidRPr="00EA321D" w:rsidRDefault="00426D0B" w:rsidP="00762D9A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Inter</w:t>
                  </w:r>
                  <w:r w:rsidR="00762D9A" w:rsidRPr="00EA321D">
                    <w:rPr>
                      <w:rFonts w:cs="Arial"/>
                      <w:b/>
                    </w:rPr>
                    <w:t>pretation</w:t>
                  </w:r>
                </w:p>
              </w:tc>
              <w:tc>
                <w:tcPr>
                  <w:tcW w:w="1725" w:type="dxa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  <w:b/>
                    </w:rPr>
                  </w:pPr>
                  <w:r w:rsidRPr="00EA321D">
                    <w:rPr>
                      <w:rFonts w:cs="Arial"/>
                      <w:b/>
                    </w:rPr>
                    <w:t>What to enter into Sunquest</w:t>
                  </w:r>
                </w:p>
              </w:tc>
            </w:tr>
            <w:tr w:rsidR="00762D9A" w:rsidRPr="00EA321D" w:rsidTr="00762D9A">
              <w:trPr>
                <w:trHeight w:val="467"/>
                <w:jc w:val="center"/>
              </w:trPr>
              <w:tc>
                <w:tcPr>
                  <w:tcW w:w="1278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&lt;1</w:t>
                  </w:r>
                  <w:r w:rsidRPr="00EA321D">
                    <w:rPr>
                      <w:rFonts w:cs="Arial"/>
                    </w:rPr>
                    <w:t xml:space="preserve"> S/CO</w:t>
                  </w:r>
                  <w:r w:rsidR="005A33A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1788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No Retest Required</w:t>
                  </w:r>
                </w:p>
              </w:tc>
              <w:tc>
                <w:tcPr>
                  <w:tcW w:w="1297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Nonreactive</w:t>
                  </w:r>
                </w:p>
              </w:tc>
              <w:tc>
                <w:tcPr>
                  <w:tcW w:w="2538" w:type="dxa"/>
                  <w:vAlign w:val="center"/>
                </w:tcPr>
                <w:p w:rsidR="00762D9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HIV Ag/Ab not detected</w:t>
                  </w:r>
                </w:p>
              </w:tc>
              <w:tc>
                <w:tcPr>
                  <w:tcW w:w="1725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Accept Result</w:t>
                  </w:r>
                </w:p>
              </w:tc>
            </w:tr>
            <w:tr w:rsidR="0000423A" w:rsidRPr="00EA321D" w:rsidTr="00762D9A">
              <w:trPr>
                <w:trHeight w:val="701"/>
                <w:jc w:val="center"/>
              </w:trPr>
              <w:tc>
                <w:tcPr>
                  <w:tcW w:w="1278" w:type="dxa"/>
                  <w:vMerge w:val="restart"/>
                  <w:vAlign w:val="center"/>
                </w:tcPr>
                <w:p w:rsidR="0000423A" w:rsidRDefault="0000423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≥</w:t>
                  </w:r>
                  <w:r>
                    <w:rPr>
                      <w:rFonts w:cs="Arial"/>
                    </w:rPr>
                    <w:t>1 S/CO</w:t>
                  </w:r>
                  <w:r w:rsidR="005A33A5">
                    <w:rPr>
                      <w:rFonts w:cs="Arial"/>
                    </w:rPr>
                    <w:t>:</w:t>
                  </w:r>
                </w:p>
                <w:p w:rsidR="0000423A" w:rsidRPr="00EA321D" w:rsidRDefault="005A33A5" w:rsidP="00762D9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CHECK SAMPLE and </w:t>
                  </w:r>
                  <w:r w:rsidR="0000423A">
                    <w:rPr>
                      <w:rFonts w:cs="Arial"/>
                    </w:rPr>
                    <w:t>Retest in duplicate</w:t>
                  </w:r>
                </w:p>
              </w:tc>
              <w:tc>
                <w:tcPr>
                  <w:tcW w:w="1788" w:type="dxa"/>
                  <w:vAlign w:val="center"/>
                </w:tcPr>
                <w:p w:rsidR="0000423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Both of the duplicate retests are &lt;</w:t>
                  </w:r>
                  <w:r>
                    <w:rPr>
                      <w:rFonts w:cs="Arial"/>
                    </w:rPr>
                    <w:t>1</w:t>
                  </w:r>
                  <w:r w:rsidRPr="00EA321D">
                    <w:rPr>
                      <w:rFonts w:cs="Arial"/>
                    </w:rPr>
                    <w:t xml:space="preserve"> S/CO</w:t>
                  </w:r>
                </w:p>
              </w:tc>
              <w:tc>
                <w:tcPr>
                  <w:tcW w:w="1297" w:type="dxa"/>
                  <w:vAlign w:val="center"/>
                </w:tcPr>
                <w:p w:rsidR="0000423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Nonreactive</w:t>
                  </w:r>
                </w:p>
              </w:tc>
              <w:tc>
                <w:tcPr>
                  <w:tcW w:w="2538" w:type="dxa"/>
                  <w:vAlign w:val="center"/>
                </w:tcPr>
                <w:p w:rsidR="0000423A" w:rsidRPr="00EA321D" w:rsidRDefault="0000423A" w:rsidP="0000423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HIV Ag/Ab not detected</w:t>
                  </w:r>
                </w:p>
              </w:tc>
              <w:tc>
                <w:tcPr>
                  <w:tcW w:w="1725" w:type="dxa"/>
                  <w:vAlign w:val="center"/>
                </w:tcPr>
                <w:p w:rsidR="0000423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Accept Result of Nonreactive</w:t>
                  </w:r>
                </w:p>
              </w:tc>
            </w:tr>
            <w:tr w:rsidR="0000423A" w:rsidRPr="00EA321D" w:rsidTr="00762D9A">
              <w:trPr>
                <w:trHeight w:val="701"/>
                <w:jc w:val="center"/>
              </w:trPr>
              <w:tc>
                <w:tcPr>
                  <w:tcW w:w="1278" w:type="dxa"/>
                  <w:vMerge/>
                  <w:vAlign w:val="center"/>
                </w:tcPr>
                <w:p w:rsidR="0000423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0423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One result &lt;1 S/CO and the other result is ≥</w:t>
                  </w:r>
                  <w:r w:rsidRPr="00EA321D">
                    <w:rPr>
                      <w:rFonts w:cs="Arial"/>
                    </w:rPr>
                    <w:t>1.0 S/CO</w:t>
                  </w:r>
                </w:p>
              </w:tc>
              <w:tc>
                <w:tcPr>
                  <w:tcW w:w="1297" w:type="dxa"/>
                  <w:vAlign w:val="center"/>
                </w:tcPr>
                <w:p w:rsidR="0000423A" w:rsidRPr="00EA321D" w:rsidRDefault="0000423A" w:rsidP="00762D9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Reactive</w:t>
                  </w:r>
                </w:p>
              </w:tc>
              <w:tc>
                <w:tcPr>
                  <w:tcW w:w="2538" w:type="dxa"/>
                  <w:vAlign w:val="center"/>
                </w:tcPr>
                <w:p w:rsidR="00A8287A" w:rsidRDefault="005A33A5" w:rsidP="00A8287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A8287A" w:rsidRPr="00EA321D">
                    <w:rPr>
                      <w:rFonts w:cs="Arial"/>
                    </w:rPr>
                    <w:t xml:space="preserve">Presumptive evidence of </w:t>
                  </w:r>
                  <w:r w:rsidR="00A8287A">
                    <w:rPr>
                      <w:rFonts w:cs="Arial"/>
                    </w:rPr>
                    <w:t>HIV-1 p24 Ag and Or HIV-1/HIV-2 AB.</w:t>
                  </w:r>
                  <w:r>
                    <w:rPr>
                      <w:rFonts w:cs="Arial"/>
                    </w:rPr>
                    <w:t xml:space="preserve"> Confirmatory testing reflexed.” </w:t>
                  </w:r>
                  <w:r w:rsidR="00A8287A" w:rsidRPr="00EA321D">
                    <w:rPr>
                      <w:rFonts w:cs="Arial"/>
                    </w:rPr>
                    <w:t xml:space="preserve"> </w:t>
                  </w:r>
                  <w:r w:rsidR="00C658D2">
                    <w:rPr>
                      <w:rFonts w:cs="Arial"/>
                    </w:rPr>
                    <w:t xml:space="preserve">Send </w:t>
                  </w:r>
                  <w:r w:rsidR="00A8287A" w:rsidRPr="00EA321D">
                    <w:rPr>
                      <w:rFonts w:cs="Arial"/>
                    </w:rPr>
                    <w:t>to MML (</w:t>
                  </w:r>
                  <w:r w:rsidR="00A8287A">
                    <w:rPr>
                      <w:rFonts w:cs="Arial"/>
                    </w:rPr>
                    <w:t>HIVDI</w:t>
                  </w:r>
                  <w:r w:rsidR="00A8287A" w:rsidRPr="00EA321D">
                    <w:rPr>
                      <w:rFonts w:cs="Arial"/>
                    </w:rPr>
                    <w:t>)</w:t>
                  </w:r>
                </w:p>
                <w:p w:rsidR="0000423A" w:rsidRDefault="00426D0B" w:rsidP="00A8287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>Freeze</w:t>
                  </w:r>
                  <w:r w:rsidR="00A8287A" w:rsidRPr="006148C5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Minimum </w:t>
                  </w:r>
                  <w:r w:rsidR="00A8287A" w:rsidRPr="006148C5">
                    <w:rPr>
                      <w:rFonts w:cs="Arial"/>
                      <w:b/>
                    </w:rPr>
                    <w:t>0.</w:t>
                  </w:r>
                  <w:r w:rsidR="00303FA1">
                    <w:rPr>
                      <w:rFonts w:cs="Arial"/>
                      <w:b/>
                    </w:rPr>
                    <w:t xml:space="preserve">8 </w:t>
                  </w:r>
                  <w:r w:rsidR="00A8287A" w:rsidRPr="006148C5">
                    <w:rPr>
                      <w:rFonts w:cs="Arial"/>
                      <w:b/>
                    </w:rPr>
                    <w:t xml:space="preserve">mL </w:t>
                  </w:r>
                  <w:r w:rsidR="00AD4510">
                    <w:rPr>
                      <w:rFonts w:cs="Arial"/>
                      <w:b/>
                    </w:rPr>
                    <w:t>EDTA plasma</w:t>
                  </w:r>
                </w:p>
              </w:tc>
              <w:tc>
                <w:tcPr>
                  <w:tcW w:w="1725" w:type="dxa"/>
                  <w:vAlign w:val="center"/>
                </w:tcPr>
                <w:p w:rsidR="00A8287A" w:rsidRPr="00EA321D" w:rsidRDefault="005A33A5" w:rsidP="00A8287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Accept Result of Reactive or manually enter the NUMERICAL result value.</w:t>
                  </w:r>
                </w:p>
                <w:p w:rsidR="0000423A" w:rsidRPr="00EA321D" w:rsidRDefault="0000423A" w:rsidP="00A8287A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62D9A" w:rsidRPr="00EA321D" w:rsidTr="00762D9A">
              <w:trPr>
                <w:trHeight w:val="245"/>
                <w:jc w:val="center"/>
              </w:trPr>
              <w:tc>
                <w:tcPr>
                  <w:tcW w:w="1278" w:type="dxa"/>
                  <w:vMerge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 xml:space="preserve">Both of the duplicate retests are </w:t>
                  </w:r>
                  <w:r>
                    <w:rPr>
                      <w:rFonts w:cs="Arial"/>
                    </w:rPr>
                    <w:t>≥</w:t>
                  </w:r>
                  <w:r w:rsidRPr="00EA321D">
                    <w:rPr>
                      <w:rFonts w:cs="Arial"/>
                    </w:rPr>
                    <w:t>1.0 S/CO</w:t>
                  </w:r>
                </w:p>
              </w:tc>
              <w:tc>
                <w:tcPr>
                  <w:tcW w:w="1297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Reactive</w:t>
                  </w:r>
                </w:p>
              </w:tc>
              <w:tc>
                <w:tcPr>
                  <w:tcW w:w="2538" w:type="dxa"/>
                  <w:vAlign w:val="center"/>
                </w:tcPr>
                <w:p w:rsidR="00762D9A" w:rsidRDefault="00C658D2" w:rsidP="00762D9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“</w:t>
                  </w:r>
                  <w:r w:rsidR="00762D9A" w:rsidRPr="00EA321D">
                    <w:rPr>
                      <w:rFonts w:cs="Arial"/>
                    </w:rPr>
                    <w:t xml:space="preserve">Presumptive evidence of </w:t>
                  </w:r>
                  <w:r w:rsidR="00A8287A">
                    <w:rPr>
                      <w:rFonts w:cs="Arial"/>
                    </w:rPr>
                    <w:t>HIV-1 p24 Ag and O</w:t>
                  </w:r>
                  <w:r w:rsidR="0000423A">
                    <w:rPr>
                      <w:rFonts w:cs="Arial"/>
                    </w:rPr>
                    <w:t>r HIV-1/HIV-2 AB.</w:t>
                  </w:r>
                  <w:r w:rsidR="00762D9A" w:rsidRPr="00EA321D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Confirmatory</w:t>
                  </w:r>
                  <w:r w:rsidR="00762D9A" w:rsidRPr="00EA321D">
                    <w:rPr>
                      <w:rFonts w:cs="Arial"/>
                    </w:rPr>
                    <w:t xml:space="preserve"> testing</w:t>
                  </w:r>
                  <w:r>
                    <w:rPr>
                      <w:rFonts w:cs="Arial"/>
                    </w:rPr>
                    <w:t xml:space="preserve"> reflexed.” Send</w:t>
                  </w:r>
                  <w:r w:rsidR="00762D9A" w:rsidRPr="00EA321D">
                    <w:rPr>
                      <w:rFonts w:cs="Arial"/>
                    </w:rPr>
                    <w:t xml:space="preserve"> to MML (</w:t>
                  </w:r>
                  <w:r w:rsidR="0000423A">
                    <w:rPr>
                      <w:rFonts w:cs="Arial"/>
                    </w:rPr>
                    <w:t>HIVDI</w:t>
                  </w:r>
                  <w:r w:rsidR="00762D9A" w:rsidRPr="00EA321D">
                    <w:rPr>
                      <w:rFonts w:cs="Arial"/>
                    </w:rPr>
                    <w:t>)</w:t>
                  </w:r>
                </w:p>
                <w:p w:rsidR="00762D9A" w:rsidRPr="006148C5" w:rsidRDefault="00BA17DA" w:rsidP="00A8287A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F</w:t>
                  </w:r>
                  <w:r w:rsidR="00426D0B">
                    <w:rPr>
                      <w:rFonts w:cs="Arial"/>
                      <w:b/>
                    </w:rPr>
                    <w:t>reeze</w:t>
                  </w:r>
                  <w:r w:rsidR="00762D9A" w:rsidRPr="006148C5">
                    <w:rPr>
                      <w:rFonts w:cs="Arial"/>
                      <w:b/>
                    </w:rPr>
                    <w:t xml:space="preserve"> </w:t>
                  </w:r>
                  <w:r w:rsidR="008A10BF">
                    <w:rPr>
                      <w:rFonts w:cs="Arial"/>
                      <w:b/>
                    </w:rPr>
                    <w:t xml:space="preserve">Minimum </w:t>
                  </w:r>
                  <w:r w:rsidR="00762D9A" w:rsidRPr="006148C5">
                    <w:rPr>
                      <w:rFonts w:cs="Arial"/>
                      <w:b/>
                    </w:rPr>
                    <w:t>0.</w:t>
                  </w:r>
                  <w:r w:rsidR="00303FA1">
                    <w:rPr>
                      <w:rFonts w:cs="Arial"/>
                      <w:b/>
                    </w:rPr>
                    <w:t xml:space="preserve">8 </w:t>
                  </w:r>
                  <w:r w:rsidR="00AD4510">
                    <w:rPr>
                      <w:rFonts w:cs="Arial"/>
                      <w:b/>
                    </w:rPr>
                    <w:t>mL EDTA plasma</w:t>
                  </w:r>
                  <w:r w:rsidR="00762D9A" w:rsidRPr="006148C5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1725" w:type="dxa"/>
                  <w:vAlign w:val="center"/>
                </w:tcPr>
                <w:p w:rsidR="00762D9A" w:rsidRPr="00EA321D" w:rsidRDefault="00762D9A" w:rsidP="00762D9A">
                  <w:pPr>
                    <w:jc w:val="center"/>
                    <w:rPr>
                      <w:rFonts w:cs="Arial"/>
                    </w:rPr>
                  </w:pPr>
                  <w:r w:rsidRPr="00EA321D">
                    <w:rPr>
                      <w:rFonts w:cs="Arial"/>
                    </w:rPr>
                    <w:t>Accept Result of Reactive.</w:t>
                  </w:r>
                </w:p>
                <w:p w:rsidR="00762D9A" w:rsidRPr="00EA321D" w:rsidRDefault="00762D9A" w:rsidP="0000423A">
                  <w:pPr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762D9A" w:rsidRPr="00E76CAC" w:rsidRDefault="00762D9A" w:rsidP="00627678">
            <w:pPr>
              <w:rPr>
                <w:rFonts w:cs="Arial"/>
                <w:b/>
                <w:noProof/>
                <w:szCs w:val="20"/>
              </w:rPr>
            </w:pPr>
          </w:p>
          <w:p w:rsidR="00C33633" w:rsidRPr="00E76CAC" w:rsidRDefault="00C33633" w:rsidP="0062767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8C6EDC" w:rsidTr="00E76CAC">
        <w:trPr>
          <w:cantSplit/>
          <w:trHeight w:val="873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:rsidR="00C658D2" w:rsidRDefault="00C658D2" w:rsidP="008C6EDC">
            <w:pPr>
              <w:rPr>
                <w:rFonts w:cs="Arial"/>
                <w:b/>
                <w:bCs/>
                <w:color w:val="0000FF"/>
              </w:rPr>
            </w:pPr>
          </w:p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Interferences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C658D2" w:rsidRDefault="00C658D2" w:rsidP="005A33A5">
            <w:pPr>
              <w:autoSpaceDE w:val="0"/>
              <w:autoSpaceDN w:val="0"/>
              <w:adjustRightInd w:val="0"/>
              <w:rPr>
                <w:rFonts w:eastAsia="HelenPro-Bold" w:cs="Arial"/>
                <w:b/>
                <w:bCs/>
                <w:szCs w:val="20"/>
              </w:rPr>
            </w:pPr>
          </w:p>
          <w:p w:rsidR="005A33A5" w:rsidRPr="005A33A5" w:rsidRDefault="005A33A5" w:rsidP="005A33A5">
            <w:pPr>
              <w:autoSpaceDE w:val="0"/>
              <w:autoSpaceDN w:val="0"/>
              <w:adjustRightInd w:val="0"/>
              <w:rPr>
                <w:rFonts w:eastAsia="HelenPro-Bold" w:cs="Arial"/>
                <w:b/>
                <w:bCs/>
                <w:szCs w:val="20"/>
              </w:rPr>
            </w:pPr>
            <w:r w:rsidRPr="005A33A5">
              <w:rPr>
                <w:rFonts w:eastAsia="HelenPro-Bold" w:cs="Arial"/>
                <w:b/>
                <w:bCs/>
                <w:szCs w:val="20"/>
              </w:rPr>
              <w:t>For accurate results, serum and plasma specimens should be free of</w:t>
            </w:r>
            <w:r>
              <w:rPr>
                <w:rFonts w:eastAsia="HelenPro-Bold" w:cs="Arial"/>
                <w:b/>
                <w:bCs/>
                <w:szCs w:val="20"/>
              </w:rPr>
              <w:t xml:space="preserve"> </w:t>
            </w:r>
            <w:r w:rsidRPr="005A33A5">
              <w:rPr>
                <w:rFonts w:eastAsia="HelenPro-Bold" w:cs="Arial"/>
                <w:b/>
                <w:bCs/>
                <w:szCs w:val="20"/>
              </w:rPr>
              <w:t xml:space="preserve">fibrin, red blood cells, and other particulate matter. </w:t>
            </w:r>
            <w:r w:rsidRPr="005A33A5">
              <w:rPr>
                <w:rFonts w:eastAsia="HelenPro-Regular" w:cs="Arial"/>
                <w:szCs w:val="20"/>
              </w:rPr>
              <w:t>Serum specimens</w:t>
            </w:r>
            <w:r>
              <w:rPr>
                <w:rFonts w:eastAsia="HelenPro-Bold" w:cs="Arial"/>
                <w:b/>
                <w:bCs/>
                <w:szCs w:val="20"/>
              </w:rPr>
              <w:t xml:space="preserve"> </w:t>
            </w:r>
            <w:r w:rsidRPr="005A33A5">
              <w:rPr>
                <w:rFonts w:eastAsia="HelenPro-Regular" w:cs="Arial"/>
                <w:szCs w:val="20"/>
              </w:rPr>
              <w:t>from patients receiving anticoagulant or thrombolytic therapy may contain</w:t>
            </w:r>
            <w:r>
              <w:rPr>
                <w:rFonts w:eastAsia="HelenPro-Regular" w:cs="Arial"/>
                <w:szCs w:val="20"/>
              </w:rPr>
              <w:t xml:space="preserve"> </w:t>
            </w:r>
            <w:r w:rsidRPr="005A33A5">
              <w:rPr>
                <w:rFonts w:eastAsia="HelenPro-Regular" w:cs="Arial"/>
                <w:szCs w:val="20"/>
              </w:rPr>
              <w:t>fibrin due to incomplete clot formation.</w:t>
            </w:r>
            <w:r>
              <w:rPr>
                <w:rFonts w:cs="Arial"/>
                <w:szCs w:val="20"/>
              </w:rPr>
              <w:t xml:space="preserve">  Reactive samples must be checked prior to retesting and recentrifuged if red cells or fibrin are visible or suspected.</w:t>
            </w:r>
          </w:p>
          <w:p w:rsidR="005A33A5" w:rsidRDefault="005A33A5" w:rsidP="005A33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82A92" w:rsidRDefault="00E76CAC" w:rsidP="005A33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5A33A5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known interfering substances detected in testing done by Abbott Laboratories.  </w:t>
            </w:r>
          </w:p>
          <w:p w:rsidR="00C658D2" w:rsidRPr="00E63CB7" w:rsidRDefault="00C658D2" w:rsidP="005A33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EDC" w:rsidTr="004222A1">
        <w:trPr>
          <w:trHeight w:val="945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Pr="004D6965" w:rsidRDefault="008C6EDC" w:rsidP="008C6EDC">
            <w:pPr>
              <w:jc w:val="both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 Range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1F2FF6" w:rsidRDefault="004222A1" w:rsidP="008C6ED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&lt;1 S/CO = N</w:t>
            </w:r>
            <w:r w:rsidR="00E453F1">
              <w:rPr>
                <w:rFonts w:cs="Arial"/>
              </w:rPr>
              <w:t>onreactive</w:t>
            </w:r>
          </w:p>
        </w:tc>
      </w:tr>
      <w:tr w:rsidR="008C6EDC" w:rsidTr="00677231">
        <w:trPr>
          <w:trHeight w:val="701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Critical Values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rPr>
                <w:rFonts w:cs="Arial"/>
              </w:rPr>
            </w:pPr>
            <w:r>
              <w:rPr>
                <w:rFonts w:cs="Arial"/>
              </w:rPr>
              <w:t>None specified</w:t>
            </w:r>
          </w:p>
        </w:tc>
      </w:tr>
      <w:tr w:rsidR="008C6EDC" w:rsidTr="00677231">
        <w:trPr>
          <w:trHeight w:val="593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Limitations</w:t>
            </w:r>
          </w:p>
          <w:p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8C6EDC" w:rsidRDefault="008C6EDC">
            <w:pPr>
              <w:rPr>
                <w:rFonts w:cs="Arial"/>
              </w:rPr>
            </w:pPr>
          </w:p>
          <w:p w:rsidR="00E453F1" w:rsidRDefault="00E453F1">
            <w:pPr>
              <w:rPr>
                <w:rFonts w:cs="Arial"/>
              </w:rPr>
            </w:pPr>
            <w:r>
              <w:rPr>
                <w:rFonts w:cs="Arial"/>
              </w:rPr>
              <w:t>Technical range 0-99,999,999 S/CO</w:t>
            </w:r>
          </w:p>
          <w:p w:rsidR="00E453F1" w:rsidRDefault="00E453F1">
            <w:pPr>
              <w:rPr>
                <w:rFonts w:cs="Arial"/>
              </w:rPr>
            </w:pPr>
          </w:p>
          <w:p w:rsidR="008C6EDC" w:rsidRDefault="008C6EDC">
            <w:pPr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The instrument reporting system contains error messages to warn the op</w:t>
            </w:r>
            <w:r w:rsidR="001F2FF6">
              <w:rPr>
                <w:rFonts w:cs="Arial"/>
                <w:color w:val="000000"/>
                <w:szCs w:val="15"/>
              </w:rPr>
              <w:t>erator of specific malfunctions</w:t>
            </w:r>
            <w:r>
              <w:rPr>
                <w:rFonts w:cs="Arial"/>
                <w:color w:val="000000"/>
                <w:szCs w:val="15"/>
              </w:rPr>
              <w:t xml:space="preserve">. Refer to </w:t>
            </w:r>
            <w:r w:rsidR="001F2FF6">
              <w:rPr>
                <w:rFonts w:cs="Arial"/>
                <w:color w:val="000000"/>
                <w:szCs w:val="15"/>
              </w:rPr>
              <w:t>Operator’s Manual</w:t>
            </w:r>
            <w:r>
              <w:rPr>
                <w:rFonts w:cs="Arial"/>
                <w:color w:val="000000"/>
                <w:szCs w:val="15"/>
              </w:rPr>
              <w:t xml:space="preserve"> for troubleshooting</w:t>
            </w:r>
            <w:r w:rsidR="008E43B5">
              <w:rPr>
                <w:rFonts w:cs="Arial"/>
                <w:color w:val="000000"/>
                <w:szCs w:val="15"/>
              </w:rPr>
              <w:t xml:space="preserve"> specific error messages</w:t>
            </w:r>
            <w:r>
              <w:rPr>
                <w:rFonts w:cs="Arial"/>
                <w:color w:val="000000"/>
                <w:szCs w:val="15"/>
              </w:rPr>
              <w:t>.</w:t>
            </w:r>
          </w:p>
          <w:p w:rsidR="00700132" w:rsidRDefault="00700132">
            <w:pPr>
              <w:rPr>
                <w:rFonts w:cs="Arial"/>
                <w:color w:val="000000"/>
                <w:szCs w:val="15"/>
              </w:rPr>
            </w:pPr>
          </w:p>
          <w:p w:rsidR="00700132" w:rsidRDefault="00700132" w:rsidP="00700132">
            <w:pPr>
              <w:rPr>
                <w:rFonts w:cs="Arial"/>
                <w:color w:val="000000"/>
                <w:szCs w:val="15"/>
              </w:rPr>
            </w:pPr>
            <w:r w:rsidRPr="00700132">
              <w:rPr>
                <w:rFonts w:cs="Arial"/>
                <w:color w:val="000000"/>
                <w:szCs w:val="15"/>
              </w:rPr>
              <w:t>An individual who has antibodies to HIV is presumed to be infected with the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700132">
              <w:rPr>
                <w:rFonts w:cs="Arial"/>
                <w:color w:val="000000"/>
                <w:szCs w:val="15"/>
              </w:rPr>
              <w:t>virus; however, an individual who has participated in an HIV vaccine study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700132">
              <w:rPr>
                <w:rFonts w:cs="Arial"/>
                <w:color w:val="000000"/>
                <w:szCs w:val="15"/>
              </w:rPr>
              <w:t>may develop antibodies to the vaccine and may or may not be infected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700132">
              <w:rPr>
                <w:rFonts w:cs="Arial"/>
                <w:color w:val="000000"/>
                <w:szCs w:val="15"/>
              </w:rPr>
              <w:t>with HIV. Clinical correlation is indicated with appropriate counseling,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700132">
              <w:rPr>
                <w:rFonts w:cs="Arial"/>
                <w:color w:val="000000"/>
                <w:szCs w:val="15"/>
              </w:rPr>
              <w:t>medical evaluation, and possibly additional testing to determine whether a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700132">
              <w:rPr>
                <w:rFonts w:cs="Arial"/>
                <w:color w:val="000000"/>
                <w:szCs w:val="15"/>
              </w:rPr>
              <w:t>diagnosis of HIV infection is accurate</w:t>
            </w:r>
          </w:p>
          <w:p w:rsidR="00B847F4" w:rsidRDefault="00B847F4" w:rsidP="00700132">
            <w:pPr>
              <w:rPr>
                <w:rFonts w:cs="Arial"/>
                <w:color w:val="000000"/>
                <w:szCs w:val="15"/>
              </w:rPr>
            </w:pPr>
          </w:p>
          <w:p w:rsidR="00B847F4" w:rsidRDefault="00B847F4" w:rsidP="00B847F4">
            <w:pPr>
              <w:rPr>
                <w:rFonts w:cs="Arial"/>
                <w:color w:val="000000"/>
                <w:szCs w:val="15"/>
              </w:rPr>
            </w:pPr>
            <w:r w:rsidRPr="00B847F4">
              <w:rPr>
                <w:rFonts w:cs="Arial"/>
                <w:color w:val="000000"/>
                <w:szCs w:val="15"/>
              </w:rPr>
              <w:t>The interpretation of specimens with a final result of reactive by the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B847F4">
              <w:rPr>
                <w:rFonts w:cs="Arial"/>
                <w:color w:val="000000"/>
                <w:szCs w:val="15"/>
              </w:rPr>
              <w:t xml:space="preserve">Alinity i HIV Ag/Ab Combo </w:t>
            </w:r>
            <w:r>
              <w:rPr>
                <w:rFonts w:cs="Arial"/>
                <w:color w:val="000000"/>
                <w:szCs w:val="15"/>
              </w:rPr>
              <w:t>a</w:t>
            </w:r>
            <w:r w:rsidRPr="00B847F4">
              <w:rPr>
                <w:rFonts w:cs="Arial"/>
                <w:color w:val="000000"/>
                <w:szCs w:val="15"/>
              </w:rPr>
              <w:t>ssay and indeterminate by supplemental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B847F4">
              <w:rPr>
                <w:rFonts w:cs="Arial"/>
                <w:color w:val="000000"/>
                <w:szCs w:val="15"/>
              </w:rPr>
              <w:t>testing is not definitive; further clarification may be obtained by testing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B847F4">
              <w:rPr>
                <w:rFonts w:cs="Arial"/>
                <w:color w:val="000000"/>
                <w:szCs w:val="15"/>
              </w:rPr>
              <w:t>another specimen</w:t>
            </w:r>
            <w:r>
              <w:rPr>
                <w:rFonts w:cs="Arial"/>
                <w:color w:val="000000"/>
                <w:szCs w:val="15"/>
              </w:rPr>
              <w:t xml:space="preserve"> taken at least 1 month later.</w:t>
            </w:r>
          </w:p>
          <w:p w:rsidR="00700132" w:rsidRDefault="00700132" w:rsidP="00700132">
            <w:pPr>
              <w:rPr>
                <w:rFonts w:cs="Arial"/>
                <w:color w:val="000000"/>
                <w:szCs w:val="15"/>
              </w:rPr>
            </w:pPr>
          </w:p>
          <w:p w:rsidR="00700132" w:rsidRDefault="00B847F4" w:rsidP="00700132">
            <w:pPr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 xml:space="preserve">The performance of these </w:t>
            </w:r>
            <w:r w:rsidR="00700132" w:rsidRPr="00700132">
              <w:rPr>
                <w:rFonts w:cs="Arial"/>
                <w:color w:val="000000"/>
                <w:szCs w:val="15"/>
              </w:rPr>
              <w:t>assay</w:t>
            </w:r>
            <w:r>
              <w:rPr>
                <w:rFonts w:cs="Arial"/>
                <w:color w:val="000000"/>
                <w:szCs w:val="15"/>
              </w:rPr>
              <w:t>s have</w:t>
            </w:r>
            <w:r w:rsidR="00700132" w:rsidRPr="00700132">
              <w:rPr>
                <w:rFonts w:cs="Arial"/>
                <w:color w:val="000000"/>
                <w:szCs w:val="15"/>
              </w:rPr>
              <w:t xml:space="preserve"> not been established for individuals</w:t>
            </w:r>
            <w:r w:rsidR="00700132">
              <w:rPr>
                <w:rFonts w:cs="Arial"/>
                <w:color w:val="000000"/>
                <w:szCs w:val="15"/>
              </w:rPr>
              <w:t xml:space="preserve"> </w:t>
            </w:r>
            <w:r w:rsidR="00700132" w:rsidRPr="00700132">
              <w:rPr>
                <w:rFonts w:cs="Arial"/>
                <w:color w:val="000000"/>
                <w:szCs w:val="15"/>
              </w:rPr>
              <w:t>younger than 2 years of age</w:t>
            </w:r>
            <w:r w:rsidR="005A33A5">
              <w:rPr>
                <w:rFonts w:cs="Arial"/>
                <w:color w:val="000000"/>
                <w:szCs w:val="15"/>
              </w:rPr>
              <w:t xml:space="preserve"> and is not recommended</w:t>
            </w:r>
            <w:r w:rsidR="00700132" w:rsidRPr="00700132">
              <w:rPr>
                <w:rFonts w:cs="Arial"/>
                <w:color w:val="000000"/>
                <w:szCs w:val="15"/>
              </w:rPr>
              <w:t xml:space="preserve">. </w:t>
            </w:r>
            <w:r w:rsidR="005A33A5">
              <w:rPr>
                <w:rFonts w:cs="Arial"/>
                <w:color w:val="000000"/>
                <w:szCs w:val="15"/>
              </w:rPr>
              <w:t xml:space="preserve"> </w:t>
            </w:r>
            <w:r w:rsidR="00700132" w:rsidRPr="00700132">
              <w:rPr>
                <w:rFonts w:cs="Arial"/>
                <w:color w:val="000000"/>
                <w:szCs w:val="15"/>
              </w:rPr>
              <w:t>Nearly all infants born to HIV</w:t>
            </w:r>
            <w:r w:rsidR="00700132" w:rsidRPr="00700132">
              <w:rPr>
                <w:rFonts w:ascii="MS Gothic" w:eastAsia="MS Gothic" w:hAnsi="MS Gothic" w:cs="Arial" w:hint="eastAsia"/>
                <w:color w:val="000000"/>
                <w:szCs w:val="15"/>
              </w:rPr>
              <w:t>‑</w:t>
            </w:r>
            <w:r w:rsidR="00700132" w:rsidRPr="00700132">
              <w:rPr>
                <w:rFonts w:cs="Arial"/>
                <w:color w:val="000000"/>
                <w:szCs w:val="15"/>
              </w:rPr>
              <w:t>infected</w:t>
            </w:r>
            <w:r w:rsidR="00700132">
              <w:rPr>
                <w:rFonts w:cs="Arial"/>
                <w:color w:val="000000"/>
                <w:szCs w:val="15"/>
              </w:rPr>
              <w:t xml:space="preserve"> </w:t>
            </w:r>
            <w:r w:rsidR="00700132" w:rsidRPr="00700132">
              <w:rPr>
                <w:rFonts w:cs="Arial"/>
                <w:color w:val="000000"/>
                <w:szCs w:val="15"/>
              </w:rPr>
              <w:t>mothers passively acquire maternal antibody and, in some cases, will</w:t>
            </w:r>
            <w:r w:rsidR="00700132">
              <w:rPr>
                <w:rFonts w:cs="Arial"/>
                <w:color w:val="000000"/>
                <w:szCs w:val="15"/>
              </w:rPr>
              <w:t xml:space="preserve"> </w:t>
            </w:r>
            <w:r w:rsidR="00700132" w:rsidRPr="00700132">
              <w:rPr>
                <w:rFonts w:cs="Arial"/>
                <w:color w:val="000000"/>
                <w:szCs w:val="15"/>
              </w:rPr>
              <w:t>test antibody positive until age 18 months regardless of whether they are</w:t>
            </w:r>
            <w:r w:rsidR="00700132">
              <w:rPr>
                <w:rFonts w:cs="Arial"/>
                <w:color w:val="000000"/>
                <w:szCs w:val="15"/>
              </w:rPr>
              <w:t xml:space="preserve"> </w:t>
            </w:r>
            <w:r w:rsidR="00700132" w:rsidRPr="00700132">
              <w:rPr>
                <w:rFonts w:cs="Arial"/>
                <w:color w:val="000000"/>
                <w:szCs w:val="15"/>
              </w:rPr>
              <w:t>infected. Definitive diagnosis of HIV infection in early infancy requires</w:t>
            </w:r>
            <w:r w:rsidR="00700132">
              <w:rPr>
                <w:rFonts w:cs="Arial"/>
                <w:color w:val="000000"/>
                <w:szCs w:val="15"/>
              </w:rPr>
              <w:t xml:space="preserve"> </w:t>
            </w:r>
            <w:r w:rsidR="00700132" w:rsidRPr="00700132">
              <w:rPr>
                <w:rFonts w:cs="Arial"/>
                <w:color w:val="000000"/>
                <w:szCs w:val="15"/>
              </w:rPr>
              <w:t>other assays, including HIV nuclei</w:t>
            </w:r>
            <w:r w:rsidR="00700132">
              <w:rPr>
                <w:rFonts w:cs="Arial"/>
                <w:color w:val="000000"/>
                <w:szCs w:val="15"/>
              </w:rPr>
              <w:t>c acid tests or viral culture.</w:t>
            </w:r>
            <w:bookmarkStart w:id="0" w:name="_GoBack"/>
            <w:bookmarkEnd w:id="0"/>
          </w:p>
          <w:p w:rsidR="008C6EDC" w:rsidRDefault="008C6EDC">
            <w:pPr>
              <w:rPr>
                <w:rFonts w:cs="Arial"/>
              </w:rPr>
            </w:pPr>
          </w:p>
        </w:tc>
      </w:tr>
      <w:tr w:rsidR="00E453F1" w:rsidTr="00677231">
        <w:trPr>
          <w:trHeight w:val="864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E453F1" w:rsidRDefault="00E453F1" w:rsidP="008C6EDC">
            <w:pPr>
              <w:rPr>
                <w:rFonts w:cs="Arial"/>
                <w:b/>
                <w:bCs/>
                <w:color w:val="0000FF"/>
              </w:rPr>
            </w:pPr>
          </w:p>
          <w:p w:rsidR="00E453F1" w:rsidRDefault="00E453F1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Dilutions</w:t>
            </w:r>
          </w:p>
          <w:p w:rsidR="00E453F1" w:rsidRDefault="00E453F1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E453F1" w:rsidRDefault="00E453F1" w:rsidP="00E453F1">
            <w:pPr>
              <w:rPr>
                <w:rFonts w:cs="Arial"/>
              </w:rPr>
            </w:pPr>
            <w:r>
              <w:rPr>
                <w:rFonts w:cs="Arial"/>
              </w:rPr>
              <w:t>None specified</w:t>
            </w:r>
          </w:p>
        </w:tc>
      </w:tr>
      <w:tr w:rsidR="00E453F1" w:rsidTr="00677231">
        <w:trPr>
          <w:trHeight w:val="1160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E453F1" w:rsidRDefault="00E453F1" w:rsidP="008C6EDC">
            <w:pPr>
              <w:rPr>
                <w:rFonts w:cs="Arial"/>
                <w:b/>
                <w:bCs/>
                <w:color w:val="0000FF"/>
              </w:rPr>
            </w:pPr>
          </w:p>
          <w:p w:rsidR="00E453F1" w:rsidRDefault="00E453F1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 Storage</w:t>
            </w:r>
          </w:p>
          <w:p w:rsidR="00E453F1" w:rsidRDefault="00E453F1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E453F1" w:rsidRDefault="00E453F1" w:rsidP="008E4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Promptly stopper tested specimen and store upright in specimen rack. Every 8 hours remove specimens to refrigerator/freezer</w:t>
            </w:r>
            <w:r w:rsidR="004222A1">
              <w:rPr>
                <w:rFonts w:cs="Arial"/>
              </w:rPr>
              <w:t xml:space="preserve"> storage. Samples are retained 14</w:t>
            </w:r>
            <w:r>
              <w:rPr>
                <w:rFonts w:cs="Arial"/>
              </w:rPr>
              <w:t xml:space="preserve"> days in specimen storage freezer.</w:t>
            </w:r>
            <w:r w:rsidR="004222A1">
              <w:rPr>
                <w:rFonts w:cs="Arial"/>
              </w:rPr>
              <w:t xml:space="preserve">  Reactive samples will reflex and should be sent frozen immediately to Mayo Medical Laboratories for confirmatory testing.</w:t>
            </w:r>
          </w:p>
        </w:tc>
      </w:tr>
      <w:tr w:rsidR="00E453F1" w:rsidTr="00E76CAC">
        <w:trPr>
          <w:trHeight w:val="2547"/>
          <w:tblHeader/>
        </w:trPr>
        <w:tc>
          <w:tcPr>
            <w:tcW w:w="207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:rsidR="00E453F1" w:rsidRDefault="00E453F1">
            <w:pPr>
              <w:rPr>
                <w:rFonts w:cs="Arial"/>
                <w:b/>
                <w:bCs/>
                <w:color w:val="0000FF"/>
              </w:rPr>
            </w:pPr>
          </w:p>
          <w:p w:rsidR="00E453F1" w:rsidRDefault="00E453F1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7A3B97" w:rsidRPr="00DB45C6" w:rsidRDefault="007A3B97" w:rsidP="00DB45C6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Architect HIV Ag/Ab Combo Calibrator Package Insert, Abbott Laboratories, Abbott Park, IL 60064 USA</w:t>
            </w:r>
            <w:r w:rsidR="00E453F1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Revised </w:t>
            </w:r>
            <w:r w:rsidR="00BC3B49">
              <w:rPr>
                <w:rFonts w:cs="Arial"/>
              </w:rPr>
              <w:t>April 2012</w:t>
            </w:r>
            <w:r>
              <w:rPr>
                <w:rFonts w:cs="Arial"/>
              </w:rPr>
              <w:t>.</w:t>
            </w:r>
          </w:p>
          <w:p w:rsidR="007A3B97" w:rsidRPr="00DB45C6" w:rsidRDefault="007A3B97" w:rsidP="00DB45C6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Architect HIV Ag/Ab Combo Controls Package Insert, Abbott Laboratories, Abbott Park, IL 60064 USA.  Revised January 2014.</w:t>
            </w:r>
          </w:p>
          <w:p w:rsidR="00DB45C6" w:rsidRPr="00DB45C6" w:rsidRDefault="007A3B97" w:rsidP="00DB45C6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Abbott Architect HIV Ag/Ab Combo Reagent Package Insert, Abbott Laboratories, Abbott Park, IL 60064 USA.  Revised </w:t>
            </w:r>
            <w:r w:rsidR="00BC3B49">
              <w:rPr>
                <w:rFonts w:cs="Arial"/>
              </w:rPr>
              <w:t>October 2017</w:t>
            </w:r>
            <w:r>
              <w:rPr>
                <w:rFonts w:cs="Arial"/>
              </w:rPr>
              <w:t>.</w:t>
            </w:r>
          </w:p>
          <w:p w:rsidR="00DB45C6" w:rsidRPr="00DB45C6" w:rsidRDefault="00DB45C6" w:rsidP="00DB45C6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 w:rsidRPr="00DB45C6">
              <w:rPr>
                <w:rFonts w:cs="Arial"/>
              </w:rPr>
              <w:t>Ab</w:t>
            </w:r>
            <w:r>
              <w:rPr>
                <w:rFonts w:cs="Arial"/>
              </w:rPr>
              <w:t>bott Alinity</w:t>
            </w:r>
            <w:r w:rsidRPr="00DB45C6">
              <w:rPr>
                <w:rFonts w:cs="Arial"/>
              </w:rPr>
              <w:t xml:space="preserve"> HIV Ag/Ab Combo Calibrator Package Insert, Abbott Laboratories, Abbott Park, IL 60064 USA.  Revised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September 2019</w:t>
            </w:r>
            <w:r w:rsidRPr="00DB45C6">
              <w:rPr>
                <w:rFonts w:cs="Arial"/>
              </w:rPr>
              <w:t>.</w:t>
            </w:r>
          </w:p>
          <w:p w:rsidR="00DB45C6" w:rsidRPr="00DB45C6" w:rsidRDefault="00DB45C6" w:rsidP="00DB45C6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Alinity</w:t>
            </w:r>
            <w:r w:rsidRPr="00DB45C6">
              <w:rPr>
                <w:rFonts w:cs="Arial"/>
              </w:rPr>
              <w:t xml:space="preserve"> HIV Ag/Ab Combo Controls Package Insert, Abbott Laboratories, Abbott Park, IL 60064 USA.  Revised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September 2019</w:t>
            </w:r>
            <w:r w:rsidRPr="00DB45C6">
              <w:rPr>
                <w:rFonts w:cs="Arial"/>
              </w:rPr>
              <w:t>.</w:t>
            </w:r>
          </w:p>
          <w:p w:rsidR="00DB45C6" w:rsidRPr="00DB45C6" w:rsidRDefault="00DB45C6" w:rsidP="00DB45C6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Alinity</w:t>
            </w:r>
            <w:r w:rsidRPr="00DB45C6">
              <w:rPr>
                <w:rFonts w:cs="Arial"/>
              </w:rPr>
              <w:t xml:space="preserve"> HIV Ag/Ab Combo Reagent Package Insert, Abbott Laboratories, Abbott Park, IL 60064 USA.  Revised</w:t>
            </w:r>
            <w:r>
              <w:rPr>
                <w:rFonts w:cs="Arial"/>
              </w:rPr>
              <w:t xml:space="preserve"> September 2019</w:t>
            </w:r>
            <w:r w:rsidRPr="00DB45C6">
              <w:rPr>
                <w:rFonts w:cs="Arial"/>
              </w:rPr>
              <w:t>.</w:t>
            </w:r>
          </w:p>
          <w:p w:rsidR="00BC3B49" w:rsidRPr="00513F9B" w:rsidRDefault="00BC3B49" w:rsidP="00627678">
            <w:pPr>
              <w:ind w:left="360"/>
              <w:jc w:val="both"/>
              <w:rPr>
                <w:rFonts w:cs="Arial"/>
              </w:rPr>
            </w:pPr>
          </w:p>
        </w:tc>
      </w:tr>
      <w:tr w:rsidR="00E453F1" w:rsidTr="00677231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207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:rsidR="00E453F1" w:rsidRDefault="00E453F1">
            <w:pPr>
              <w:rPr>
                <w:rFonts w:cs="Arial"/>
                <w:b/>
                <w:bCs/>
                <w:color w:val="3366FF"/>
              </w:rPr>
            </w:pPr>
            <w:r>
              <w:rPr>
                <w:rFonts w:cs="Arial"/>
                <w:b/>
                <w:bCs/>
                <w:color w:val="0000FF"/>
              </w:rPr>
              <w:lastRenderedPageBreak/>
              <w:t>Historical Record</w:t>
            </w:r>
          </w:p>
        </w:tc>
        <w:tc>
          <w:tcPr>
            <w:tcW w:w="900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:rsidR="00E453F1" w:rsidRDefault="00E453F1">
            <w:pPr>
              <w:rPr>
                <w:rFonts w:cs="Arial"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2070"/>
              <w:gridCol w:w="1980"/>
              <w:gridCol w:w="3510"/>
            </w:tblGrid>
            <w:tr w:rsidR="00E453F1" w:rsidTr="003571BD">
              <w:tc>
                <w:tcPr>
                  <w:tcW w:w="967" w:type="dxa"/>
                </w:tcPr>
                <w:p w:rsidR="00E453F1" w:rsidRPr="003571BD" w:rsidRDefault="00E453F1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Version</w:t>
                  </w:r>
                </w:p>
              </w:tc>
              <w:tc>
                <w:tcPr>
                  <w:tcW w:w="2070" w:type="dxa"/>
                </w:tcPr>
                <w:p w:rsidR="00E453F1" w:rsidRPr="003571BD" w:rsidRDefault="00E453F1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Written/Revised By</w:t>
                  </w:r>
                </w:p>
              </w:tc>
              <w:tc>
                <w:tcPr>
                  <w:tcW w:w="1980" w:type="dxa"/>
                </w:tcPr>
                <w:p w:rsidR="00E453F1" w:rsidRPr="003571BD" w:rsidRDefault="00E453F1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Effective Date</w:t>
                  </w:r>
                </w:p>
              </w:tc>
              <w:tc>
                <w:tcPr>
                  <w:tcW w:w="3510" w:type="dxa"/>
                </w:tcPr>
                <w:p w:rsidR="00E453F1" w:rsidRPr="003571BD" w:rsidRDefault="00E453F1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 xml:space="preserve">Summary of </w:t>
                  </w:r>
                  <w:r>
                    <w:rPr>
                      <w:rFonts w:cs="Arial"/>
                      <w:b/>
                      <w:iCs/>
                    </w:rPr>
                    <w:t>Revisions</w:t>
                  </w:r>
                </w:p>
              </w:tc>
            </w:tr>
            <w:tr w:rsidR="00E453F1" w:rsidTr="003571BD">
              <w:tc>
                <w:tcPr>
                  <w:tcW w:w="967" w:type="dxa"/>
                </w:tcPr>
                <w:p w:rsidR="00E453F1" w:rsidRDefault="00E453F1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E453F1" w:rsidRDefault="003D2533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Stephen Gripentrog</w:t>
                  </w:r>
                  <w:r w:rsidR="007A3B97">
                    <w:rPr>
                      <w:rFonts w:cs="Arial"/>
                      <w:iCs/>
                    </w:rPr>
                    <w:t>/ Erin Bartos</w:t>
                  </w:r>
                </w:p>
              </w:tc>
              <w:tc>
                <w:tcPr>
                  <w:tcW w:w="1980" w:type="dxa"/>
                </w:tcPr>
                <w:p w:rsidR="00E453F1" w:rsidRDefault="007A3B9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May 15, 2018</w:t>
                  </w:r>
                </w:p>
              </w:tc>
              <w:tc>
                <w:tcPr>
                  <w:tcW w:w="3510" w:type="dxa"/>
                </w:tcPr>
                <w:p w:rsidR="00E453F1" w:rsidRDefault="00E453F1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New Procedure</w:t>
                  </w:r>
                </w:p>
              </w:tc>
            </w:tr>
            <w:tr w:rsidR="00E453F1" w:rsidTr="003571BD">
              <w:tc>
                <w:tcPr>
                  <w:tcW w:w="967" w:type="dxa"/>
                </w:tcPr>
                <w:p w:rsidR="00E453F1" w:rsidRDefault="006618B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E453F1" w:rsidRDefault="006618B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Kelsi Brown</w:t>
                  </w:r>
                </w:p>
              </w:tc>
              <w:tc>
                <w:tcPr>
                  <w:tcW w:w="1980" w:type="dxa"/>
                </w:tcPr>
                <w:p w:rsidR="00E453F1" w:rsidRDefault="006618B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June 5, 2018</w:t>
                  </w:r>
                </w:p>
              </w:tc>
              <w:tc>
                <w:tcPr>
                  <w:tcW w:w="3510" w:type="dxa"/>
                </w:tcPr>
                <w:p w:rsidR="00E453F1" w:rsidRDefault="006618B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 xml:space="preserve">Added that plasma samples are acceptable for the screen, but will need serum for </w:t>
                  </w:r>
                  <w:proofErr w:type="spellStart"/>
                  <w:r>
                    <w:rPr>
                      <w:rFonts w:cs="Arial"/>
                      <w:iCs/>
                    </w:rPr>
                    <w:t>confirmatiory</w:t>
                  </w:r>
                  <w:proofErr w:type="spellEnd"/>
                  <w:r>
                    <w:rPr>
                      <w:rFonts w:cs="Arial"/>
                      <w:iCs/>
                    </w:rPr>
                    <w:t xml:space="preserve"> test. </w:t>
                  </w:r>
                </w:p>
              </w:tc>
            </w:tr>
            <w:tr w:rsidR="00E453F1" w:rsidTr="00D47204">
              <w:trPr>
                <w:trHeight w:val="705"/>
              </w:trPr>
              <w:tc>
                <w:tcPr>
                  <w:tcW w:w="967" w:type="dxa"/>
                  <w:tcBorders>
                    <w:bottom w:val="single" w:sz="4" w:space="0" w:color="auto"/>
                  </w:tcBorders>
                </w:tcPr>
                <w:p w:rsidR="00E453F1" w:rsidRDefault="00AD451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:rsidR="00E453F1" w:rsidRDefault="00AD451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E453F1" w:rsidRDefault="00AD4510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August 14, 2018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auto"/>
                  </w:tcBorders>
                </w:tcPr>
                <w:p w:rsidR="00D47204" w:rsidRDefault="00AD4510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Changed sample type due to reference lab change in confirmatory testing.  EDTA plasma required.</w:t>
                  </w:r>
                </w:p>
              </w:tc>
            </w:tr>
            <w:tr w:rsidR="00D47204" w:rsidTr="00D47204">
              <w:trPr>
                <w:trHeight w:val="190"/>
              </w:trPr>
              <w:tc>
                <w:tcPr>
                  <w:tcW w:w="9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D47204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D47204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Elauteria Earnhardt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D47204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April 13, 2020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D47204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 xml:space="preserve">Reviewed for new Medical Director </w:t>
                  </w:r>
                </w:p>
              </w:tc>
            </w:tr>
            <w:tr w:rsidR="00D47204" w:rsidTr="00DB45C6">
              <w:trPr>
                <w:trHeight w:val="255"/>
              </w:trPr>
              <w:tc>
                <w:tcPr>
                  <w:tcW w:w="9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D47204" w:rsidP="00D47204">
                  <w:pPr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441910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Elauteria Earnhardt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441910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May 6, 2020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47204" w:rsidRDefault="00441910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Analyzer site moved to St. Paul</w:t>
                  </w:r>
                </w:p>
              </w:tc>
            </w:tr>
            <w:tr w:rsidR="00DB45C6" w:rsidTr="00D47204">
              <w:trPr>
                <w:trHeight w:val="255"/>
              </w:trPr>
              <w:tc>
                <w:tcPr>
                  <w:tcW w:w="967" w:type="dxa"/>
                  <w:tcBorders>
                    <w:top w:val="single" w:sz="4" w:space="0" w:color="auto"/>
                  </w:tcBorders>
                </w:tcPr>
                <w:p w:rsidR="00DB45C6" w:rsidRDefault="00DB45C6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5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DB45C6" w:rsidRDefault="00DB45C6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:rsidR="00DB45C6" w:rsidRDefault="00DB45C6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October 28, 2020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:rsidR="00DB45C6" w:rsidRDefault="00DB45C6" w:rsidP="00D47204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Added Alinity i analyzer and updated all sections requiring changes.</w:t>
                  </w:r>
                </w:p>
              </w:tc>
            </w:tr>
          </w:tbl>
          <w:p w:rsidR="00E453F1" w:rsidRDefault="00E453F1">
            <w:pPr>
              <w:rPr>
                <w:rFonts w:cs="Arial"/>
                <w:iCs/>
              </w:rPr>
            </w:pPr>
          </w:p>
        </w:tc>
      </w:tr>
    </w:tbl>
    <w:p w:rsidR="008C6EDC" w:rsidRDefault="008C6EDC" w:rsidP="00E76CAC"/>
    <w:sectPr w:rsidR="008C6EDC" w:rsidSect="00287C41">
      <w:headerReference w:type="default" r:id="rId13"/>
      <w:footerReference w:type="default" r:id="rId14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A5" w:rsidRDefault="005A33A5">
      <w:r>
        <w:separator/>
      </w:r>
    </w:p>
  </w:endnote>
  <w:endnote w:type="continuationSeparator" w:id="0">
    <w:p w:rsidR="005A33A5" w:rsidRDefault="005A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en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A5" w:rsidRPr="001A774F" w:rsidRDefault="005A33A5" w:rsidP="008C6EDC">
    <w:pPr>
      <w:ind w:left="-1260" w:right="-1260"/>
      <w:rPr>
        <w:rFonts w:cs="Arial"/>
        <w:sz w:val="18"/>
      </w:rPr>
    </w:pPr>
    <w:r>
      <w:rPr>
        <w:rFonts w:cs="Arial"/>
        <w:sz w:val="18"/>
      </w:rPr>
      <w:t>Laboratory, Children’s Minnesota,</w:t>
    </w:r>
    <w:r w:rsidR="001B568D">
      <w:rPr>
        <w:rFonts w:cs="Arial"/>
        <w:sz w:val="18"/>
      </w:rPr>
      <w:t xml:space="preserve"> Minneapolis</w:t>
    </w:r>
    <w:r>
      <w:rPr>
        <w:rFonts w:cs="Arial"/>
        <w:sz w:val="18"/>
      </w:rPr>
      <w:t>, MN</w:t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sz w:val="18"/>
      </w:rPr>
      <w:t xml:space="preserve">Page </w:t>
    </w:r>
    <w:r w:rsidR="003F0EE5">
      <w:rPr>
        <w:sz w:val="18"/>
      </w:rPr>
      <w:fldChar w:fldCharType="begin"/>
    </w:r>
    <w:r>
      <w:rPr>
        <w:sz w:val="18"/>
      </w:rPr>
      <w:instrText xml:space="preserve"> PAGE </w:instrText>
    </w:r>
    <w:r w:rsidR="003F0EE5">
      <w:rPr>
        <w:sz w:val="18"/>
      </w:rPr>
      <w:fldChar w:fldCharType="separate"/>
    </w:r>
    <w:r w:rsidR="00B847F4">
      <w:rPr>
        <w:noProof/>
        <w:sz w:val="18"/>
      </w:rPr>
      <w:t>6</w:t>
    </w:r>
    <w:r w:rsidR="003F0EE5">
      <w:rPr>
        <w:sz w:val="18"/>
      </w:rPr>
      <w:fldChar w:fldCharType="end"/>
    </w:r>
    <w:r>
      <w:rPr>
        <w:sz w:val="18"/>
      </w:rPr>
      <w:t xml:space="preserve"> of </w:t>
    </w:r>
    <w:r w:rsidR="003F0EE5">
      <w:rPr>
        <w:sz w:val="18"/>
      </w:rPr>
      <w:fldChar w:fldCharType="begin"/>
    </w:r>
    <w:r>
      <w:rPr>
        <w:sz w:val="18"/>
      </w:rPr>
      <w:instrText xml:space="preserve"> NUMPAGES </w:instrText>
    </w:r>
    <w:r w:rsidR="003F0EE5">
      <w:rPr>
        <w:sz w:val="18"/>
      </w:rPr>
      <w:fldChar w:fldCharType="separate"/>
    </w:r>
    <w:r w:rsidR="00B847F4">
      <w:rPr>
        <w:noProof/>
        <w:sz w:val="18"/>
      </w:rPr>
      <w:t>8</w:t>
    </w:r>
    <w:r w:rsidR="003F0EE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A5" w:rsidRDefault="005A33A5">
      <w:r>
        <w:separator/>
      </w:r>
    </w:p>
  </w:footnote>
  <w:footnote w:type="continuationSeparator" w:id="0">
    <w:p w:rsidR="005A33A5" w:rsidRDefault="005A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A5" w:rsidRDefault="00AD4510">
    <w:pPr>
      <w:ind w:left="-1260" w:right="-1260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4672965</wp:posOffset>
          </wp:positionH>
          <wp:positionV relativeFrom="paragraph">
            <wp:posOffset>-194310</wp:posOffset>
          </wp:positionV>
          <wp:extent cx="1697990" cy="544195"/>
          <wp:effectExtent l="19050" t="0" r="0" b="0"/>
          <wp:wrapTight wrapText="bothSides">
            <wp:wrapPolygon edited="0">
              <wp:start x="-242" y="0"/>
              <wp:lineTo x="-242" y="21172"/>
              <wp:lineTo x="21568" y="21172"/>
              <wp:lineTo x="21568" y="0"/>
              <wp:lineTo x="-242" y="0"/>
            </wp:wrapPolygon>
          </wp:wrapTight>
          <wp:docPr id="3" name="Picture 3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33A5">
      <w:rPr>
        <w:rFonts w:cs="Arial"/>
        <w:sz w:val="18"/>
      </w:rPr>
      <w:t>CH 6.441</w:t>
    </w:r>
    <w:r w:rsidR="001B568D">
      <w:rPr>
        <w:rFonts w:cs="Arial"/>
        <w:sz w:val="18"/>
      </w:rPr>
      <w:t>1</w:t>
    </w:r>
    <w:r w:rsidR="005A33A5">
      <w:rPr>
        <w:rFonts w:cs="Arial"/>
        <w:sz w:val="18"/>
      </w:rPr>
      <w:t xml:space="preserve"> HIV </w:t>
    </w:r>
    <w:proofErr w:type="spellStart"/>
    <w:r w:rsidR="005A33A5">
      <w:rPr>
        <w:rFonts w:cs="Arial"/>
        <w:sz w:val="18"/>
      </w:rPr>
      <w:t>AgAb</w:t>
    </w:r>
    <w:proofErr w:type="spellEnd"/>
    <w:r w:rsidR="005A33A5">
      <w:rPr>
        <w:rFonts w:cs="Arial"/>
        <w:sz w:val="18"/>
      </w:rPr>
      <w:t xml:space="preserve"> Screen with Reflex</w:t>
    </w:r>
  </w:p>
  <w:p w:rsidR="005A33A5" w:rsidRDefault="00DB45C6">
    <w:pPr>
      <w:ind w:left="-1260" w:right="-1260"/>
      <w:rPr>
        <w:rFonts w:cs="Arial"/>
        <w:sz w:val="18"/>
      </w:rPr>
    </w:pPr>
    <w:r>
      <w:rPr>
        <w:rFonts w:cs="Arial"/>
        <w:sz w:val="18"/>
      </w:rPr>
      <w:t>Version 5</w:t>
    </w:r>
  </w:p>
  <w:p w:rsidR="001B568D" w:rsidRDefault="00AD4510">
    <w:pPr>
      <w:ind w:left="-1260" w:right="-1260"/>
      <w:rPr>
        <w:rFonts w:cs="Arial"/>
        <w:sz w:val="18"/>
      </w:rPr>
    </w:pPr>
    <w:r>
      <w:rPr>
        <w:rFonts w:cs="Arial"/>
        <w:sz w:val="18"/>
      </w:rPr>
      <w:t xml:space="preserve">Effective Date: </w:t>
    </w:r>
    <w:r w:rsidR="001B568D">
      <w:rPr>
        <w:rFonts w:cs="Arial"/>
        <w:sz w:val="18"/>
      </w:rPr>
      <w:t>October 28, 2020</w:t>
    </w:r>
  </w:p>
  <w:p w:rsidR="005A33A5" w:rsidRDefault="005A33A5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BD5"/>
    <w:multiLevelType w:val="hybridMultilevel"/>
    <w:tmpl w:val="163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194C53"/>
    <w:multiLevelType w:val="hybridMultilevel"/>
    <w:tmpl w:val="A3F4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6EDC"/>
    <w:multiLevelType w:val="hybridMultilevel"/>
    <w:tmpl w:val="EE002A8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06608"/>
    <w:multiLevelType w:val="hybridMultilevel"/>
    <w:tmpl w:val="0E8C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75893"/>
    <w:multiLevelType w:val="hybridMultilevel"/>
    <w:tmpl w:val="C768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2220"/>
    <w:multiLevelType w:val="hybridMultilevel"/>
    <w:tmpl w:val="736A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16995"/>
    <w:multiLevelType w:val="hybridMultilevel"/>
    <w:tmpl w:val="977C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63E3B"/>
    <w:multiLevelType w:val="hybridMultilevel"/>
    <w:tmpl w:val="4992B338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1311"/>
    <w:multiLevelType w:val="hybridMultilevel"/>
    <w:tmpl w:val="71B6B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144438"/>
    <w:multiLevelType w:val="hybridMultilevel"/>
    <w:tmpl w:val="C5BA0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475C2C"/>
    <w:multiLevelType w:val="hybridMultilevel"/>
    <w:tmpl w:val="91C6C1E0"/>
    <w:lvl w:ilvl="0" w:tplc="12A23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0622"/>
    <w:multiLevelType w:val="hybridMultilevel"/>
    <w:tmpl w:val="0066A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03B16"/>
    <w:multiLevelType w:val="hybridMultilevel"/>
    <w:tmpl w:val="99E46710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380F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21BF"/>
    <w:multiLevelType w:val="hybridMultilevel"/>
    <w:tmpl w:val="C55CE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C2DA0"/>
    <w:multiLevelType w:val="hybridMultilevel"/>
    <w:tmpl w:val="35AC8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877F2"/>
    <w:multiLevelType w:val="hybridMultilevel"/>
    <w:tmpl w:val="9D6A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5580A"/>
    <w:multiLevelType w:val="hybridMultilevel"/>
    <w:tmpl w:val="63E25C5E"/>
    <w:lvl w:ilvl="0" w:tplc="89D647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33EAB"/>
    <w:multiLevelType w:val="hybridMultilevel"/>
    <w:tmpl w:val="B60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FB5466"/>
    <w:multiLevelType w:val="hybridMultilevel"/>
    <w:tmpl w:val="4C72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200477"/>
    <w:multiLevelType w:val="hybridMultilevel"/>
    <w:tmpl w:val="FD927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124A0"/>
    <w:multiLevelType w:val="hybridMultilevel"/>
    <w:tmpl w:val="7F042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3396"/>
    <w:multiLevelType w:val="hybridMultilevel"/>
    <w:tmpl w:val="960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B6EC5"/>
    <w:multiLevelType w:val="hybridMultilevel"/>
    <w:tmpl w:val="A86E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DB15F0"/>
    <w:multiLevelType w:val="hybridMultilevel"/>
    <w:tmpl w:val="BBD2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54D05"/>
    <w:multiLevelType w:val="hybridMultilevel"/>
    <w:tmpl w:val="C56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A3B0D"/>
    <w:multiLevelType w:val="hybridMultilevel"/>
    <w:tmpl w:val="30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31F08"/>
    <w:multiLevelType w:val="hybridMultilevel"/>
    <w:tmpl w:val="6586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4723"/>
    <w:multiLevelType w:val="hybridMultilevel"/>
    <w:tmpl w:val="D4E4BD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32"/>
  </w:num>
  <w:num w:numId="9">
    <w:abstractNumId w:val="11"/>
  </w:num>
  <w:num w:numId="10">
    <w:abstractNumId w:val="1"/>
  </w:num>
  <w:num w:numId="11">
    <w:abstractNumId w:val="34"/>
  </w:num>
  <w:num w:numId="12">
    <w:abstractNumId w:val="30"/>
  </w:num>
  <w:num w:numId="13">
    <w:abstractNumId w:val="3"/>
  </w:num>
  <w:num w:numId="14">
    <w:abstractNumId w:val="9"/>
  </w:num>
  <w:num w:numId="15">
    <w:abstractNumId w:val="8"/>
  </w:num>
  <w:num w:numId="16">
    <w:abstractNumId w:val="15"/>
  </w:num>
  <w:num w:numId="17">
    <w:abstractNumId w:val="7"/>
  </w:num>
  <w:num w:numId="18">
    <w:abstractNumId w:val="6"/>
  </w:num>
  <w:num w:numId="19">
    <w:abstractNumId w:val="24"/>
  </w:num>
  <w:num w:numId="20">
    <w:abstractNumId w:val="31"/>
  </w:num>
  <w:num w:numId="21">
    <w:abstractNumId w:val="33"/>
  </w:num>
  <w:num w:numId="22">
    <w:abstractNumId w:val="27"/>
  </w:num>
  <w:num w:numId="23">
    <w:abstractNumId w:val="0"/>
  </w:num>
  <w:num w:numId="24">
    <w:abstractNumId w:val="19"/>
  </w:num>
  <w:num w:numId="25">
    <w:abstractNumId w:val="28"/>
  </w:num>
  <w:num w:numId="26">
    <w:abstractNumId w:val="23"/>
  </w:num>
  <w:num w:numId="27">
    <w:abstractNumId w:val="13"/>
  </w:num>
  <w:num w:numId="28">
    <w:abstractNumId w:val="21"/>
  </w:num>
  <w:num w:numId="29">
    <w:abstractNumId w:val="5"/>
  </w:num>
  <w:num w:numId="30">
    <w:abstractNumId w:val="26"/>
  </w:num>
  <w:num w:numId="31">
    <w:abstractNumId w:val="29"/>
  </w:num>
  <w:num w:numId="32">
    <w:abstractNumId w:val="25"/>
  </w:num>
  <w:num w:numId="33">
    <w:abstractNumId w:val="20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47"/>
    <w:rsid w:val="00000536"/>
    <w:rsid w:val="00003218"/>
    <w:rsid w:val="0000423A"/>
    <w:rsid w:val="0004669D"/>
    <w:rsid w:val="0006008E"/>
    <w:rsid w:val="000625DB"/>
    <w:rsid w:val="0009335B"/>
    <w:rsid w:val="00095F9D"/>
    <w:rsid w:val="000E7311"/>
    <w:rsid w:val="000F17DC"/>
    <w:rsid w:val="00143FF4"/>
    <w:rsid w:val="001564C9"/>
    <w:rsid w:val="001B1C87"/>
    <w:rsid w:val="001B568D"/>
    <w:rsid w:val="001D270C"/>
    <w:rsid w:val="001E2DF4"/>
    <w:rsid w:val="001F2FF6"/>
    <w:rsid w:val="002265E2"/>
    <w:rsid w:val="00252639"/>
    <w:rsid w:val="00253C63"/>
    <w:rsid w:val="002544DA"/>
    <w:rsid w:val="00260A50"/>
    <w:rsid w:val="00287C41"/>
    <w:rsid w:val="0029711F"/>
    <w:rsid w:val="002A65EF"/>
    <w:rsid w:val="002D50CB"/>
    <w:rsid w:val="002F385E"/>
    <w:rsid w:val="00303FA1"/>
    <w:rsid w:val="003076CA"/>
    <w:rsid w:val="00355903"/>
    <w:rsid w:val="003571BD"/>
    <w:rsid w:val="0038646D"/>
    <w:rsid w:val="003D2533"/>
    <w:rsid w:val="003F0EE5"/>
    <w:rsid w:val="003F0F20"/>
    <w:rsid w:val="00404DD8"/>
    <w:rsid w:val="004222A1"/>
    <w:rsid w:val="00426D0B"/>
    <w:rsid w:val="00441910"/>
    <w:rsid w:val="004E518C"/>
    <w:rsid w:val="00513F9B"/>
    <w:rsid w:val="00523B66"/>
    <w:rsid w:val="005241D6"/>
    <w:rsid w:val="00541ACD"/>
    <w:rsid w:val="00542D1B"/>
    <w:rsid w:val="005516E7"/>
    <w:rsid w:val="005A33A5"/>
    <w:rsid w:val="005A610F"/>
    <w:rsid w:val="005D2622"/>
    <w:rsid w:val="00627678"/>
    <w:rsid w:val="006618B0"/>
    <w:rsid w:val="00662F45"/>
    <w:rsid w:val="00677231"/>
    <w:rsid w:val="006B523E"/>
    <w:rsid w:val="00700132"/>
    <w:rsid w:val="00707507"/>
    <w:rsid w:val="00712847"/>
    <w:rsid w:val="00724867"/>
    <w:rsid w:val="00740F90"/>
    <w:rsid w:val="00753ED7"/>
    <w:rsid w:val="00762D9A"/>
    <w:rsid w:val="007A3B97"/>
    <w:rsid w:val="00814EAD"/>
    <w:rsid w:val="008168BB"/>
    <w:rsid w:val="0083747A"/>
    <w:rsid w:val="00856F1A"/>
    <w:rsid w:val="00887394"/>
    <w:rsid w:val="008A10BF"/>
    <w:rsid w:val="008B1686"/>
    <w:rsid w:val="008B5FEE"/>
    <w:rsid w:val="008C6EDC"/>
    <w:rsid w:val="008E43B5"/>
    <w:rsid w:val="00947699"/>
    <w:rsid w:val="009945A2"/>
    <w:rsid w:val="009D638C"/>
    <w:rsid w:val="009F5B34"/>
    <w:rsid w:val="00A05EAB"/>
    <w:rsid w:val="00A072CE"/>
    <w:rsid w:val="00A3254B"/>
    <w:rsid w:val="00A403A4"/>
    <w:rsid w:val="00A52AF8"/>
    <w:rsid w:val="00A8287A"/>
    <w:rsid w:val="00A82A92"/>
    <w:rsid w:val="00AD4510"/>
    <w:rsid w:val="00AF1086"/>
    <w:rsid w:val="00B00AD4"/>
    <w:rsid w:val="00B513CF"/>
    <w:rsid w:val="00B568F0"/>
    <w:rsid w:val="00B814E5"/>
    <w:rsid w:val="00B816B4"/>
    <w:rsid w:val="00B847F4"/>
    <w:rsid w:val="00BA17DA"/>
    <w:rsid w:val="00BC3B49"/>
    <w:rsid w:val="00BC68A7"/>
    <w:rsid w:val="00C0536C"/>
    <w:rsid w:val="00C33633"/>
    <w:rsid w:val="00C658D2"/>
    <w:rsid w:val="00C7224C"/>
    <w:rsid w:val="00C85F36"/>
    <w:rsid w:val="00C96C54"/>
    <w:rsid w:val="00CF7522"/>
    <w:rsid w:val="00D0201D"/>
    <w:rsid w:val="00D120DB"/>
    <w:rsid w:val="00D154D9"/>
    <w:rsid w:val="00D47204"/>
    <w:rsid w:val="00D6200B"/>
    <w:rsid w:val="00DA6C79"/>
    <w:rsid w:val="00DA7E2D"/>
    <w:rsid w:val="00DB45C6"/>
    <w:rsid w:val="00DE32D9"/>
    <w:rsid w:val="00DF4638"/>
    <w:rsid w:val="00E142B3"/>
    <w:rsid w:val="00E2166F"/>
    <w:rsid w:val="00E453F1"/>
    <w:rsid w:val="00E63CB7"/>
    <w:rsid w:val="00E76CAC"/>
    <w:rsid w:val="00E95FAF"/>
    <w:rsid w:val="00EB61F2"/>
    <w:rsid w:val="00F75788"/>
    <w:rsid w:val="00F814F1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8BDB830-1D62-45EA-A172-906D5DA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4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7C41"/>
    <w:pPr>
      <w:keepNext/>
      <w:numPr>
        <w:numId w:val="10"/>
      </w:numPr>
      <w:jc w:val="both"/>
      <w:outlineLvl w:val="0"/>
    </w:pPr>
    <w:rPr>
      <w:rFonts w:ascii="Times New Roman" w:hAnsi="Times New Roman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7C41"/>
    <w:pPr>
      <w:keepNext/>
      <w:numPr>
        <w:ilvl w:val="1"/>
        <w:numId w:val="10"/>
      </w:numPr>
      <w:jc w:val="both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7C41"/>
    <w:pPr>
      <w:keepNext/>
      <w:numPr>
        <w:ilvl w:val="2"/>
        <w:numId w:val="10"/>
      </w:numPr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287C41"/>
    <w:pPr>
      <w:keepNext/>
      <w:numPr>
        <w:ilvl w:val="3"/>
        <w:numId w:val="10"/>
      </w:numPr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287C41"/>
    <w:pPr>
      <w:keepNext/>
      <w:numPr>
        <w:ilvl w:val="4"/>
        <w:numId w:val="10"/>
      </w:numPr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287C41"/>
    <w:pPr>
      <w:keepNext/>
      <w:numPr>
        <w:ilvl w:val="5"/>
        <w:numId w:val="10"/>
      </w:numPr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287C41"/>
    <w:pPr>
      <w:keepNext/>
      <w:numPr>
        <w:ilvl w:val="6"/>
        <w:numId w:val="10"/>
      </w:numPr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287C41"/>
    <w:pPr>
      <w:keepNext/>
      <w:numPr>
        <w:ilvl w:val="7"/>
        <w:numId w:val="10"/>
      </w:numPr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287C41"/>
    <w:pPr>
      <w:keepNext/>
      <w:numPr>
        <w:ilvl w:val="8"/>
        <w:numId w:val="10"/>
      </w:numPr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7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7C41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287C41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semiHidden/>
    <w:rsid w:val="00287C41"/>
    <w:pPr>
      <w:spacing w:after="120"/>
    </w:pPr>
  </w:style>
  <w:style w:type="paragraph" w:customStyle="1" w:styleId="Reagents">
    <w:name w:val="Reagents"/>
    <w:basedOn w:val="Normal"/>
    <w:rsid w:val="00287C41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customStyle="1" w:styleId="Default">
    <w:name w:val="Default"/>
    <w:rsid w:val="00287C41"/>
    <w:pPr>
      <w:autoSpaceDE w:val="0"/>
      <w:autoSpaceDN w:val="0"/>
      <w:adjustRightInd w:val="0"/>
    </w:pPr>
    <w:rPr>
      <w:rFonts w:ascii="Helen Pro Cond" w:hAnsi="Helen Pro Cond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0">
    <w:name w:val="Pa10"/>
    <w:basedOn w:val="Normal"/>
    <w:next w:val="Normal"/>
    <w:rsid w:val="00287C41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Default"/>
    <w:next w:val="Default"/>
    <w:rsid w:val="00287C41"/>
    <w:pPr>
      <w:spacing w:line="151" w:lineRule="atLeast"/>
    </w:pPr>
    <w:rPr>
      <w:color w:val="auto"/>
    </w:rPr>
  </w:style>
  <w:style w:type="character" w:customStyle="1" w:styleId="A8">
    <w:name w:val="A8"/>
    <w:rsid w:val="00287C41"/>
    <w:rPr>
      <w:rFonts w:ascii="Helen Pro" w:hAnsi="Helen Pro"/>
      <w:color w:val="000000"/>
      <w:sz w:val="8"/>
      <w:szCs w:val="8"/>
    </w:rPr>
  </w:style>
  <w:style w:type="character" w:customStyle="1" w:styleId="A7">
    <w:name w:val="A7"/>
    <w:rsid w:val="00287C41"/>
    <w:rPr>
      <w:color w:val="000000"/>
      <w:sz w:val="15"/>
      <w:szCs w:val="15"/>
    </w:rPr>
  </w:style>
  <w:style w:type="character" w:styleId="Hyperlink">
    <w:name w:val="Hyperlink"/>
    <w:basedOn w:val="DefaultParagraphFont"/>
    <w:uiPriority w:val="99"/>
    <w:rsid w:val="00287C41"/>
    <w:rPr>
      <w:color w:val="0000FF"/>
      <w:u w:val="single"/>
    </w:rPr>
  </w:style>
  <w:style w:type="paragraph" w:styleId="BodyTextIndent">
    <w:name w:val="Body Text Indent"/>
    <w:basedOn w:val="Normal"/>
    <w:semiHidden/>
    <w:rsid w:val="00287C41"/>
    <w:pPr>
      <w:ind w:left="-108"/>
    </w:pPr>
    <w:rPr>
      <w:rFonts w:cs="Arial"/>
      <w:b/>
      <w:bCs/>
      <w:color w:val="0000FF"/>
    </w:rPr>
  </w:style>
  <w:style w:type="paragraph" w:customStyle="1" w:styleId="TableText">
    <w:name w:val="Table Text"/>
    <w:basedOn w:val="Normal"/>
    <w:rsid w:val="00287C41"/>
    <w:pPr>
      <w:autoSpaceDE w:val="0"/>
      <w:autoSpaceDN w:val="0"/>
    </w:pPr>
    <w:rPr>
      <w:rFonts w:ascii="Times New Roman" w:hAnsi="Times New Roman"/>
    </w:rPr>
  </w:style>
  <w:style w:type="paragraph" w:customStyle="1" w:styleId="Pa27">
    <w:name w:val="Pa27"/>
    <w:basedOn w:val="Default"/>
    <w:next w:val="Default"/>
    <w:rsid w:val="00287C41"/>
    <w:pPr>
      <w:spacing w:line="141" w:lineRule="atLeast"/>
    </w:pPr>
    <w:rPr>
      <w:color w:val="auto"/>
    </w:rPr>
  </w:style>
  <w:style w:type="paragraph" w:styleId="BodyText2">
    <w:name w:val="Body Text 2"/>
    <w:basedOn w:val="Normal"/>
    <w:link w:val="BodyText2Char"/>
    <w:uiPriority w:val="99"/>
    <w:unhideWhenUsed/>
    <w:rsid w:val="009C00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C0037"/>
    <w:rPr>
      <w:rFonts w:ascii="Arial" w:hAnsi="Arial"/>
      <w:szCs w:val="24"/>
    </w:rPr>
  </w:style>
  <w:style w:type="character" w:customStyle="1" w:styleId="A9">
    <w:name w:val="A9"/>
    <w:uiPriority w:val="99"/>
    <w:rsid w:val="00CA766B"/>
    <w:rPr>
      <w:color w:val="000000"/>
      <w:sz w:val="8"/>
      <w:szCs w:val="8"/>
    </w:rPr>
  </w:style>
  <w:style w:type="paragraph" w:styleId="CommentText">
    <w:name w:val="annotation text"/>
    <w:basedOn w:val="Normal"/>
    <w:link w:val="CommentTextChar"/>
    <w:semiHidden/>
    <w:rsid w:val="00EF74E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74E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13F9B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5E2"/>
    <w:pPr>
      <w:spacing w:before="240" w:after="60"/>
      <w:jc w:val="center"/>
    </w:pPr>
    <w:rPr>
      <w:rFonts w:ascii="Times New Roman" w:hAnsi="Times New Roman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65E2"/>
    <w:rPr>
      <w:rFonts w:cs="Arial"/>
      <w:b/>
      <w:bCs/>
      <w:kern w:val="28"/>
      <w:sz w:val="28"/>
      <w:szCs w:val="32"/>
    </w:rPr>
  </w:style>
  <w:style w:type="character" w:customStyle="1" w:styleId="tgc">
    <w:name w:val="_tgc"/>
    <w:basedOn w:val="DefaultParagraphFont"/>
    <w:rsid w:val="002265E2"/>
  </w:style>
  <w:style w:type="table" w:styleId="TableGrid">
    <w:name w:val="Table Grid"/>
    <w:basedOn w:val="TableNormal"/>
    <w:uiPriority w:val="59"/>
    <w:rsid w:val="003571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355903"/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E453F1"/>
    <w:pPr>
      <w:ind w:left="720"/>
    </w:pPr>
  </w:style>
  <w:style w:type="character" w:customStyle="1" w:styleId="BodyTextChar">
    <w:name w:val="Body Text Char"/>
    <w:basedOn w:val="DefaultParagraphFont"/>
    <w:link w:val="BodyText"/>
    <w:semiHidden/>
    <w:rsid w:val="008B5FE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arnet.childrenshc.org/emergency-and-safe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In Process</WFStatus>
    <Renewal_x0020_Date xmlns="199f0838-75a6-4f0c-9be1-f2c07140bccc">2020-08-14T05:00:00+00:00</Renewal_x0020_Date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F6TN54CWY5RS-50183619-35880</_dlc_DocId>
    <_Version xmlns="http://schemas.microsoft.com/sharepoint/v3/fields" xsi:nil="true"/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6.441 HIV AgAb Screen with Reflex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 xsi:nil="true"/>
    <Owner xmlns="http://schemas.microsoft.com/sharepoint/v3">CHEM</Owner>
    <Content_x0020_Release_x0020_Date xmlns="199f0838-75a6-4f0c-9be1-f2c07140bccc">2018-08-14T05:00:00+00:00</Content_x0020_Release_x0020_Date>
    <Summary xmlns="199f0838-75a6-4f0c-9be1-f2c07140bccc" xsi:nil="true"/>
    <SubTitle xmlns="199f0838-75a6-4f0c-9be1-f2c07140bccc" xsi:nil="true"/>
    <_dlc_DocIdUrl xmlns="199f0838-75a6-4f0c-9be1-f2c07140bccc">
      <Url>http://vcpsharepoint2/references/_layouts/15/DocIdRedir.aspx?ID=F6TN54CWY5RS-50183619-35880</Url>
      <Description>F6TN54CWY5RS-50183619-35880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46BDD-F3AF-4F61-B41E-2F5C9219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F4924-055F-437A-BF96-931834C44D40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sharepoint.v3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199f0838-75a6-4f0c-9be1-f2c07140bccc"/>
    <ds:schemaRef ds:uri="c1848e11-9cf6-4ce4-877e-6837d2c2fa2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4CB3B2-B889-495C-9217-71907AA5B9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9129F5-5224-49F7-8AE2-7D0F2A48FD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718319-9698-4BAC-AE2C-9CC1C018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2659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6.441 HIV AgAb Screen with Reflex</vt:lpstr>
    </vt:vector>
  </TitlesOfParts>
  <Company>Authorized User</Company>
  <LinksUpToDate>false</LinksUpToDate>
  <CharactersWithSpaces>17544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http://khan.childrensmn.org/Manuals/Lab/SOP/Chem/Procedure/206820.pdf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6.441 HIV AgAb Screen with Reflex</dc:title>
  <dc:creator>Authorized User</dc:creator>
  <dc:description>8/7/18 ERB Updated sample type due to Mayo's change for confirmatory testing requirements.</dc:description>
  <cp:lastModifiedBy>Erin Bartos</cp:lastModifiedBy>
  <cp:revision>3</cp:revision>
  <cp:lastPrinted>2011-06-16T20:36:00Z</cp:lastPrinted>
  <dcterms:created xsi:type="dcterms:W3CDTF">2020-11-24T02:08:00Z</dcterms:created>
  <dcterms:modified xsi:type="dcterms:W3CDTF">2020-11-24T02:16:00Z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20fb82fe-cce6-417e-86c5-d633e4ff077a</vt:lpwstr>
  </property>
</Properties>
</file>