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61184126" w:rsidR="006C5661" w:rsidRDefault="001C089E">
            <w:pPr>
              <w:rPr>
                <w:rFonts w:cs="Arial"/>
                <w:b/>
                <w:bCs/>
                <w:color w:val="0000FF"/>
              </w:rPr>
            </w:pPr>
            <w:r>
              <w:rPr>
                <w:rFonts w:cs="Arial"/>
                <w:b/>
                <w:bCs/>
                <w:color w:val="0000FF"/>
                <w:sz w:val="36"/>
              </w:rPr>
              <w:t>Iron</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113548B5" w:rsidR="00E3253B" w:rsidRDefault="00A34EE2" w:rsidP="00AF13C6">
            <w:pPr>
              <w:autoSpaceDE w:val="0"/>
              <w:autoSpaceDN w:val="0"/>
              <w:adjustRightInd w:val="0"/>
              <w:rPr>
                <w:rFonts w:cs="Arial"/>
                <w:color w:val="000000"/>
                <w:szCs w:val="20"/>
              </w:rPr>
            </w:pPr>
            <w:r w:rsidRPr="00DC7421">
              <w:rPr>
                <w:rStyle w:val="A7"/>
                <w:rFonts w:cs="Arial"/>
                <w:b w:val="0"/>
                <w:bCs w:val="0"/>
                <w:sz w:val="20"/>
                <w:szCs w:val="20"/>
              </w:rPr>
              <w:t xml:space="preserve">This procedure provides instructions </w:t>
            </w:r>
            <w:r w:rsidR="003B2275">
              <w:rPr>
                <w:rStyle w:val="A7"/>
                <w:rFonts w:cs="Arial"/>
                <w:b w:val="0"/>
                <w:bCs w:val="0"/>
                <w:sz w:val="20"/>
                <w:szCs w:val="20"/>
              </w:rPr>
              <w:t>for performing IRON</w:t>
            </w:r>
            <w:r w:rsidR="001C089E" w:rsidRPr="001C089E">
              <w:rPr>
                <w:rFonts w:cs="Arial"/>
                <w:color w:val="000000"/>
                <w:szCs w:val="20"/>
              </w:rPr>
              <w:t xml:space="preserve"> </w:t>
            </w:r>
            <w:r w:rsidRPr="00DC7421">
              <w:rPr>
                <w:rStyle w:val="A7"/>
                <w:rFonts w:cs="Arial"/>
                <w:b w:val="0"/>
                <w:bCs w:val="0"/>
                <w:sz w:val="20"/>
                <w:szCs w:val="20"/>
              </w:rPr>
              <w:t>ON ABBOTT INSTRUMEN</w:t>
            </w:r>
            <w:r>
              <w:rPr>
                <w:rStyle w:val="A7"/>
                <w:rFonts w:cs="Arial"/>
                <w:b w:val="0"/>
                <w:bCs w:val="0"/>
                <w:sz w:val="20"/>
                <w:szCs w:val="20"/>
              </w:rPr>
              <w:t>T</w:t>
            </w:r>
            <w:r w:rsidRPr="00DC7421">
              <w:rPr>
                <w:rStyle w:val="A7"/>
                <w:rFonts w:cs="Arial"/>
                <w:b w:val="0"/>
                <w:bCs w:val="0"/>
                <w:sz w:val="20"/>
                <w:szCs w:val="20"/>
              </w:rPr>
              <w:t>ATION.</w:t>
            </w:r>
            <w:r w:rsidR="00AF13C6">
              <w:t xml:space="preserve"> </w:t>
            </w:r>
            <w:r w:rsidR="00AF13C6" w:rsidRPr="00AF13C6">
              <w:rPr>
                <w:rStyle w:val="A7"/>
                <w:rFonts w:cs="Arial"/>
                <w:b w:val="0"/>
                <w:bCs w:val="0"/>
                <w:sz w:val="20"/>
                <w:szCs w:val="20"/>
              </w:rPr>
              <w:t>The Alinity c Iron assay is used for the direct colorimetric</w:t>
            </w:r>
            <w:r w:rsidR="00AF13C6">
              <w:rPr>
                <w:rStyle w:val="A7"/>
                <w:rFonts w:cs="Arial"/>
                <w:b w:val="0"/>
                <w:bCs w:val="0"/>
                <w:sz w:val="20"/>
                <w:szCs w:val="20"/>
              </w:rPr>
              <w:t xml:space="preserve"> </w:t>
            </w:r>
            <w:r w:rsidR="00AF13C6" w:rsidRPr="00AF13C6">
              <w:rPr>
                <w:rStyle w:val="A7"/>
                <w:rFonts w:cs="Arial"/>
                <w:b w:val="0"/>
                <w:bCs w:val="0"/>
                <w:sz w:val="20"/>
                <w:szCs w:val="20"/>
              </w:rPr>
              <w:t>determination of iron without deproteinization in human serum or</w:t>
            </w:r>
            <w:r w:rsidR="00AF13C6">
              <w:rPr>
                <w:rStyle w:val="A7"/>
                <w:rFonts w:cs="Arial"/>
                <w:b w:val="0"/>
                <w:bCs w:val="0"/>
                <w:sz w:val="20"/>
                <w:szCs w:val="20"/>
              </w:rPr>
              <w:t xml:space="preserve"> </w:t>
            </w:r>
            <w:r w:rsidR="00AF13C6" w:rsidRPr="00AF13C6">
              <w:rPr>
                <w:rStyle w:val="A7"/>
                <w:rFonts w:cs="Arial"/>
                <w:b w:val="0"/>
                <w:bCs w:val="0"/>
                <w:sz w:val="20"/>
                <w:szCs w:val="20"/>
              </w:rPr>
              <w:t>plasma on the Alinity c analyzer.</w:t>
            </w:r>
            <w:r>
              <w:rPr>
                <w:rStyle w:val="A7"/>
                <w:rFonts w:cs="Arial"/>
                <w:b w:val="0"/>
                <w:bCs w:val="0"/>
                <w:sz w:val="20"/>
                <w:szCs w:val="20"/>
              </w:rPr>
              <w:t xml:space="preserve"> </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1091FCEA" w:rsidR="001A1584" w:rsidRPr="001A1584" w:rsidRDefault="001A1584" w:rsidP="001A1584">
            <w:pPr>
              <w:rPr>
                <w:rFonts w:cs="Arial"/>
                <w:szCs w:val="20"/>
              </w:rPr>
            </w:pPr>
            <w:r w:rsidRPr="001A1584">
              <w:rPr>
                <w:rFonts w:cs="Arial"/>
                <w:szCs w:val="20"/>
              </w:rPr>
              <w:t>This procedure applies to all personnel responsible for operating the Abbott Alinity c at Children’s Minnesota Laboratory.</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237B2F6" w14:textId="50C0B9BF" w:rsidR="001C089E" w:rsidRDefault="001C089E" w:rsidP="001C089E">
            <w:pPr>
              <w:pStyle w:val="Header"/>
              <w:rPr>
                <w:rFonts w:cs="Arial"/>
                <w:color w:val="000000"/>
                <w:szCs w:val="20"/>
              </w:rPr>
            </w:pPr>
            <w:r w:rsidRPr="001C089E">
              <w:rPr>
                <w:rFonts w:cs="Arial"/>
                <w:color w:val="000000"/>
                <w:szCs w:val="20"/>
              </w:rPr>
              <w:t>At a pH of 4.8, iron is released from tr</w:t>
            </w:r>
            <w:r>
              <w:rPr>
                <w:rFonts w:cs="Arial"/>
                <w:color w:val="000000"/>
                <w:szCs w:val="20"/>
              </w:rPr>
              <w:t xml:space="preserve">ansferrin to which it is bound, </w:t>
            </w:r>
            <w:r w:rsidRPr="001C089E">
              <w:rPr>
                <w:rFonts w:cs="Arial"/>
                <w:color w:val="000000"/>
                <w:szCs w:val="20"/>
              </w:rPr>
              <w:t xml:space="preserve">and then quantitatively reduced to </w:t>
            </w:r>
            <w:r>
              <w:rPr>
                <w:rFonts w:cs="Arial"/>
                <w:color w:val="000000"/>
                <w:szCs w:val="20"/>
              </w:rPr>
              <w:t xml:space="preserve">a ferrous state. The iron forms </w:t>
            </w:r>
            <w:r w:rsidRPr="001C089E">
              <w:rPr>
                <w:rFonts w:cs="Arial"/>
                <w:color w:val="000000"/>
                <w:szCs w:val="20"/>
              </w:rPr>
              <w:t>with Ferene-S*, a stable colored compl</w:t>
            </w:r>
            <w:r>
              <w:rPr>
                <w:rFonts w:cs="Arial"/>
                <w:color w:val="000000"/>
                <w:szCs w:val="20"/>
              </w:rPr>
              <w:t xml:space="preserve">ex of which the color intensity </w:t>
            </w:r>
            <w:r w:rsidRPr="001C089E">
              <w:rPr>
                <w:rFonts w:cs="Arial"/>
                <w:color w:val="000000"/>
                <w:szCs w:val="20"/>
              </w:rPr>
              <w:t>is proportional to the amount of</w:t>
            </w:r>
            <w:r>
              <w:rPr>
                <w:rFonts w:cs="Arial"/>
                <w:color w:val="000000"/>
                <w:szCs w:val="20"/>
              </w:rPr>
              <w:t xml:space="preserve"> iron in the sample. Particular </w:t>
            </w:r>
            <w:r w:rsidRPr="001C089E">
              <w:rPr>
                <w:rFonts w:cs="Arial"/>
                <w:color w:val="000000"/>
                <w:szCs w:val="20"/>
              </w:rPr>
              <w:t>reaction conditions and a specifi</w:t>
            </w:r>
            <w:r>
              <w:rPr>
                <w:rFonts w:cs="Arial"/>
                <w:color w:val="000000"/>
                <w:szCs w:val="20"/>
              </w:rPr>
              <w:t xml:space="preserve">c masking agent almost entirely </w:t>
            </w:r>
            <w:r w:rsidRPr="001C089E">
              <w:rPr>
                <w:rFonts w:cs="Arial"/>
                <w:color w:val="000000"/>
                <w:szCs w:val="20"/>
              </w:rPr>
              <w:t>eliminate the interference from copper.</w:t>
            </w:r>
          </w:p>
          <w:p w14:paraId="2A90E93B" w14:textId="77777777" w:rsidR="001C089E" w:rsidRPr="001C089E" w:rsidRDefault="001C089E" w:rsidP="001C089E">
            <w:pPr>
              <w:pStyle w:val="Header"/>
              <w:rPr>
                <w:rFonts w:cs="Arial"/>
                <w:i/>
                <w:color w:val="000000"/>
                <w:szCs w:val="20"/>
              </w:rPr>
            </w:pPr>
          </w:p>
          <w:p w14:paraId="46E26D7B" w14:textId="58F42DE1" w:rsidR="001C089E" w:rsidRPr="001C089E" w:rsidRDefault="001C089E" w:rsidP="001C089E">
            <w:pPr>
              <w:pStyle w:val="Header"/>
              <w:rPr>
                <w:rFonts w:cs="Arial"/>
                <w:i/>
                <w:color w:val="000000"/>
                <w:szCs w:val="20"/>
              </w:rPr>
            </w:pPr>
            <w:r w:rsidRPr="001C089E">
              <w:rPr>
                <w:rFonts w:cs="Arial"/>
                <w:i/>
                <w:color w:val="000000"/>
                <w:szCs w:val="20"/>
              </w:rPr>
              <w:t>* Ferene-S = 3-(2-pyridyl)-5,6-bis-[2-(5-furylsulfonic acid)]-1,2,4-triazine</w:t>
            </w:r>
          </w:p>
          <w:p w14:paraId="778EE258" w14:textId="77777777" w:rsidR="001C089E" w:rsidRDefault="001C089E" w:rsidP="00981A4A">
            <w:pPr>
              <w:pStyle w:val="Header"/>
              <w:tabs>
                <w:tab w:val="clear" w:pos="4320"/>
                <w:tab w:val="clear" w:pos="8640"/>
              </w:tabs>
              <w:rPr>
                <w:rFonts w:cs="Arial"/>
                <w:color w:val="000000"/>
                <w:szCs w:val="20"/>
              </w:rPr>
            </w:pPr>
          </w:p>
          <w:p w14:paraId="70659A21" w14:textId="3874C941" w:rsidR="002462C0" w:rsidRDefault="006C5661" w:rsidP="00981A4A">
            <w:pPr>
              <w:pStyle w:val="Header"/>
              <w:tabs>
                <w:tab w:val="clear" w:pos="4320"/>
                <w:tab w:val="clear" w:pos="8640"/>
              </w:tabs>
              <w:rPr>
                <w:rFonts w:cs="Arial"/>
                <w:b/>
                <w:color w:val="000000"/>
                <w:szCs w:val="20"/>
              </w:rPr>
            </w:pPr>
            <w:r w:rsidRPr="001422AD">
              <w:rPr>
                <w:rFonts w:cs="Arial"/>
                <w:b/>
                <w:color w:val="000000"/>
                <w:szCs w:val="20"/>
              </w:rPr>
              <w:t>Methodology</w:t>
            </w:r>
            <w:r w:rsidRPr="006C5661">
              <w:rPr>
                <w:rFonts w:cs="Arial"/>
                <w:color w:val="000000"/>
                <w:szCs w:val="20"/>
              </w:rPr>
              <w:t xml:space="preserve">: </w:t>
            </w:r>
            <w:r w:rsidR="001C089E" w:rsidRPr="001422AD">
              <w:rPr>
                <w:rFonts w:cs="Arial"/>
                <w:color w:val="000000"/>
                <w:szCs w:val="20"/>
              </w:rPr>
              <w:t>Ferene</w:t>
            </w:r>
          </w:p>
          <w:p w14:paraId="4CE9E67B" w14:textId="77777777" w:rsidR="00AF13C6" w:rsidRDefault="00AF13C6" w:rsidP="00981A4A">
            <w:pPr>
              <w:pStyle w:val="Header"/>
              <w:tabs>
                <w:tab w:val="clear" w:pos="4320"/>
                <w:tab w:val="clear" w:pos="8640"/>
              </w:tabs>
              <w:rPr>
                <w:rFonts w:cs="Arial"/>
                <w:b/>
                <w:color w:val="000000"/>
                <w:szCs w:val="20"/>
              </w:rPr>
            </w:pPr>
          </w:p>
          <w:p w14:paraId="4F58455F" w14:textId="3EA7CFFA" w:rsidR="001C089E" w:rsidRPr="001422AD" w:rsidRDefault="001C089E" w:rsidP="001C089E">
            <w:pPr>
              <w:pStyle w:val="Header"/>
              <w:rPr>
                <w:rFonts w:cs="Arial"/>
                <w:color w:val="000000"/>
                <w:szCs w:val="20"/>
              </w:rPr>
            </w:pPr>
            <w:r w:rsidRPr="001422AD">
              <w:rPr>
                <w:rFonts w:cs="Arial"/>
                <w:color w:val="000000"/>
                <w:szCs w:val="20"/>
              </w:rPr>
              <w:t>For additional information on system and assay technology, refer to the Alinity ci-series Operations Manual, Section 3.</w:t>
            </w:r>
          </w:p>
          <w:p w14:paraId="5CCFFF81" w14:textId="09AFCB46" w:rsidR="006C5661" w:rsidRPr="00DC7421" w:rsidRDefault="006C5661" w:rsidP="00DF6343">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145043C5" w14:textId="77777777" w:rsidR="002462C0" w:rsidRDefault="001C089E" w:rsidP="001C089E">
            <w:r w:rsidRPr="001C089E">
              <w:t>Iron exists in biological fluids as a component of hemoglobin and</w:t>
            </w:r>
            <w:r>
              <w:t xml:space="preserve"> </w:t>
            </w:r>
            <w:r w:rsidRPr="001C089E">
              <w:t>myoglobin and is bound in serum and plasma to transferrin, which</w:t>
            </w:r>
            <w:r>
              <w:t xml:space="preserve"> </w:t>
            </w:r>
            <w:r w:rsidRPr="001C089E">
              <w:t>acts as a carrier protein. Increased iron concentrations are seen</w:t>
            </w:r>
            <w:r>
              <w:t xml:space="preserve"> in </w:t>
            </w:r>
            <w:r w:rsidRPr="001C089E">
              <w:t>hemolytic anemias, hemochromatosis, and acute liver disease.</w:t>
            </w:r>
            <w:r>
              <w:t xml:space="preserve"> </w:t>
            </w:r>
            <w:r w:rsidRPr="001C089E">
              <w:t>Decreased iron concentrations are seen in iron deficiency and</w:t>
            </w:r>
            <w:r>
              <w:t xml:space="preserve"> </w:t>
            </w:r>
            <w:r w:rsidRPr="001C089E">
              <w:t>anemia of chronic disease. Major causes of iron deficiency include</w:t>
            </w:r>
            <w:r>
              <w:t xml:space="preserve"> </w:t>
            </w:r>
            <w:r w:rsidRPr="001C089E">
              <w:t>gastrointestinal and menstrual bleeding. For the assessment of the</w:t>
            </w:r>
            <w:r>
              <w:t xml:space="preserve"> </w:t>
            </w:r>
            <w:r w:rsidRPr="001C089E">
              <w:t>body</w:t>
            </w:r>
            <w:r w:rsidRPr="001C089E">
              <w:rPr>
                <w:rFonts w:hint="eastAsia"/>
              </w:rPr>
              <w:t>’</w:t>
            </w:r>
            <w:r>
              <w:t xml:space="preserve">s iron status, the </w:t>
            </w:r>
            <w:r w:rsidRPr="001C089E">
              <w:t>measurement of transferrin and ferritin can</w:t>
            </w:r>
            <w:r>
              <w:t xml:space="preserve"> </w:t>
            </w:r>
            <w:r w:rsidRPr="001C089E">
              <w:t>provide more accurate information.</w:t>
            </w:r>
          </w:p>
          <w:p w14:paraId="5CCFFF86" w14:textId="2A592658" w:rsidR="001C089E" w:rsidRPr="00370B0F" w:rsidRDefault="001C089E" w:rsidP="001C089E"/>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5CBF0BF3" w14:textId="42773344" w:rsidR="006200C0" w:rsidRPr="00DC7421" w:rsidRDefault="006200C0" w:rsidP="006200C0">
            <w:pPr>
              <w:autoSpaceDE w:val="0"/>
              <w:autoSpaceDN w:val="0"/>
              <w:adjustRightInd w:val="0"/>
              <w:rPr>
                <w:rFonts w:cs="Arial"/>
                <w:bCs/>
                <w:szCs w:val="20"/>
              </w:rPr>
            </w:pPr>
            <w:r>
              <w:rPr>
                <w:rFonts w:cs="Arial"/>
                <w:b/>
                <w:bCs/>
                <w:color w:val="7030A0"/>
                <w:szCs w:val="20"/>
              </w:rPr>
              <w:t>Minneapolis: Abbott Alinity c</w:t>
            </w:r>
            <w:r w:rsidR="00AF13C6">
              <w:rPr>
                <w:rFonts w:cs="Arial"/>
                <w:b/>
                <w:bCs/>
                <w:color w:val="7030A0"/>
                <w:szCs w:val="20"/>
              </w:rPr>
              <w:t>i (Sunquest method code: MAC</w:t>
            </w:r>
            <w:r>
              <w:rPr>
                <w:rFonts w:cs="Arial"/>
                <w:b/>
                <w:bCs/>
                <w:color w:val="7030A0"/>
                <w:szCs w:val="20"/>
              </w:rPr>
              <w:t>C)</w:t>
            </w:r>
          </w:p>
          <w:p w14:paraId="71F69D14" w14:textId="77777777" w:rsidR="006200C0" w:rsidRDefault="007F5B07" w:rsidP="006B78CE">
            <w:pPr>
              <w:pStyle w:val="BodyText2"/>
              <w:spacing w:after="60" w:line="240" w:lineRule="auto"/>
              <w:rPr>
                <w:rFonts w:cs="Arial"/>
                <w:b/>
                <w:bCs/>
                <w:color w:val="984806" w:themeColor="accent6" w:themeShade="80"/>
                <w:szCs w:val="20"/>
              </w:rPr>
            </w:pPr>
            <w:r w:rsidRPr="00DC7421">
              <w:rPr>
                <w:rFonts w:cs="Arial"/>
                <w:b/>
                <w:bCs/>
                <w:color w:val="984806" w:themeColor="accent6" w:themeShade="80"/>
                <w:szCs w:val="20"/>
              </w:rPr>
              <w:t xml:space="preserve">St. Paul: Abbott </w:t>
            </w:r>
            <w:r w:rsidR="009C5A69">
              <w:rPr>
                <w:rFonts w:cs="Arial"/>
                <w:b/>
                <w:bCs/>
                <w:color w:val="984806" w:themeColor="accent6" w:themeShade="80"/>
                <w:szCs w:val="20"/>
              </w:rPr>
              <w:t>Alinity c</w:t>
            </w:r>
            <w:r w:rsidRPr="00DC7421">
              <w:rPr>
                <w:rFonts w:cs="Arial"/>
                <w:b/>
                <w:bCs/>
                <w:color w:val="984806" w:themeColor="accent6" w:themeShade="80"/>
                <w:szCs w:val="20"/>
              </w:rPr>
              <w:t xml:space="preserve"> (Sunquest method code:</w:t>
            </w:r>
            <w:r w:rsidR="004B6551">
              <w:rPr>
                <w:rFonts w:cs="Arial"/>
                <w:b/>
                <w:bCs/>
                <w:color w:val="984806" w:themeColor="accent6" w:themeShade="80"/>
                <w:szCs w:val="20"/>
              </w:rPr>
              <w:t xml:space="preserve"> SALIC</w:t>
            </w:r>
            <w:r w:rsidRPr="00DC7421">
              <w:rPr>
                <w:rFonts w:cs="Arial"/>
                <w:b/>
                <w:bCs/>
                <w:color w:val="984806" w:themeColor="accent6" w:themeShade="80"/>
                <w:szCs w:val="20"/>
              </w:rPr>
              <w:t>)</w:t>
            </w:r>
          </w:p>
          <w:p w14:paraId="009AA960" w14:textId="77777777" w:rsidR="00AF13C6" w:rsidRDefault="00AF13C6" w:rsidP="006B78CE">
            <w:pPr>
              <w:pStyle w:val="BodyText2"/>
              <w:spacing w:after="60" w:line="240" w:lineRule="auto"/>
              <w:rPr>
                <w:rFonts w:cs="Arial"/>
                <w:bCs/>
                <w:szCs w:val="20"/>
              </w:rPr>
            </w:pPr>
            <w:r>
              <w:rPr>
                <w:rFonts w:cs="Arial"/>
                <w:bCs/>
                <w:szCs w:val="20"/>
              </w:rPr>
              <w:t>Backup: Alinity c on the opposite campus</w:t>
            </w:r>
          </w:p>
          <w:p w14:paraId="5CCFFF89" w14:textId="1CF4FF41" w:rsidR="00AF13C6" w:rsidRPr="00AF13C6" w:rsidRDefault="00AF13C6" w:rsidP="006B78CE">
            <w:pPr>
              <w:pStyle w:val="BodyText2"/>
              <w:spacing w:after="60" w:line="240" w:lineRule="auto"/>
              <w:rPr>
                <w:rFonts w:cs="Arial"/>
                <w:bCs/>
                <w:szCs w:val="20"/>
              </w:rPr>
            </w:pPr>
          </w:p>
        </w:tc>
      </w:tr>
      <w:tr w:rsidR="00E3253B" w14:paraId="5CCFFF8D" w14:textId="77777777" w:rsidTr="00AF13C6">
        <w:trPr>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7DF1252B" w14:textId="3686C606" w:rsidR="00370B0F" w:rsidRPr="00AF13C6" w:rsidRDefault="001C089E" w:rsidP="00504F3B">
            <w:r w:rsidRPr="00AF13C6">
              <w:rPr>
                <w:b/>
              </w:rPr>
              <w:t>FE</w:t>
            </w:r>
            <w:r w:rsidR="00AF13C6">
              <w:rPr>
                <w:b/>
              </w:rPr>
              <w:t xml:space="preserve">: </w:t>
            </w:r>
            <w:r w:rsidR="00AF13C6">
              <w:t xml:space="preserve"> Iron</w:t>
            </w:r>
          </w:p>
          <w:p w14:paraId="6B679A63" w14:textId="77777777" w:rsidR="00AF13C6" w:rsidRDefault="00AF13C6" w:rsidP="00504F3B">
            <w:r w:rsidRPr="00AF13C6">
              <w:rPr>
                <w:b/>
              </w:rPr>
              <w:t>FEPR</w:t>
            </w:r>
            <w:r>
              <w:t>: Iron Profile</w:t>
            </w:r>
          </w:p>
          <w:p w14:paraId="5CCFFF8C" w14:textId="272BEA8B" w:rsidR="00AF13C6" w:rsidRPr="00AF13C6" w:rsidRDefault="00AF13C6" w:rsidP="00504F3B"/>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03EBB6F7"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C34BA5">
              <w:rPr>
                <w:rStyle w:val="BoldBodyText"/>
                <w:rFonts w:ascii="Arial" w:hAnsi="Arial" w:cs="Arial"/>
                <w:b w:val="0"/>
                <w:bCs w:val="0"/>
                <w:sz w:val="20"/>
                <w:szCs w:val="20"/>
              </w:rPr>
              <w:t xml:space="preserve">Serum or Plasma (with or without gel barrier) </w:t>
            </w:r>
          </w:p>
          <w:p w14:paraId="34021B1C" w14:textId="3E5EF347" w:rsidR="00981A4A" w:rsidRPr="007F5A52" w:rsidRDefault="0017089C">
            <w:pPr>
              <w:rPr>
                <w:rFonts w:cs="Arial"/>
                <w:szCs w:val="20"/>
              </w:rPr>
            </w:pPr>
            <w:r w:rsidRPr="009475C8">
              <w:rPr>
                <w:rFonts w:cs="Arial"/>
                <w:b/>
                <w:szCs w:val="20"/>
              </w:rPr>
              <w:t>Preferred:</w:t>
            </w:r>
            <w:r w:rsidR="006C5661" w:rsidRPr="009475C8">
              <w:rPr>
                <w:rFonts w:cs="Arial"/>
                <w:b/>
                <w:szCs w:val="20"/>
              </w:rPr>
              <w:t xml:space="preserve"> </w:t>
            </w:r>
            <w:r w:rsidR="00C34BA5">
              <w:rPr>
                <w:rFonts w:cs="Arial"/>
                <w:szCs w:val="20"/>
              </w:rPr>
              <w:t xml:space="preserve">SST </w:t>
            </w:r>
            <w:r w:rsidR="00C34BA5" w:rsidRPr="007F5A52">
              <w:rPr>
                <w:rFonts w:cs="Arial"/>
                <w:szCs w:val="20"/>
              </w:rPr>
              <w:t>(ensure complete clot formation before centrifugation)</w:t>
            </w:r>
          </w:p>
          <w:p w14:paraId="60FE11B0" w14:textId="40E6621E" w:rsidR="0017089C" w:rsidRDefault="0017089C">
            <w:pPr>
              <w:rPr>
                <w:rFonts w:cs="Arial"/>
                <w:szCs w:val="20"/>
              </w:rPr>
            </w:pPr>
            <w:r w:rsidRPr="009475C8">
              <w:rPr>
                <w:rFonts w:cs="Arial"/>
                <w:b/>
                <w:szCs w:val="20"/>
              </w:rPr>
              <w:t>Alternative:</w:t>
            </w:r>
            <w:r w:rsidR="00C34BA5">
              <w:rPr>
                <w:rFonts w:cs="Arial"/>
                <w:b/>
                <w:szCs w:val="20"/>
              </w:rPr>
              <w:t xml:space="preserve"> </w:t>
            </w:r>
            <w:r w:rsidR="00C34BA5">
              <w:rPr>
                <w:rFonts w:cs="Arial"/>
                <w:szCs w:val="20"/>
              </w:rPr>
              <w:t>Lithium Heparin, Sodium Heparin</w:t>
            </w:r>
          </w:p>
          <w:p w14:paraId="34F12611" w14:textId="77777777" w:rsidR="0017089C" w:rsidRPr="00DC7421" w:rsidRDefault="0017089C">
            <w:pPr>
              <w:rPr>
                <w:rFonts w:cs="Arial"/>
                <w:szCs w:val="20"/>
              </w:rPr>
            </w:pPr>
          </w:p>
          <w:p w14:paraId="5CCFFF96" w14:textId="65089420"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Pr>
                <w:rFonts w:ascii="Arial" w:hAnsi="Arial" w:cs="Arial"/>
                <w:b/>
                <w:bCs/>
                <w:sz w:val="20"/>
                <w:szCs w:val="20"/>
              </w:rPr>
              <w:t xml:space="preserve">: </w:t>
            </w:r>
            <w:r w:rsidR="00C34BA5">
              <w:rPr>
                <w:rFonts w:ascii="Arial" w:hAnsi="Arial" w:cs="Arial"/>
                <w:bCs/>
                <w:sz w:val="20"/>
                <w:szCs w:val="20"/>
              </w:rPr>
              <w:t xml:space="preserve">0.6 </w:t>
            </w:r>
            <w:r w:rsidR="00AE2334" w:rsidRPr="009475C8">
              <w:rPr>
                <w:rFonts w:ascii="Arial" w:hAnsi="Arial" w:cs="Arial"/>
                <w:sz w:val="20"/>
                <w:szCs w:val="20"/>
              </w:rPr>
              <w:t>mL</w:t>
            </w:r>
            <w:r w:rsidR="00AE2334">
              <w:rPr>
                <w:rFonts w:ascii="Arial" w:hAnsi="Arial" w:cs="Arial"/>
                <w:sz w:val="20"/>
                <w:szCs w:val="20"/>
              </w:rPr>
              <w:t xml:space="preserve"> blood, </w:t>
            </w:r>
            <w:r w:rsidR="00C34BA5">
              <w:rPr>
                <w:rFonts w:ascii="Arial" w:hAnsi="Arial" w:cs="Arial"/>
                <w:bCs/>
                <w:sz w:val="20"/>
                <w:szCs w:val="20"/>
              </w:rPr>
              <w:t>0.2</w:t>
            </w:r>
            <w:r w:rsidR="009475C8" w:rsidRPr="009475C8">
              <w:rPr>
                <w:rFonts w:ascii="Arial" w:hAnsi="Arial" w:cs="Arial"/>
                <w:sz w:val="20"/>
                <w:szCs w:val="20"/>
              </w:rPr>
              <w:t>mL</w:t>
            </w:r>
            <w:r w:rsidR="00AE2334">
              <w:rPr>
                <w:rFonts w:ascii="Arial" w:hAnsi="Arial" w:cs="Arial"/>
                <w:sz w:val="20"/>
                <w:szCs w:val="20"/>
              </w:rPr>
              <w:t xml:space="preserve"> serum/plasma</w:t>
            </w:r>
          </w:p>
          <w:p w14:paraId="5CCFFF97" w14:textId="77777777" w:rsidR="00E3253B" w:rsidRPr="00DC7421" w:rsidRDefault="00E3253B">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32CB816F" w:rsidR="0017089C" w:rsidRPr="009475C8" w:rsidRDefault="0017089C">
            <w:pPr>
              <w:pStyle w:val="Header"/>
              <w:tabs>
                <w:tab w:val="clear" w:pos="4320"/>
                <w:tab w:val="clear" w:pos="8640"/>
              </w:tabs>
              <w:rPr>
                <w:rFonts w:cs="Arial"/>
                <w:b/>
                <w:szCs w:val="20"/>
              </w:rPr>
            </w:pPr>
            <w:r w:rsidRPr="009475C8">
              <w:rPr>
                <w:rFonts w:cs="Arial"/>
                <w:b/>
                <w:szCs w:val="20"/>
              </w:rPr>
              <w:t>20 to 25°C</w:t>
            </w:r>
            <w:r w:rsidR="00C34BA5">
              <w:rPr>
                <w:rFonts w:cs="Arial"/>
                <w:b/>
                <w:szCs w:val="20"/>
              </w:rPr>
              <w:t xml:space="preserve">: </w:t>
            </w:r>
            <w:r w:rsidR="00C34BA5">
              <w:rPr>
                <w:rFonts w:cs="Arial"/>
                <w:szCs w:val="20"/>
              </w:rPr>
              <w:t>7 days</w:t>
            </w:r>
            <w:r w:rsidR="00437425" w:rsidRPr="009475C8">
              <w:rPr>
                <w:rFonts w:cs="Arial"/>
                <w:b/>
                <w:szCs w:val="20"/>
              </w:rPr>
              <w:tab/>
            </w:r>
          </w:p>
          <w:p w14:paraId="5CCFFF99" w14:textId="44316022" w:rsidR="00E3253B" w:rsidRPr="00C34BA5" w:rsidRDefault="00BD0AE4">
            <w:pPr>
              <w:pStyle w:val="Header"/>
              <w:tabs>
                <w:tab w:val="clear" w:pos="4320"/>
                <w:tab w:val="clear" w:pos="8640"/>
              </w:tabs>
              <w:rPr>
                <w:rFonts w:cs="Arial"/>
                <w:szCs w:val="20"/>
              </w:rPr>
            </w:pPr>
            <w:r w:rsidRPr="009475C8">
              <w:rPr>
                <w:rFonts w:cs="Arial"/>
                <w:b/>
                <w:szCs w:val="20"/>
              </w:rPr>
              <w:t>2 to 8°C</w:t>
            </w:r>
            <w:r w:rsidR="00C34BA5">
              <w:rPr>
                <w:rFonts w:cs="Arial"/>
                <w:b/>
                <w:szCs w:val="20"/>
              </w:rPr>
              <w:t xml:space="preserve">: </w:t>
            </w:r>
            <w:r w:rsidR="00C34BA5">
              <w:rPr>
                <w:rFonts w:cs="Arial"/>
                <w:szCs w:val="20"/>
              </w:rPr>
              <w:t>3 weeks</w:t>
            </w:r>
          </w:p>
          <w:p w14:paraId="594E4A3A" w14:textId="3541C5E7" w:rsidR="00BD0AE4" w:rsidRDefault="00BD0AE4">
            <w:pPr>
              <w:pStyle w:val="Header"/>
              <w:tabs>
                <w:tab w:val="clear" w:pos="4320"/>
                <w:tab w:val="clear" w:pos="8640"/>
              </w:tabs>
              <w:rPr>
                <w:rFonts w:cs="Arial"/>
                <w:szCs w:val="20"/>
              </w:rPr>
            </w:pPr>
            <w:r w:rsidRPr="009475C8">
              <w:rPr>
                <w:rFonts w:cs="Arial"/>
                <w:b/>
                <w:szCs w:val="20"/>
              </w:rPr>
              <w:t>-20°C</w:t>
            </w:r>
            <w:r w:rsidR="00C34BA5">
              <w:rPr>
                <w:rFonts w:cs="Arial"/>
                <w:b/>
                <w:szCs w:val="20"/>
              </w:rPr>
              <w:t>:</w:t>
            </w:r>
            <w:r w:rsidR="00C34BA5">
              <w:rPr>
                <w:rFonts w:cs="Arial"/>
                <w:szCs w:val="20"/>
              </w:rPr>
              <w:t xml:space="preserve"> 1 year</w:t>
            </w:r>
          </w:p>
          <w:p w14:paraId="1787D068" w14:textId="77777777" w:rsidR="00BD0AE4" w:rsidRPr="00DC7421" w:rsidRDefault="00BD0AE4">
            <w:pPr>
              <w:pStyle w:val="Header"/>
              <w:tabs>
                <w:tab w:val="clear" w:pos="4320"/>
                <w:tab w:val="clear" w:pos="8640"/>
              </w:tabs>
              <w:rPr>
                <w:rFonts w:cs="Arial"/>
                <w:szCs w:val="20"/>
              </w:rPr>
            </w:pPr>
          </w:p>
          <w:p w14:paraId="5CCFFF9A" w14:textId="4CB23233"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r w:rsidR="003E0295">
              <w:rPr>
                <w:rFonts w:cs="Arial"/>
                <w:szCs w:val="20"/>
              </w:rPr>
              <w:t xml:space="preserve">, </w:t>
            </w:r>
            <w:r w:rsidR="001422AD">
              <w:rPr>
                <w:rFonts w:cs="Arial"/>
                <w:szCs w:val="20"/>
              </w:rPr>
              <w:t>hemolyzed samples should be redrawn whenever possible.  See interferences section for more.</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499B27DA" w14:textId="77777777" w:rsidR="00AF13C6" w:rsidRPr="002873A2" w:rsidRDefault="00AF13C6" w:rsidP="00AF13C6">
            <w:pPr>
              <w:numPr>
                <w:ilvl w:val="0"/>
                <w:numId w:val="26"/>
              </w:numPr>
              <w:jc w:val="both"/>
              <w:rPr>
                <w:rFonts w:cs="Arial"/>
                <w:szCs w:val="20"/>
              </w:rPr>
            </w:pPr>
            <w:r w:rsidRPr="002873A2">
              <w:rPr>
                <w:rFonts w:cs="Arial"/>
                <w:szCs w:val="20"/>
              </w:rPr>
              <w:t>Whole blood specimens should be centrifuged following complete clot formation, according to Specimen Processing procedures prior to analysis.</w:t>
            </w:r>
          </w:p>
          <w:p w14:paraId="6054B1D5" w14:textId="77777777" w:rsidR="00AF13C6" w:rsidRPr="002873A2" w:rsidRDefault="00AF13C6" w:rsidP="00AF13C6">
            <w:pPr>
              <w:numPr>
                <w:ilvl w:val="0"/>
                <w:numId w:val="26"/>
              </w:numPr>
              <w:jc w:val="both"/>
              <w:rPr>
                <w:rFonts w:cs="Arial"/>
                <w:szCs w:val="20"/>
              </w:rPr>
            </w:pPr>
            <w:r w:rsidRPr="002873A2">
              <w:rPr>
                <w:rFonts w:cs="Arial"/>
                <w:szCs w:val="20"/>
              </w:rPr>
              <w:t>Serum or plasma should be physically separated from cells as soon as possible with a maximum limit of two hours from the time of collection.</w:t>
            </w:r>
          </w:p>
          <w:p w14:paraId="2C3717D7" w14:textId="77777777" w:rsidR="00AF13C6" w:rsidRPr="002873A2" w:rsidRDefault="00AF13C6" w:rsidP="00AF13C6">
            <w:pPr>
              <w:numPr>
                <w:ilvl w:val="0"/>
                <w:numId w:val="26"/>
              </w:numPr>
              <w:jc w:val="both"/>
              <w:rPr>
                <w:rFonts w:cs="Arial"/>
                <w:szCs w:val="20"/>
              </w:rPr>
            </w:pPr>
            <w:r w:rsidRPr="002873A2">
              <w:rPr>
                <w:rFonts w:cs="Arial"/>
                <w:szCs w:val="20"/>
              </w:rPr>
              <w:t xml:space="preserve">Specimens should be free of particulate matter. </w:t>
            </w:r>
          </w:p>
          <w:p w14:paraId="589A5651" w14:textId="0FAF6370" w:rsidR="00AF13C6" w:rsidRPr="002873A2" w:rsidRDefault="00AF13C6" w:rsidP="00AF13C6">
            <w:pPr>
              <w:numPr>
                <w:ilvl w:val="0"/>
                <w:numId w:val="26"/>
              </w:numPr>
              <w:jc w:val="both"/>
              <w:rPr>
                <w:rFonts w:cs="Arial"/>
                <w:szCs w:val="20"/>
              </w:rPr>
            </w:pPr>
            <w:r w:rsidRPr="002873A2">
              <w:rPr>
                <w:rFonts w:cs="Arial"/>
                <w:szCs w:val="20"/>
              </w:rPr>
              <w:t xml:space="preserve">Transfer serum or plasma to a properly labeled </w:t>
            </w:r>
            <w:r w:rsidR="00E27FCE">
              <w:rPr>
                <w:rFonts w:cs="Arial"/>
                <w:szCs w:val="20"/>
              </w:rPr>
              <w:t>pilot tube.</w:t>
            </w:r>
          </w:p>
          <w:p w14:paraId="33EE38A5" w14:textId="77777777" w:rsidR="00AF13C6" w:rsidRPr="002873A2" w:rsidRDefault="00AF13C6" w:rsidP="00AF13C6">
            <w:pPr>
              <w:numPr>
                <w:ilvl w:val="0"/>
                <w:numId w:val="26"/>
              </w:numPr>
              <w:jc w:val="both"/>
              <w:rPr>
                <w:rFonts w:cs="Arial"/>
                <w:szCs w:val="20"/>
              </w:rPr>
            </w:pPr>
            <w:r w:rsidRPr="002873A2">
              <w:rPr>
                <w:rFonts w:cs="Arial"/>
                <w:szCs w:val="20"/>
              </w:rPr>
              <w:t xml:space="preserve">  Architect and Alinity systems utilize a specimen level detect mechanism, so special racks specific to tube-type are not required.  </w:t>
            </w:r>
          </w:p>
          <w:p w14:paraId="54FFD5E7" w14:textId="77777777" w:rsidR="00AF13C6" w:rsidRPr="002873A2" w:rsidRDefault="00AF13C6" w:rsidP="00AF13C6">
            <w:pPr>
              <w:numPr>
                <w:ilvl w:val="0"/>
                <w:numId w:val="26"/>
              </w:numPr>
              <w:jc w:val="both"/>
              <w:rPr>
                <w:rFonts w:cs="Arial"/>
                <w:szCs w:val="20"/>
              </w:rPr>
            </w:pPr>
            <w:r w:rsidRPr="002873A2">
              <w:rPr>
                <w:rFonts w:cs="Arial"/>
                <w:szCs w:val="20"/>
              </w:rPr>
              <w:t>Minimum labeling includes sample accession ID, and/ or patient name, medical record number, collection date and time.</w:t>
            </w:r>
          </w:p>
          <w:p w14:paraId="5CCFFFA2" w14:textId="77777777" w:rsidR="00E3253B" w:rsidRPr="00DC7421" w:rsidRDefault="00E3253B" w:rsidP="00F6060A">
            <w:pPr>
              <w:autoSpaceDE w:val="0"/>
              <w:autoSpaceDN w:val="0"/>
              <w:adjustRightInd w:val="0"/>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9CC307A" w:rsidR="00D955F6" w:rsidRPr="00C00B65" w:rsidRDefault="00D955F6">
            <w:pPr>
              <w:rPr>
                <w:rFonts w:cs="Arial"/>
                <w:b/>
                <w:bCs/>
                <w:color w:val="0000FF"/>
                <w:szCs w:val="20"/>
              </w:rPr>
            </w:pPr>
            <w:r w:rsidRPr="00C00B65">
              <w:rPr>
                <w:rFonts w:cs="Arial"/>
                <w:b/>
                <w:bCs/>
                <w:color w:val="0000FF"/>
                <w:szCs w:val="20"/>
              </w:rPr>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66ECB1E0" w14:textId="77777777" w:rsidR="00AF13C6" w:rsidRDefault="00233AA0" w:rsidP="00AF13C6">
            <w:pPr>
              <w:autoSpaceDE w:val="0"/>
              <w:autoSpaceDN w:val="0"/>
              <w:adjustRightInd w:val="0"/>
              <w:rPr>
                <w:rFonts w:cs="Arial"/>
                <w:color w:val="000000"/>
                <w:szCs w:val="20"/>
              </w:rPr>
            </w:pPr>
            <w:r w:rsidRPr="00DC7421">
              <w:rPr>
                <w:rFonts w:cs="Arial"/>
                <w:b/>
                <w:bCs/>
                <w:color w:val="000000"/>
                <w:szCs w:val="20"/>
              </w:rPr>
              <w:t xml:space="preserve">Reagent Handling </w:t>
            </w:r>
          </w:p>
          <w:p w14:paraId="3025A9E5" w14:textId="00E6F326" w:rsidR="007B410A" w:rsidRDefault="00AF13C6" w:rsidP="00AF13C6">
            <w:pPr>
              <w:autoSpaceDE w:val="0"/>
              <w:autoSpaceDN w:val="0"/>
              <w:adjustRightInd w:val="0"/>
              <w:rPr>
                <w:rFonts w:cs="Arial"/>
                <w:color w:val="000000"/>
                <w:szCs w:val="20"/>
              </w:rPr>
            </w:pPr>
            <w:r>
              <w:rPr>
                <w:rFonts w:cs="Arial"/>
                <w:color w:val="000000"/>
                <w:szCs w:val="20"/>
              </w:rPr>
              <w:t xml:space="preserve">Reagents are shipped on wet ice.  </w:t>
            </w:r>
            <w:r w:rsidR="007B410A" w:rsidRPr="00DC7421">
              <w:rPr>
                <w:rFonts w:cs="Arial"/>
                <w:color w:val="000000"/>
                <w:szCs w:val="20"/>
              </w:rPr>
              <w:t>Upon receipt,</w:t>
            </w:r>
            <w:r w:rsidR="0081197E">
              <w:rPr>
                <w:rFonts w:cs="Arial"/>
                <w:color w:val="000000"/>
                <w:szCs w:val="20"/>
              </w:rPr>
              <w:t xml:space="preserve"> </w:t>
            </w:r>
            <w:r w:rsidR="007B410A" w:rsidRPr="00DC7421">
              <w:rPr>
                <w:rFonts w:cs="Arial"/>
                <w:color w:val="000000"/>
                <w:szCs w:val="20"/>
              </w:rPr>
              <w:t>place reagent cartrid</w:t>
            </w:r>
            <w:r w:rsidR="007B410A">
              <w:rPr>
                <w:rFonts w:cs="Arial"/>
                <w:color w:val="000000"/>
                <w:szCs w:val="20"/>
              </w:rPr>
              <w:t>ges in an upright position for 1 hour</w:t>
            </w:r>
            <w:r w:rsidR="007B410A" w:rsidRPr="00DC7421">
              <w:rPr>
                <w:rFonts w:cs="Arial"/>
                <w:color w:val="000000"/>
                <w:szCs w:val="20"/>
              </w:rPr>
              <w:t xml:space="preserve"> before use to allow bubbles that may have formed to dissipate. </w:t>
            </w:r>
            <w:r>
              <w:rPr>
                <w:rFonts w:cs="Arial"/>
                <w:color w:val="000000"/>
                <w:szCs w:val="20"/>
              </w:rPr>
              <w:t xml:space="preserve"> </w:t>
            </w:r>
          </w:p>
          <w:p w14:paraId="370ABAAB" w14:textId="77777777" w:rsidR="00AF13C6" w:rsidRPr="00DC7421" w:rsidRDefault="00AF13C6" w:rsidP="00AF13C6">
            <w:pPr>
              <w:autoSpaceDE w:val="0"/>
              <w:autoSpaceDN w:val="0"/>
              <w:adjustRightInd w:val="0"/>
              <w:rPr>
                <w:rFonts w:cs="Arial"/>
                <w:color w:val="000000"/>
                <w:szCs w:val="20"/>
              </w:rPr>
            </w:pPr>
          </w:p>
          <w:p w14:paraId="666CE016" w14:textId="3E6E8788" w:rsidR="00D955F6" w:rsidRDefault="007B410A" w:rsidP="0081197E">
            <w:pPr>
              <w:autoSpaceDE w:val="0"/>
              <w:autoSpaceDN w:val="0"/>
              <w:adjustRightInd w:val="0"/>
              <w:spacing w:after="208"/>
              <w:rPr>
                <w:rFonts w:cs="Arial"/>
                <w:color w:val="000000"/>
                <w:szCs w:val="20"/>
              </w:rPr>
            </w:pPr>
            <w:r w:rsidRPr="00DC7421">
              <w:rPr>
                <w:rFonts w:cs="Arial"/>
                <w:color w:val="000000"/>
                <w:szCs w:val="20"/>
              </w:rPr>
              <w:t>If a reagent cartridge is dropped, pl</w:t>
            </w:r>
            <w:r>
              <w:rPr>
                <w:rFonts w:cs="Arial"/>
                <w:color w:val="000000"/>
                <w:szCs w:val="20"/>
              </w:rPr>
              <w:t xml:space="preserve">ace in an upright position for </w:t>
            </w:r>
            <w:r w:rsidR="003E0295">
              <w:rPr>
                <w:rFonts w:cs="Arial"/>
                <w:color w:val="000000"/>
                <w:szCs w:val="20"/>
              </w:rPr>
              <w:t>1</w:t>
            </w:r>
            <w:r w:rsidRPr="00DC7421">
              <w:rPr>
                <w:rFonts w:cs="Arial"/>
                <w:color w:val="000000"/>
                <w:szCs w:val="20"/>
              </w:rPr>
              <w:t xml:space="preserve"> hour before use to allow bubbles that may have formed to dissipate. </w:t>
            </w:r>
          </w:p>
          <w:p w14:paraId="79DDAA3E" w14:textId="77777777" w:rsidR="00A062E1" w:rsidRPr="00DC7421" w:rsidRDefault="00A062E1" w:rsidP="00A062E1">
            <w:pPr>
              <w:autoSpaceDE w:val="0"/>
              <w:autoSpaceDN w:val="0"/>
              <w:adjustRightInd w:val="0"/>
              <w:rPr>
                <w:rFonts w:cs="Arial"/>
                <w:color w:val="000000"/>
                <w:szCs w:val="20"/>
              </w:rPr>
            </w:pPr>
            <w:r w:rsidRPr="00DC7421">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14:paraId="47D90F33" w14:textId="77777777" w:rsidR="00A062E1" w:rsidRPr="00DC7421" w:rsidRDefault="00A062E1" w:rsidP="00A062E1">
            <w:pPr>
              <w:autoSpaceDE w:val="0"/>
              <w:autoSpaceDN w:val="0"/>
              <w:adjustRightInd w:val="0"/>
              <w:rPr>
                <w:rFonts w:cs="Arial"/>
                <w:color w:val="000000"/>
                <w:szCs w:val="20"/>
              </w:rPr>
            </w:pPr>
          </w:p>
          <w:p w14:paraId="6D28E8F9"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14:paraId="557E834E" w14:textId="77777777" w:rsidR="00A062E1" w:rsidRPr="00DC742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14:paraId="71802212" w14:textId="77777777" w:rsidR="00A062E1" w:rsidRDefault="00A062E1" w:rsidP="00A062E1">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14:paraId="5CCFFFAF" w14:textId="1C22C754" w:rsidR="007F5B07" w:rsidRPr="005125A4" w:rsidRDefault="007F5B07" w:rsidP="005125A4">
            <w:pPr>
              <w:autoSpaceDE w:val="0"/>
              <w:autoSpaceDN w:val="0"/>
              <w:adjustRightInd w:val="0"/>
              <w:rPr>
                <w:rFonts w:cs="Arial"/>
              </w:rPr>
            </w:pPr>
          </w:p>
        </w:tc>
      </w:tr>
      <w:tr w:rsidR="00D955F6" w14:paraId="5CCFFFC7" w14:textId="77777777" w:rsidTr="00AF13C6">
        <w:trPr>
          <w:tblHeader/>
        </w:trPr>
        <w:tc>
          <w:tcPr>
            <w:tcW w:w="1800" w:type="dxa"/>
            <w:tcBorders>
              <w:top w:val="nil"/>
              <w:left w:val="nil"/>
              <w:bottom w:val="nil"/>
              <w:right w:val="nil"/>
            </w:tcBorders>
          </w:tcPr>
          <w:p w14:paraId="5CCFFFB1" w14:textId="31A7FF00"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142FD7DA" w:rsidR="0081197E" w:rsidRPr="00DC7421" w:rsidRDefault="00AF13C6" w:rsidP="00115DD6">
                  <w:pPr>
                    <w:autoSpaceDE w:val="0"/>
                    <w:autoSpaceDN w:val="0"/>
                    <w:adjustRightInd w:val="0"/>
                    <w:rPr>
                      <w:rFonts w:cs="Arial"/>
                      <w:szCs w:val="20"/>
                    </w:rPr>
                  </w:pPr>
                  <w:r>
                    <w:rPr>
                      <w:rFonts w:cs="Arial"/>
                      <w:szCs w:val="20"/>
                    </w:rPr>
                    <w:t xml:space="preserve">Abbott </w:t>
                  </w:r>
                  <w:r w:rsidR="003E0295" w:rsidRPr="003E0295">
                    <w:rPr>
                      <w:rFonts w:cs="Arial"/>
                      <w:szCs w:val="20"/>
                    </w:rPr>
                    <w:t>Alinity c Iron Reagent Kit</w:t>
                  </w:r>
                </w:p>
              </w:tc>
              <w:tc>
                <w:tcPr>
                  <w:tcW w:w="1710" w:type="dxa"/>
                  <w:vAlign w:val="center"/>
                </w:tcPr>
                <w:p w14:paraId="78062055" w14:textId="22A7A348" w:rsidR="0081197E" w:rsidRPr="00DC7421" w:rsidRDefault="00AF13C6" w:rsidP="0081197E">
                  <w:pPr>
                    <w:pStyle w:val="BodyText"/>
                    <w:tabs>
                      <w:tab w:val="left" w:pos="3240"/>
                    </w:tabs>
                    <w:rPr>
                      <w:rFonts w:cs="Arial"/>
                      <w:szCs w:val="20"/>
                    </w:rPr>
                  </w:pPr>
                  <w:r w:rsidRPr="00AF13C6">
                    <w:rPr>
                      <w:rFonts w:cs="Arial"/>
                      <w:szCs w:val="20"/>
                    </w:rPr>
                    <w:t>08P3920</w:t>
                  </w:r>
                </w:p>
              </w:tc>
              <w:tc>
                <w:tcPr>
                  <w:tcW w:w="4533" w:type="dxa"/>
                  <w:vAlign w:val="center"/>
                </w:tcPr>
                <w:p w14:paraId="1E13427C" w14:textId="03EDDE66"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3E0295" w:rsidRPr="003E0295">
                    <w:rPr>
                      <w:rFonts w:ascii="Arial" w:hAnsi="Arial" w:cs="Arial"/>
                      <w:bCs/>
                    </w:rPr>
                    <w:t>2 to 8°C</w:t>
                  </w:r>
                </w:p>
                <w:p w14:paraId="188F00FD" w14:textId="4658C340" w:rsidR="00115DD6" w:rsidRDefault="0081197E" w:rsidP="0081197E">
                  <w:pPr>
                    <w:pStyle w:val="Reagents"/>
                    <w:spacing w:after="80"/>
                    <w:rPr>
                      <w:rFonts w:ascii="Arial" w:hAnsi="Arial" w:cs="Arial"/>
                      <w:b/>
                      <w:bCs/>
                    </w:rPr>
                  </w:pPr>
                  <w:r w:rsidRPr="00DC7421">
                    <w:rPr>
                      <w:rFonts w:ascii="Arial" w:hAnsi="Arial" w:cs="Arial"/>
                      <w:b/>
                      <w:bCs/>
                    </w:rPr>
                    <w:t xml:space="preserve">Unopened: </w:t>
                  </w:r>
                  <w:r w:rsidR="00AF13C6" w:rsidRPr="00AF13C6">
                    <w:rPr>
                      <w:rFonts w:ascii="Arial" w:hAnsi="Arial" w:cs="Arial"/>
                      <w:bCs/>
                    </w:rPr>
                    <w:t xml:space="preserve">Until </w:t>
                  </w:r>
                  <w:r w:rsidR="00AF13C6">
                    <w:rPr>
                      <w:rFonts w:ascii="Arial" w:hAnsi="Arial" w:cs="Arial"/>
                      <w:bCs/>
                    </w:rPr>
                    <w:t>manufacturer’s printed expiration d</w:t>
                  </w:r>
                  <w:r w:rsidR="00AF13C6" w:rsidRPr="00AF13C6">
                    <w:rPr>
                      <w:rFonts w:ascii="Arial" w:hAnsi="Arial" w:cs="Arial"/>
                      <w:bCs/>
                    </w:rPr>
                    <w:t>ate</w:t>
                  </w:r>
                </w:p>
                <w:p w14:paraId="2EC23D08" w14:textId="564744CB" w:rsidR="0081197E" w:rsidRPr="003F688A" w:rsidRDefault="0081197E" w:rsidP="00115DD6">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3E0295" w:rsidRPr="003E0295">
                    <w:rPr>
                      <w:rFonts w:ascii="Arial" w:hAnsi="Arial" w:cs="Arial"/>
                      <w:bCs/>
                    </w:rPr>
                    <w:t>60 days</w:t>
                  </w:r>
                </w:p>
              </w:tc>
            </w:tr>
            <w:tr w:rsidR="0081197E" w:rsidRPr="00DC7421" w14:paraId="2A1E45AA" w14:textId="77777777" w:rsidTr="00413A69">
              <w:tc>
                <w:tcPr>
                  <w:tcW w:w="2857" w:type="dxa"/>
                  <w:vAlign w:val="center"/>
                </w:tcPr>
                <w:p w14:paraId="417AB88A" w14:textId="0A787FBE" w:rsidR="0081197E" w:rsidRPr="00AF13C6" w:rsidRDefault="00AF13C6" w:rsidP="0081197E">
                  <w:pPr>
                    <w:pStyle w:val="BodyText"/>
                    <w:spacing w:after="0"/>
                    <w:rPr>
                      <w:rFonts w:cs="Arial"/>
                      <w:szCs w:val="20"/>
                    </w:rPr>
                  </w:pPr>
                  <w:r>
                    <w:rPr>
                      <w:rFonts w:cs="Arial"/>
                      <w:szCs w:val="20"/>
                    </w:rPr>
                    <w:t xml:space="preserve">Abbott </w:t>
                  </w:r>
                  <w:r w:rsidR="00A71D02" w:rsidRPr="00AF13C6">
                    <w:rPr>
                      <w:rFonts w:cs="Arial"/>
                      <w:szCs w:val="20"/>
                    </w:rPr>
                    <w:t>Alinity c Iron Calibrator</w:t>
                  </w:r>
                </w:p>
              </w:tc>
              <w:tc>
                <w:tcPr>
                  <w:tcW w:w="1710" w:type="dxa"/>
                  <w:vAlign w:val="center"/>
                </w:tcPr>
                <w:p w14:paraId="1C065F4D" w14:textId="731F902A" w:rsidR="00A71D02" w:rsidRPr="00AF13C6" w:rsidRDefault="00AF13C6" w:rsidP="0081197E">
                  <w:pPr>
                    <w:rPr>
                      <w:rFonts w:cs="Arial"/>
                      <w:szCs w:val="20"/>
                    </w:rPr>
                  </w:pPr>
                  <w:r w:rsidRPr="00AF13C6">
                    <w:rPr>
                      <w:rFonts w:cs="Arial"/>
                      <w:szCs w:val="20"/>
                    </w:rPr>
                    <w:t>04U7501</w:t>
                  </w:r>
                </w:p>
              </w:tc>
              <w:tc>
                <w:tcPr>
                  <w:tcW w:w="4533" w:type="dxa"/>
                  <w:vAlign w:val="center"/>
                </w:tcPr>
                <w:p w14:paraId="3B82C64B" w14:textId="0C83D9D9" w:rsidR="0081197E" w:rsidRPr="00AF13C6" w:rsidRDefault="0081197E" w:rsidP="0081197E">
                  <w:pPr>
                    <w:pStyle w:val="Reagents"/>
                    <w:spacing w:after="80"/>
                    <w:rPr>
                      <w:rFonts w:ascii="Arial" w:hAnsi="Arial" w:cs="Arial"/>
                      <w:bCs/>
                    </w:rPr>
                  </w:pPr>
                  <w:r w:rsidRPr="00AF13C6">
                    <w:rPr>
                      <w:rFonts w:ascii="Arial" w:hAnsi="Arial" w:cs="Arial"/>
                      <w:b/>
                      <w:bCs/>
                    </w:rPr>
                    <w:t>Store at:</w:t>
                  </w:r>
                  <w:r w:rsidRPr="00AF13C6">
                    <w:rPr>
                      <w:rFonts w:ascii="Arial" w:hAnsi="Arial" w:cs="Arial"/>
                      <w:bCs/>
                    </w:rPr>
                    <w:t xml:space="preserve"> </w:t>
                  </w:r>
                  <w:r w:rsidR="00A71D02" w:rsidRPr="00AF13C6">
                    <w:rPr>
                      <w:rFonts w:ascii="Arial" w:hAnsi="Arial" w:cs="Arial"/>
                      <w:bCs/>
                    </w:rPr>
                    <w:t>2 to 8°C</w:t>
                  </w:r>
                </w:p>
                <w:p w14:paraId="22FE035D" w14:textId="15CF3748" w:rsidR="0081197E" w:rsidRPr="00AF13C6" w:rsidRDefault="0081197E" w:rsidP="0081197E">
                  <w:pPr>
                    <w:pStyle w:val="Reagents"/>
                    <w:spacing w:after="80"/>
                    <w:rPr>
                      <w:rFonts w:ascii="Arial" w:hAnsi="Arial" w:cs="Arial"/>
                      <w:bCs/>
                    </w:rPr>
                  </w:pPr>
                  <w:r w:rsidRPr="00AF13C6">
                    <w:rPr>
                      <w:rFonts w:ascii="Arial" w:hAnsi="Arial" w:cs="Arial"/>
                      <w:b/>
                      <w:bCs/>
                    </w:rPr>
                    <w:t xml:space="preserve">Unopened: </w:t>
                  </w:r>
                  <w:r w:rsidR="00A71D02" w:rsidRPr="00AF13C6">
                    <w:rPr>
                      <w:rFonts w:ascii="Arial" w:hAnsi="Arial" w:cs="Arial"/>
                      <w:bCs/>
                    </w:rPr>
                    <w:t xml:space="preserve">Until </w:t>
                  </w:r>
                  <w:r w:rsidR="00AF13C6">
                    <w:rPr>
                      <w:rFonts w:ascii="Arial" w:hAnsi="Arial" w:cs="Arial"/>
                      <w:bCs/>
                    </w:rPr>
                    <w:t>manufacturer’s printed expiration d</w:t>
                  </w:r>
                  <w:r w:rsidR="00A71D02" w:rsidRPr="00AF13C6">
                    <w:rPr>
                      <w:rFonts w:ascii="Arial" w:hAnsi="Arial" w:cs="Arial"/>
                      <w:bCs/>
                    </w:rPr>
                    <w:t>ate</w:t>
                  </w:r>
                </w:p>
                <w:p w14:paraId="05D3D1A4" w14:textId="69EE1D5F" w:rsidR="0081197E" w:rsidRPr="00AF13C6" w:rsidRDefault="0081197E" w:rsidP="00A71D02">
                  <w:pPr>
                    <w:pStyle w:val="BodyText"/>
                    <w:spacing w:after="80"/>
                    <w:rPr>
                      <w:rFonts w:cs="Arial"/>
                      <w:szCs w:val="20"/>
                    </w:rPr>
                  </w:pPr>
                  <w:r w:rsidRPr="00AF13C6">
                    <w:rPr>
                      <w:rFonts w:cs="Arial"/>
                      <w:b/>
                      <w:bCs/>
                      <w:szCs w:val="20"/>
                    </w:rPr>
                    <w:t xml:space="preserve">Opened expiration: </w:t>
                  </w:r>
                  <w:r w:rsidR="00A71D02" w:rsidRPr="00AF13C6">
                    <w:rPr>
                      <w:rFonts w:cs="Arial"/>
                      <w:bCs/>
                      <w:szCs w:val="20"/>
                    </w:rPr>
                    <w:t>7 days</w:t>
                  </w:r>
                  <w:r w:rsidR="00A71D02" w:rsidRPr="00AF13C6">
                    <w:rPr>
                      <w:rFonts w:cs="Arial"/>
                      <w:b/>
                      <w:bCs/>
                      <w:szCs w:val="20"/>
                    </w:rPr>
                    <w:t xml:space="preserve"> </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05C97A8A" w14:textId="73E519F1" w:rsidR="009475C8" w:rsidRDefault="00114E66" w:rsidP="00114E66">
            <w:pPr>
              <w:rPr>
                <w:szCs w:val="20"/>
              </w:rPr>
            </w:pPr>
            <w:r w:rsidRPr="00114E66">
              <w:rPr>
                <w:szCs w:val="20"/>
              </w:rPr>
              <w:t>This product requires the handling of human specimens.</w:t>
            </w:r>
            <w:r>
              <w:rPr>
                <w:szCs w:val="20"/>
              </w:rPr>
              <w:t xml:space="preserve"> </w:t>
            </w:r>
            <w:r w:rsidRPr="00114E66">
              <w:rPr>
                <w:szCs w:val="20"/>
              </w:rPr>
              <w:t>It is recommended that all human-sourced materials be considered</w:t>
            </w:r>
            <w:r>
              <w:rPr>
                <w:szCs w:val="20"/>
              </w:rPr>
              <w:t xml:space="preserve"> </w:t>
            </w:r>
            <w:r w:rsidRPr="00114E66">
              <w:rPr>
                <w:szCs w:val="20"/>
              </w:rPr>
              <w:t>potentially infectious and handled in accordance with the OSHA</w:t>
            </w:r>
            <w:r>
              <w:rPr>
                <w:szCs w:val="20"/>
              </w:rPr>
              <w:t xml:space="preserve"> </w:t>
            </w:r>
            <w:r w:rsidRPr="00114E66">
              <w:rPr>
                <w:szCs w:val="20"/>
              </w:rPr>
              <w:t>Standard on Bloodborne Pathogens.</w:t>
            </w:r>
          </w:p>
          <w:p w14:paraId="1D6EAD2B" w14:textId="7FAAA838" w:rsidR="009475C8" w:rsidRDefault="00114E66">
            <w:pPr>
              <w:rPr>
                <w:szCs w:val="20"/>
              </w:rPr>
            </w:pPr>
            <w:r w:rsidRPr="00114E66">
              <w:rPr>
                <w:szCs w:val="20"/>
              </w:rPr>
              <w:t>The following wa</w:t>
            </w:r>
            <w:r>
              <w:rPr>
                <w:szCs w:val="20"/>
              </w:rPr>
              <w:t>rnings and precautions apply to R1</w:t>
            </w:r>
          </w:p>
          <w:p w14:paraId="51B7A3F9" w14:textId="0E6E73BD" w:rsidR="00114E66" w:rsidRDefault="00114E66" w:rsidP="00114E66">
            <w:pPr>
              <w:rPr>
                <w:szCs w:val="20"/>
              </w:rPr>
            </w:pPr>
            <w:r>
              <w:rPr>
                <w:szCs w:val="20"/>
              </w:rPr>
              <w:t xml:space="preserve">Warning: </w:t>
            </w:r>
            <w:r>
              <w:rPr>
                <w:noProof/>
              </w:rPr>
              <w:t xml:space="preserve"> </w:t>
            </w:r>
            <w:r>
              <w:rPr>
                <w:noProof/>
              </w:rPr>
              <w:drawing>
                <wp:inline distT="0" distB="0" distL="0" distR="0" wp14:anchorId="124F2486" wp14:editId="40DA9098">
                  <wp:extent cx="495199" cy="5143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8014" cy="527660"/>
                          </a:xfrm>
                          <a:prstGeom prst="rect">
                            <a:avLst/>
                          </a:prstGeom>
                        </pic:spPr>
                      </pic:pic>
                    </a:graphicData>
                  </a:graphic>
                </wp:inline>
              </w:drawing>
            </w:r>
            <w:r>
              <w:rPr>
                <w:noProof/>
              </w:rPr>
              <w:t xml:space="preserve"> </w:t>
            </w:r>
            <w:r>
              <w:rPr>
                <w:noProof/>
              </w:rPr>
              <w:drawing>
                <wp:inline distT="0" distB="0" distL="0" distR="0" wp14:anchorId="3E5AC08C" wp14:editId="5474C1C8">
                  <wp:extent cx="459115" cy="466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3041" cy="480882"/>
                          </a:xfrm>
                          <a:prstGeom prst="rect">
                            <a:avLst/>
                          </a:prstGeom>
                        </pic:spPr>
                      </pic:pic>
                    </a:graphicData>
                  </a:graphic>
                </wp:inline>
              </w:drawing>
            </w:r>
          </w:p>
          <w:p w14:paraId="51045910" w14:textId="35B3E727" w:rsidR="00114E66" w:rsidRDefault="00114E66" w:rsidP="00114E66">
            <w:pPr>
              <w:rPr>
                <w:szCs w:val="20"/>
              </w:rPr>
            </w:pPr>
            <w:r w:rsidRPr="00114E66">
              <w:rPr>
                <w:szCs w:val="20"/>
              </w:rPr>
              <w:t>Contains guanidine hydrochloride,</w:t>
            </w:r>
            <w:r>
              <w:rPr>
                <w:szCs w:val="20"/>
              </w:rPr>
              <w:t xml:space="preserve"> </w:t>
            </w:r>
            <w:r w:rsidRPr="00114E66">
              <w:rPr>
                <w:szCs w:val="20"/>
              </w:rPr>
              <w:t>sodium acetate, acetic acid, and</w:t>
            </w:r>
            <w:r>
              <w:rPr>
                <w:szCs w:val="20"/>
              </w:rPr>
              <w:t xml:space="preserve"> </w:t>
            </w:r>
            <w:r w:rsidRPr="00114E66">
              <w:rPr>
                <w:szCs w:val="20"/>
              </w:rPr>
              <w:t>thiourea.</w:t>
            </w:r>
          </w:p>
          <w:p w14:paraId="1E3AED66" w14:textId="55176115" w:rsidR="00114E66" w:rsidRDefault="00114E66" w:rsidP="00114E66">
            <w:pPr>
              <w:rPr>
                <w:szCs w:val="20"/>
              </w:rPr>
            </w:pPr>
            <w:r w:rsidRPr="00114E66">
              <w:rPr>
                <w:szCs w:val="20"/>
              </w:rPr>
              <w:t>Suspected of damaging fertility or the</w:t>
            </w:r>
            <w:r>
              <w:rPr>
                <w:szCs w:val="20"/>
              </w:rPr>
              <w:t xml:space="preserve"> </w:t>
            </w:r>
            <w:r w:rsidRPr="00114E66">
              <w:rPr>
                <w:szCs w:val="20"/>
              </w:rPr>
              <w:t>unborn child.</w:t>
            </w:r>
          </w:p>
          <w:p w14:paraId="0726F1B9" w14:textId="77777777" w:rsidR="00AF13C6" w:rsidRDefault="00AF13C6" w:rsidP="00114E66">
            <w:pPr>
              <w:rPr>
                <w:szCs w:val="20"/>
              </w:rPr>
            </w:pPr>
          </w:p>
          <w:p w14:paraId="7C13EEBD" w14:textId="77777777" w:rsidR="00AF13C6" w:rsidRDefault="00AF13C6" w:rsidP="00114E66">
            <w:pPr>
              <w:rPr>
                <w:szCs w:val="20"/>
              </w:rPr>
            </w:pPr>
            <w:r>
              <w:rPr>
                <w:szCs w:val="20"/>
              </w:rPr>
              <w:t>Does not require special disposal with normal use.</w:t>
            </w:r>
          </w:p>
          <w:p w14:paraId="23BAD321" w14:textId="77777777" w:rsidR="00AF13C6" w:rsidRDefault="00AF13C6" w:rsidP="00114E66">
            <w:pPr>
              <w:rPr>
                <w:szCs w:val="20"/>
              </w:rPr>
            </w:pPr>
          </w:p>
          <w:p w14:paraId="5EFA9057" w14:textId="187619D3" w:rsidR="009475C8" w:rsidRDefault="009475C8">
            <w:r>
              <w:rPr>
                <w:szCs w:val="20"/>
              </w:rPr>
              <w:t xml:space="preserve">Safety data sheets (MSDS/SDS) available on </w:t>
            </w:r>
            <w:hyperlink r:id="rId14"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5142663D"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7B591669"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70CB817D" w:rsidR="00F50200" w:rsidRPr="00AF13C6" w:rsidRDefault="004A7E4A" w:rsidP="00A32948">
                  <w:pPr>
                    <w:pStyle w:val="CalVerTable"/>
                    <w:ind w:left="0" w:firstLine="0"/>
                    <w:rPr>
                      <w:rFonts w:ascii="Arial" w:hAnsi="Arial" w:cs="Arial"/>
                    </w:rPr>
                  </w:pPr>
                  <w:r>
                    <w:rPr>
                      <w:rFonts w:ascii="Arial" w:hAnsi="Arial" w:cs="Arial"/>
                    </w:rPr>
                    <w:t>10</w:t>
                  </w:r>
                  <w:r w:rsidR="00A85C6F" w:rsidRPr="00AF13C6">
                    <w:rPr>
                      <w:rFonts w:ascii="Arial" w:hAnsi="Arial" w:cs="Arial"/>
                    </w:rPr>
                    <w:t xml:space="preserve"> to 1000 μg/dL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326D2CE0" w14:textId="26713D24" w:rsidR="00A85C6F" w:rsidRPr="00AF13C6" w:rsidRDefault="00A85C6F" w:rsidP="00440E37">
                  <w:pPr>
                    <w:pStyle w:val="BodyText"/>
                    <w:rPr>
                      <w:rFonts w:cs="Arial"/>
                      <w:szCs w:val="20"/>
                    </w:rPr>
                  </w:pPr>
                  <w:r w:rsidRPr="00AF13C6">
                    <w:rPr>
                      <w:rFonts w:cs="Arial"/>
                      <w:szCs w:val="20"/>
                    </w:rPr>
                    <w:t>Alinity</w:t>
                  </w:r>
                  <w:r w:rsidR="004A7E4A">
                    <w:rPr>
                      <w:rFonts w:cs="Arial"/>
                      <w:szCs w:val="20"/>
                    </w:rPr>
                    <w:t xml:space="preserve"> c </w:t>
                  </w:r>
                  <w:r w:rsidRPr="00AF13C6">
                    <w:rPr>
                      <w:rFonts w:cs="Arial"/>
                      <w:szCs w:val="20"/>
                    </w:rPr>
                    <w:t xml:space="preserve"> Iron Calibrator kit</w:t>
                  </w:r>
                </w:p>
                <w:p w14:paraId="5CCFFFD8" w14:textId="1AE46EC1" w:rsidR="00A71D02" w:rsidRPr="00AF13C6" w:rsidRDefault="00A71D02" w:rsidP="00440E37">
                  <w:pPr>
                    <w:pStyle w:val="BodyText"/>
                    <w:rPr>
                      <w:rFonts w:cs="Arial"/>
                      <w:szCs w:val="20"/>
                    </w:rPr>
                  </w:pPr>
                </w:p>
              </w:tc>
            </w:tr>
            <w:tr w:rsidR="00F50200" w:rsidRPr="00DC7421" w14:paraId="5CCFFFE1" w14:textId="77777777" w:rsidTr="001C1CFA">
              <w:tc>
                <w:tcPr>
                  <w:tcW w:w="2947" w:type="dxa"/>
                </w:tcPr>
                <w:p w14:paraId="5CCFFFDA" w14:textId="215F63EB"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0F5B0CF1" w14:textId="77777777" w:rsidR="00114E66" w:rsidRPr="00AF13C6" w:rsidRDefault="00114E66" w:rsidP="00114E66">
                  <w:pPr>
                    <w:pStyle w:val="CalVerTable"/>
                    <w:rPr>
                      <w:rFonts w:ascii="Arial" w:hAnsi="Arial" w:cs="Arial"/>
                    </w:rPr>
                  </w:pPr>
                  <w:r w:rsidRPr="00AF13C6">
                    <w:rPr>
                      <w:rFonts w:ascii="Arial" w:hAnsi="Arial" w:cs="Arial"/>
                    </w:rPr>
                    <w:t>Lot-specific calibrator values are listed in the Alinity c Iron Calibrator</w:t>
                  </w:r>
                </w:p>
                <w:p w14:paraId="5CCFFFE0" w14:textId="330C40F5" w:rsidR="005B66A7" w:rsidRPr="00AF13C6" w:rsidRDefault="00114E66" w:rsidP="00114E66">
                  <w:pPr>
                    <w:pStyle w:val="CalVerTable"/>
                    <w:ind w:left="0" w:firstLine="0"/>
                    <w:rPr>
                      <w:rFonts w:ascii="Arial" w:hAnsi="Arial" w:cs="Arial"/>
                    </w:rPr>
                  </w:pPr>
                  <w:r w:rsidRPr="00AF13C6">
                    <w:rPr>
                      <w:rFonts w:ascii="Arial" w:hAnsi="Arial" w:cs="Arial"/>
                    </w:rPr>
                    <w:t>Kit value sheet</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4879AF5D" w:rsidR="00F50200" w:rsidRPr="00AF13C6" w:rsidRDefault="00114E66" w:rsidP="005B66A7">
                  <w:pPr>
                    <w:pStyle w:val="CalVerTable"/>
                    <w:ind w:left="0" w:firstLine="0"/>
                    <w:rPr>
                      <w:rFonts w:ascii="Arial" w:hAnsi="Arial" w:cs="Arial"/>
                    </w:rPr>
                  </w:pPr>
                  <w:r w:rsidRPr="00AF13C6">
                    <w:rPr>
                      <w:rFonts w:ascii="Arial" w:hAnsi="Arial" w:cs="Arial"/>
                    </w:rPr>
                    <w:t xml:space="preserve">1 Level </w:t>
                  </w:r>
                  <w:r w:rsidR="00A85C6F" w:rsidRPr="00AF13C6">
                    <w:rPr>
                      <w:rFonts w:ascii="Arial" w:hAnsi="Arial" w:cs="Arial"/>
                    </w:rPr>
                    <w:t>Reference Method: Gravimetric</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5CCFFFE6" w14:textId="6296B906" w:rsidR="00F50200" w:rsidRPr="00AF13C6" w:rsidRDefault="004A7E4A" w:rsidP="004A698D">
                  <w:pPr>
                    <w:pStyle w:val="Pa10"/>
                    <w:rPr>
                      <w:rFonts w:ascii="Arial" w:hAnsi="Arial" w:cs="Arial"/>
                      <w:sz w:val="20"/>
                      <w:szCs w:val="20"/>
                    </w:rPr>
                  </w:pPr>
                  <w:r>
                    <w:rPr>
                      <w:rFonts w:ascii="Arial" w:hAnsi="Arial" w:cs="Arial"/>
                      <w:sz w:val="20"/>
                      <w:szCs w:val="20"/>
                    </w:rPr>
                    <w:t>14 days;</w:t>
                  </w:r>
                  <w:r w:rsidR="00114E66" w:rsidRPr="00AF13C6">
                    <w:rPr>
                      <w:rFonts w:ascii="Arial" w:hAnsi="Arial" w:cs="Arial"/>
                      <w:sz w:val="20"/>
                      <w:szCs w:val="20"/>
                    </w:rPr>
                    <w:t xml:space="preserve"> </w:t>
                  </w:r>
                  <w:r>
                    <w:rPr>
                      <w:rFonts w:ascii="Arial" w:hAnsi="Arial" w:cs="Arial"/>
                      <w:sz w:val="20"/>
                      <w:szCs w:val="20"/>
                    </w:rPr>
                    <w:t>Every new reagent lot, after m</w:t>
                  </w:r>
                  <w:r w:rsidR="00114E66" w:rsidRPr="00AF13C6">
                    <w:rPr>
                      <w:rFonts w:ascii="Arial" w:hAnsi="Arial" w:cs="Arial"/>
                      <w:sz w:val="20"/>
                      <w:szCs w:val="20"/>
                    </w:rPr>
                    <w:t>ai</w:t>
                  </w:r>
                  <w:r>
                    <w:rPr>
                      <w:rFonts w:ascii="Arial" w:hAnsi="Arial" w:cs="Arial"/>
                      <w:sz w:val="20"/>
                      <w:szCs w:val="20"/>
                    </w:rPr>
                    <w:t>ntenance to critical components, if QC values warrant calibration</w:t>
                  </w:r>
                </w:p>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301F4AFD" w:rsidR="00F50200" w:rsidRPr="00AF13C6" w:rsidRDefault="009475C8" w:rsidP="004A7E4A">
                  <w:pPr>
                    <w:autoSpaceDE w:val="0"/>
                    <w:autoSpaceDN w:val="0"/>
                    <w:adjustRightInd w:val="0"/>
                    <w:rPr>
                      <w:rFonts w:cs="Arial"/>
                      <w:szCs w:val="20"/>
                    </w:rPr>
                  </w:pPr>
                  <w:r w:rsidRPr="00AF13C6">
                    <w:rPr>
                      <w:rFonts w:cs="Arial"/>
                      <w:szCs w:val="20"/>
                    </w:rPr>
                    <w:t xml:space="preserve">AMR is verified twice annually using the Maine Standards </w:t>
                  </w:r>
                  <w:r w:rsidR="004A7E4A">
                    <w:rPr>
                      <w:rFonts w:cs="Arial"/>
                      <w:szCs w:val="20"/>
                    </w:rPr>
                    <w:t>GC2 Product # 1200ab</w:t>
                  </w:r>
                  <w:r w:rsidRPr="00AF13C6">
                    <w:rPr>
                      <w:rFonts w:cs="Arial"/>
                      <w:szCs w:val="20"/>
                    </w:rPr>
                    <w:t xml:space="preserve"> by running all applicable levels in triplicate.  Assay results are submitted to Maine Standards for compilation and comparison to peers.  Results are reviewed and approved by the Technical Specialist.  Questionable results are investigated and corrective actions documented.</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499B7081" w14:textId="7DD41839" w:rsidR="000D6E1A" w:rsidRDefault="004A7E4A" w:rsidP="000D6E1A">
            <w:pPr>
              <w:autoSpaceDE w:val="0"/>
              <w:autoSpaceDN w:val="0"/>
              <w:adjustRightInd w:val="0"/>
              <w:jc w:val="both"/>
              <w:rPr>
                <w:rFonts w:cs="Arial"/>
                <w:b/>
                <w:szCs w:val="20"/>
              </w:rPr>
            </w:pPr>
            <w:r>
              <w:rPr>
                <w:rFonts w:cs="Arial"/>
                <w:b/>
                <w:szCs w:val="20"/>
              </w:rPr>
              <w:t>QC</w:t>
            </w:r>
            <w:r w:rsidR="000D6E1A" w:rsidRPr="00E47DE5">
              <w:rPr>
                <w:rFonts w:cs="Arial"/>
                <w:b/>
                <w:szCs w:val="20"/>
              </w:rPr>
              <w:t xml:space="preserve"> Material</w:t>
            </w:r>
            <w:r w:rsidR="000D6E1A" w:rsidRPr="00C6560E">
              <w:rPr>
                <w:rFonts w:cs="Arial"/>
                <w:szCs w:val="20"/>
              </w:rPr>
              <w:t>:</w:t>
            </w:r>
            <w:r>
              <w:rPr>
                <w:rFonts w:cs="Arial"/>
                <w:szCs w:val="20"/>
              </w:rPr>
              <w:t xml:space="preserve"> </w:t>
            </w:r>
            <w:r w:rsidR="00DA7484">
              <w:rPr>
                <w:rFonts w:cs="Arial"/>
                <w:szCs w:val="20"/>
              </w:rPr>
              <w:t>Bio-Rad</w:t>
            </w:r>
            <w:r>
              <w:rPr>
                <w:rFonts w:cs="Arial"/>
                <w:szCs w:val="20"/>
              </w:rPr>
              <w:t xml:space="preserve"> </w:t>
            </w:r>
            <w:r w:rsidR="001422AD">
              <w:rPr>
                <w:rFonts w:cs="Arial"/>
                <w:szCs w:val="20"/>
              </w:rPr>
              <w:t>Liquichek</w:t>
            </w:r>
            <w:r>
              <w:rPr>
                <w:rFonts w:cs="Arial"/>
                <w:szCs w:val="20"/>
              </w:rPr>
              <w:t xml:space="preserve"> </w:t>
            </w:r>
            <w:r w:rsidR="000D6E1A" w:rsidRPr="00C6560E">
              <w:rPr>
                <w:rFonts w:cs="Arial"/>
                <w:szCs w:val="20"/>
              </w:rPr>
              <w:t>Multiqual</w:t>
            </w:r>
            <w:r>
              <w:rPr>
                <w:rFonts w:cs="Arial"/>
                <w:szCs w:val="20"/>
              </w:rPr>
              <w:t xml:space="preserve"> 1,2,3 Unassayed Control Levels 1&amp;3</w:t>
            </w:r>
          </w:p>
          <w:p w14:paraId="6B37DE7A" w14:textId="77777777" w:rsidR="000D6E1A" w:rsidRPr="00E47DE5" w:rsidRDefault="000D6E1A" w:rsidP="000D6E1A">
            <w:pPr>
              <w:autoSpaceDE w:val="0"/>
              <w:autoSpaceDN w:val="0"/>
              <w:adjustRightInd w:val="0"/>
              <w:jc w:val="both"/>
              <w:rPr>
                <w:rFonts w:cs="Arial"/>
                <w:b/>
                <w:szCs w:val="20"/>
              </w:rPr>
            </w:pPr>
          </w:p>
          <w:p w14:paraId="595ED173" w14:textId="34F27079" w:rsidR="000D6E1A" w:rsidRDefault="000D6E1A" w:rsidP="000D6E1A">
            <w:pPr>
              <w:autoSpaceDE w:val="0"/>
              <w:autoSpaceDN w:val="0"/>
              <w:adjustRightInd w:val="0"/>
              <w:jc w:val="both"/>
              <w:rPr>
                <w:szCs w:val="20"/>
              </w:rPr>
            </w:pPr>
            <w:r w:rsidRPr="00DC7421">
              <w:rPr>
                <w:rFonts w:cs="Arial"/>
                <w:b/>
                <w:bCs/>
                <w:szCs w:val="20"/>
              </w:rPr>
              <w:t xml:space="preserve">Frequency: </w:t>
            </w:r>
            <w:r w:rsidR="004A7E4A">
              <w:rPr>
                <w:szCs w:val="20"/>
              </w:rPr>
              <w:t xml:space="preserve">Two levels </w:t>
            </w:r>
            <w:r>
              <w:rPr>
                <w:szCs w:val="20"/>
              </w:rPr>
              <w:t xml:space="preserve">each day of use </w:t>
            </w:r>
          </w:p>
          <w:p w14:paraId="08BB2462" w14:textId="77777777" w:rsidR="000D6E1A" w:rsidRPr="00DC7421" w:rsidRDefault="000D6E1A" w:rsidP="000D6E1A">
            <w:pPr>
              <w:autoSpaceDE w:val="0"/>
              <w:autoSpaceDN w:val="0"/>
              <w:adjustRightInd w:val="0"/>
              <w:jc w:val="both"/>
              <w:rPr>
                <w:rFonts w:cs="Arial"/>
                <w:szCs w:val="20"/>
              </w:rPr>
            </w:pPr>
          </w:p>
          <w:p w14:paraId="0E6F6F70" w14:textId="2A460A7C" w:rsidR="000D6E1A" w:rsidRDefault="000D6E1A" w:rsidP="000D6E1A">
            <w:pPr>
              <w:autoSpaceDE w:val="0"/>
              <w:autoSpaceDN w:val="0"/>
              <w:adjustRightInd w:val="0"/>
              <w:rPr>
                <w:szCs w:val="20"/>
              </w:rPr>
            </w:pPr>
            <w:r w:rsidRPr="00DC7421">
              <w:rPr>
                <w:rFonts w:cs="Arial"/>
                <w:b/>
                <w:bCs/>
                <w:szCs w:val="20"/>
              </w:rPr>
              <w:t>Stability:</w:t>
            </w:r>
            <w:r>
              <w:rPr>
                <w:rFonts w:cs="Arial"/>
                <w:b/>
                <w:bCs/>
                <w:szCs w:val="20"/>
              </w:rPr>
              <w:t xml:space="preserve"> </w:t>
            </w:r>
            <w:r>
              <w:rPr>
                <w:szCs w:val="20"/>
              </w:rPr>
              <w:t>Once thawed, opened, and stored tightly capped at 2 to 8°C</w:t>
            </w:r>
            <w:r w:rsidR="004A7E4A">
              <w:rPr>
                <w:szCs w:val="20"/>
              </w:rPr>
              <w:t>,</w:t>
            </w:r>
            <w:r>
              <w:rPr>
                <w:b/>
                <w:bCs/>
                <w:szCs w:val="20"/>
              </w:rPr>
              <w:t xml:space="preserve"> </w:t>
            </w:r>
            <w:r>
              <w:rPr>
                <w:szCs w:val="20"/>
              </w:rPr>
              <w:t xml:space="preserve">product will be labeled with an expiration date equal to the shortest stability of the included analytes, which is </w:t>
            </w:r>
            <w:r>
              <w:rPr>
                <w:b/>
                <w:bCs/>
                <w:szCs w:val="20"/>
              </w:rPr>
              <w:t xml:space="preserve">7 days. </w:t>
            </w:r>
          </w:p>
          <w:p w14:paraId="6412D920" w14:textId="77777777" w:rsidR="000D6E1A" w:rsidRPr="00DC7421" w:rsidRDefault="000D6E1A" w:rsidP="000D6E1A">
            <w:pPr>
              <w:autoSpaceDE w:val="0"/>
              <w:autoSpaceDN w:val="0"/>
              <w:adjustRightInd w:val="0"/>
              <w:rPr>
                <w:rFonts w:cs="Arial"/>
                <w:szCs w:val="20"/>
              </w:rPr>
            </w:pPr>
          </w:p>
          <w:p w14:paraId="42209EBB" w14:textId="77777777" w:rsidR="000D6E1A" w:rsidRDefault="000D6E1A" w:rsidP="000D6E1A">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14:paraId="78763A4E" w14:textId="77777777" w:rsidR="000D6E1A" w:rsidRDefault="000D6E1A" w:rsidP="000D6E1A">
            <w:pPr>
              <w:pStyle w:val="Default"/>
              <w:rPr>
                <w:sz w:val="20"/>
                <w:szCs w:val="20"/>
              </w:rPr>
            </w:pPr>
            <w:r>
              <w:rPr>
                <w:sz w:val="20"/>
                <w:szCs w:val="20"/>
              </w:rPr>
              <w:t xml:space="preserve">This product should be treated the same as patient specimens and run in accordance with the instructions accompanying the instrument, kit, or reagent being used. </w:t>
            </w:r>
          </w:p>
          <w:p w14:paraId="6AA7C263" w14:textId="77777777" w:rsidR="000D6E1A" w:rsidRDefault="000D6E1A" w:rsidP="000D6E1A">
            <w:pPr>
              <w:pStyle w:val="Default"/>
              <w:numPr>
                <w:ilvl w:val="0"/>
                <w:numId w:val="43"/>
              </w:numPr>
              <w:rPr>
                <w:sz w:val="20"/>
                <w:szCs w:val="20"/>
              </w:rPr>
            </w:pPr>
            <w:r>
              <w:rPr>
                <w:sz w:val="20"/>
                <w:szCs w:val="20"/>
              </w:rPr>
              <w:t xml:space="preserve">To thaw the product, allow it to stand at room temperature (18° to 25°C) until completely thawed but no longer than one (1) hour for Unassayed Control and 30 minutes for Pediatric Control. </w:t>
            </w:r>
          </w:p>
          <w:p w14:paraId="40D93A23" w14:textId="77777777" w:rsidR="000D6E1A" w:rsidRDefault="000D6E1A" w:rsidP="000D6E1A">
            <w:pPr>
              <w:pStyle w:val="Default"/>
              <w:numPr>
                <w:ilvl w:val="0"/>
                <w:numId w:val="43"/>
              </w:numPr>
              <w:rPr>
                <w:sz w:val="20"/>
                <w:szCs w:val="20"/>
              </w:rPr>
            </w:pPr>
            <w:r>
              <w:rPr>
                <w:sz w:val="20"/>
                <w:szCs w:val="20"/>
              </w:rPr>
              <w:t xml:space="preserve">After thawing, the products </w:t>
            </w:r>
            <w:r>
              <w:rPr>
                <w:b/>
                <w:bCs/>
                <w:sz w:val="20"/>
                <w:szCs w:val="20"/>
              </w:rPr>
              <w:t xml:space="preserve">MUST </w:t>
            </w:r>
            <w:r>
              <w:rPr>
                <w:sz w:val="20"/>
                <w:szCs w:val="20"/>
              </w:rPr>
              <w:t xml:space="preserve">be gently swirled and inverted several times to ensure homogeneity. </w:t>
            </w:r>
          </w:p>
          <w:p w14:paraId="68983950" w14:textId="77777777" w:rsidR="000D6E1A" w:rsidRDefault="000D6E1A" w:rsidP="000D6E1A">
            <w:pPr>
              <w:pStyle w:val="Default"/>
              <w:numPr>
                <w:ilvl w:val="0"/>
                <w:numId w:val="43"/>
              </w:numPr>
              <w:rPr>
                <w:sz w:val="20"/>
                <w:szCs w:val="20"/>
              </w:rPr>
            </w:pPr>
            <w:r>
              <w:rPr>
                <w:sz w:val="20"/>
                <w:szCs w:val="20"/>
              </w:rPr>
              <w:t xml:space="preserve">For optimal analyte stability in the thawed state, promptly return to 2 to 8°C storage after each use and minimize the time at room temperature to no more than 20 minutes daily. </w:t>
            </w:r>
          </w:p>
          <w:p w14:paraId="32DBA1C8" w14:textId="77777777" w:rsidR="000D6E1A" w:rsidRDefault="000D6E1A" w:rsidP="000D6E1A">
            <w:pPr>
              <w:pStyle w:val="Default"/>
              <w:numPr>
                <w:ilvl w:val="0"/>
                <w:numId w:val="43"/>
              </w:numPr>
              <w:rPr>
                <w:sz w:val="20"/>
                <w:szCs w:val="20"/>
              </w:rPr>
            </w:pPr>
            <w:r>
              <w:rPr>
                <w:b/>
                <w:bCs/>
                <w:sz w:val="20"/>
                <w:szCs w:val="20"/>
              </w:rPr>
              <w:t>Before each use</w:t>
            </w:r>
            <w:r>
              <w:rPr>
                <w:sz w:val="20"/>
                <w:szCs w:val="20"/>
              </w:rPr>
              <w:t xml:space="preserve">, gently swirl the contents until homogeneous with no visible signs of precipitate. </w:t>
            </w:r>
          </w:p>
          <w:p w14:paraId="5A5C7A7A" w14:textId="77777777" w:rsidR="0002771B" w:rsidRPr="00DC7421" w:rsidRDefault="0002771B" w:rsidP="008D3369">
            <w:pPr>
              <w:autoSpaceDE w:val="0"/>
              <w:autoSpaceDN w:val="0"/>
              <w:adjustRightInd w:val="0"/>
              <w:rPr>
                <w:rFonts w:cs="Arial"/>
                <w:szCs w:val="20"/>
              </w:rPr>
            </w:pPr>
          </w:p>
          <w:p w14:paraId="5CCFFFFC" w14:textId="77777777"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14:paraId="5CCFFFFD"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14:paraId="5CCFFFFE" w14:textId="77777777"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14:paraId="5CCFFFFF" w14:textId="56867C87"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Westgard Rules in Chemistry procedure for current Westgard rules in place for each analyte.  </w:t>
            </w:r>
          </w:p>
          <w:p w14:paraId="5CD00000" w14:textId="77777777"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14:paraId="5CD00001" w14:textId="77777777"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5" w:history="1">
              <w:r w:rsidRPr="00DC7421">
                <w:rPr>
                  <w:rStyle w:val="Hyperlink"/>
                  <w:rFonts w:cs="Arial"/>
                  <w:szCs w:val="20"/>
                </w:rPr>
                <w:t>Unity Real Time QC Review, General User</w:t>
              </w:r>
            </w:hyperlink>
            <w:r w:rsidRPr="00DC7421">
              <w:rPr>
                <w:rFonts w:cs="Arial"/>
                <w:szCs w:val="20"/>
              </w:rPr>
              <w:t xml:space="preserve"> and navigate to the QC Troubleshooting section.</w:t>
            </w:r>
          </w:p>
          <w:p w14:paraId="5CD00002" w14:textId="77777777"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lastRenderedPageBreak/>
              <w:t>Interferences</w:t>
            </w:r>
          </w:p>
        </w:tc>
        <w:tc>
          <w:tcPr>
            <w:tcW w:w="9360" w:type="dxa"/>
            <w:gridSpan w:val="4"/>
            <w:tcBorders>
              <w:top w:val="single" w:sz="18" w:space="0" w:color="BFBFBF"/>
              <w:left w:val="nil"/>
              <w:bottom w:val="single" w:sz="18" w:space="0" w:color="BFBFBF"/>
              <w:right w:val="nil"/>
            </w:tcBorders>
          </w:tcPr>
          <w:p w14:paraId="573E6DB5" w14:textId="77777777" w:rsidR="004A7E4A" w:rsidRPr="00234207" w:rsidRDefault="004A7E4A" w:rsidP="004A7E4A">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4A7E4A" w:rsidRPr="006A26B2" w14:paraId="57F00FA5" w14:textId="77777777" w:rsidTr="00391DB5">
              <w:tc>
                <w:tcPr>
                  <w:tcW w:w="472" w:type="dxa"/>
                </w:tcPr>
                <w:p w14:paraId="11038F4D" w14:textId="77777777" w:rsidR="004A7E4A" w:rsidRPr="006A26B2" w:rsidRDefault="004A7E4A" w:rsidP="004A7E4A">
                  <w:pPr>
                    <w:autoSpaceDE w:val="0"/>
                    <w:autoSpaceDN w:val="0"/>
                    <w:adjustRightInd w:val="0"/>
                    <w:jc w:val="both"/>
                    <w:rPr>
                      <w:rFonts w:cs="Arial"/>
                      <w:b/>
                      <w:szCs w:val="20"/>
                    </w:rPr>
                  </w:pPr>
                  <w:r w:rsidRPr="006A26B2">
                    <w:rPr>
                      <w:rFonts w:cs="Arial"/>
                      <w:b/>
                      <w:szCs w:val="20"/>
                    </w:rPr>
                    <w:t>H</w:t>
                  </w:r>
                </w:p>
              </w:tc>
              <w:tc>
                <w:tcPr>
                  <w:tcW w:w="394" w:type="dxa"/>
                </w:tcPr>
                <w:p w14:paraId="509D2895" w14:textId="77777777" w:rsidR="004A7E4A" w:rsidRPr="006A26B2" w:rsidRDefault="004A7E4A" w:rsidP="004A7E4A">
                  <w:pPr>
                    <w:autoSpaceDE w:val="0"/>
                    <w:autoSpaceDN w:val="0"/>
                    <w:adjustRightInd w:val="0"/>
                    <w:jc w:val="both"/>
                    <w:rPr>
                      <w:rFonts w:cs="Arial"/>
                      <w:b/>
                      <w:szCs w:val="20"/>
                    </w:rPr>
                  </w:pPr>
                  <w:r w:rsidRPr="006A26B2">
                    <w:rPr>
                      <w:rFonts w:cs="Arial"/>
                      <w:b/>
                      <w:szCs w:val="20"/>
                    </w:rPr>
                    <w:t>I</w:t>
                  </w:r>
                </w:p>
              </w:tc>
              <w:tc>
                <w:tcPr>
                  <w:tcW w:w="443" w:type="dxa"/>
                </w:tcPr>
                <w:p w14:paraId="382AAB07" w14:textId="77777777" w:rsidR="004A7E4A" w:rsidRPr="006A26B2" w:rsidRDefault="004A7E4A" w:rsidP="004A7E4A">
                  <w:pPr>
                    <w:autoSpaceDE w:val="0"/>
                    <w:autoSpaceDN w:val="0"/>
                    <w:adjustRightInd w:val="0"/>
                    <w:jc w:val="both"/>
                    <w:rPr>
                      <w:rFonts w:cs="Arial"/>
                      <w:b/>
                      <w:szCs w:val="20"/>
                    </w:rPr>
                  </w:pPr>
                  <w:r w:rsidRPr="006A26B2">
                    <w:rPr>
                      <w:rFonts w:cs="Arial"/>
                      <w:b/>
                      <w:szCs w:val="20"/>
                    </w:rPr>
                    <w:t>L</w:t>
                  </w:r>
                </w:p>
              </w:tc>
            </w:tr>
            <w:tr w:rsidR="004A7E4A" w:rsidRPr="006A26B2" w14:paraId="16C66343" w14:textId="77777777" w:rsidTr="00391DB5">
              <w:tc>
                <w:tcPr>
                  <w:tcW w:w="472" w:type="dxa"/>
                </w:tcPr>
                <w:p w14:paraId="2F95208F" w14:textId="4BE75267" w:rsidR="004A7E4A" w:rsidRPr="006A26B2" w:rsidRDefault="004A7E4A" w:rsidP="004A7E4A">
                  <w:pPr>
                    <w:autoSpaceDE w:val="0"/>
                    <w:autoSpaceDN w:val="0"/>
                    <w:adjustRightInd w:val="0"/>
                    <w:jc w:val="both"/>
                    <w:rPr>
                      <w:rFonts w:cs="Arial"/>
                      <w:b/>
                      <w:szCs w:val="20"/>
                    </w:rPr>
                  </w:pPr>
                  <w:r>
                    <w:rPr>
                      <w:rFonts w:cs="Arial"/>
                      <w:b/>
                      <w:szCs w:val="20"/>
                    </w:rPr>
                    <w:t>X</w:t>
                  </w:r>
                </w:p>
              </w:tc>
              <w:tc>
                <w:tcPr>
                  <w:tcW w:w="394" w:type="dxa"/>
                </w:tcPr>
                <w:p w14:paraId="070ECBD8" w14:textId="01F284FC" w:rsidR="004A7E4A" w:rsidRPr="006A26B2" w:rsidRDefault="004A7E4A" w:rsidP="004A7E4A">
                  <w:pPr>
                    <w:autoSpaceDE w:val="0"/>
                    <w:autoSpaceDN w:val="0"/>
                    <w:adjustRightInd w:val="0"/>
                    <w:jc w:val="both"/>
                    <w:rPr>
                      <w:rFonts w:cs="Arial"/>
                      <w:b/>
                      <w:szCs w:val="20"/>
                    </w:rPr>
                  </w:pPr>
                  <w:r>
                    <w:rPr>
                      <w:rFonts w:cs="Arial"/>
                      <w:b/>
                      <w:szCs w:val="20"/>
                    </w:rPr>
                    <w:t>3</w:t>
                  </w:r>
                </w:p>
              </w:tc>
              <w:tc>
                <w:tcPr>
                  <w:tcW w:w="443" w:type="dxa"/>
                </w:tcPr>
                <w:p w14:paraId="5DAED24B" w14:textId="6E6E5C3A" w:rsidR="004A7E4A" w:rsidRPr="006A26B2" w:rsidRDefault="004A7E4A" w:rsidP="004A7E4A">
                  <w:pPr>
                    <w:autoSpaceDE w:val="0"/>
                    <w:autoSpaceDN w:val="0"/>
                    <w:adjustRightInd w:val="0"/>
                    <w:jc w:val="both"/>
                    <w:rPr>
                      <w:rFonts w:cs="Arial"/>
                      <w:b/>
                      <w:szCs w:val="20"/>
                    </w:rPr>
                  </w:pPr>
                  <w:r>
                    <w:rPr>
                      <w:rFonts w:cs="Arial"/>
                      <w:b/>
                      <w:szCs w:val="20"/>
                    </w:rPr>
                    <w:t>-</w:t>
                  </w:r>
                </w:p>
              </w:tc>
            </w:tr>
          </w:tbl>
          <w:p w14:paraId="53DAB6EA" w14:textId="77777777" w:rsidR="004A7E4A" w:rsidRPr="00DC7421" w:rsidRDefault="004A7E4A" w:rsidP="004A7E4A">
            <w:pPr>
              <w:autoSpaceDE w:val="0"/>
              <w:autoSpaceDN w:val="0"/>
              <w:adjustRightInd w:val="0"/>
              <w:rPr>
                <w:rFonts w:cs="Arial"/>
                <w:b/>
                <w:bCs/>
                <w:color w:val="5F497A"/>
                <w:szCs w:val="20"/>
              </w:rPr>
            </w:pPr>
          </w:p>
          <w:p w14:paraId="08A803FB" w14:textId="77777777" w:rsidR="004A7E4A" w:rsidRDefault="004A7E4A" w:rsidP="004A7E4A">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14:paraId="30AD66E9" w14:textId="77777777" w:rsidR="004A7E4A" w:rsidRDefault="004A7E4A" w:rsidP="004A7E4A">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14:paraId="0751D15D" w14:textId="77777777" w:rsidR="004A7E4A" w:rsidRDefault="004A7E4A" w:rsidP="004A7E4A">
            <w:pPr>
              <w:autoSpaceDE w:val="0"/>
              <w:autoSpaceDN w:val="0"/>
              <w:adjustRightInd w:val="0"/>
              <w:rPr>
                <w:rFonts w:eastAsia="HelenPro-Regular" w:cs="Arial"/>
                <w:szCs w:val="20"/>
              </w:rPr>
            </w:pPr>
            <w:r>
              <w:rPr>
                <w:rFonts w:eastAsia="HelenPro-Regular" w:cs="Arial"/>
                <w:szCs w:val="20"/>
              </w:rPr>
              <w:t>-BIN for “Bilirubin Interference”</w:t>
            </w:r>
          </w:p>
          <w:p w14:paraId="68D992A8" w14:textId="77777777" w:rsidR="004A7E4A" w:rsidRDefault="004A7E4A" w:rsidP="004A7E4A">
            <w:pPr>
              <w:autoSpaceDE w:val="0"/>
              <w:autoSpaceDN w:val="0"/>
              <w:adjustRightInd w:val="0"/>
              <w:rPr>
                <w:rFonts w:eastAsia="HelenPro-Regular" w:cs="Arial"/>
                <w:szCs w:val="20"/>
              </w:rPr>
            </w:pPr>
            <w:r>
              <w:rPr>
                <w:rFonts w:eastAsia="HelenPro-Regular" w:cs="Arial"/>
                <w:szCs w:val="20"/>
              </w:rPr>
              <w:t>-LINT for “Lipid Interference”</w:t>
            </w:r>
          </w:p>
          <w:p w14:paraId="103D16E9" w14:textId="77777777" w:rsidR="004A7E4A" w:rsidRDefault="004A7E4A" w:rsidP="004A7E4A">
            <w:pPr>
              <w:autoSpaceDE w:val="0"/>
              <w:autoSpaceDN w:val="0"/>
              <w:adjustRightInd w:val="0"/>
              <w:rPr>
                <w:rFonts w:eastAsia="HelenPro-Regular" w:cs="Arial"/>
                <w:szCs w:val="20"/>
              </w:rPr>
            </w:pPr>
          </w:p>
          <w:p w14:paraId="12A4B3A7" w14:textId="1F22AF30" w:rsidR="004A7E4A" w:rsidRDefault="004A7E4A" w:rsidP="004A7E4A">
            <w:pPr>
              <w:autoSpaceDE w:val="0"/>
              <w:autoSpaceDN w:val="0"/>
              <w:adjustRightInd w:val="0"/>
              <w:rPr>
                <w:rFonts w:eastAsia="HelenPro-Regular" w:cs="Arial"/>
                <w:szCs w:val="20"/>
              </w:rPr>
            </w:pPr>
            <w:r>
              <w:rPr>
                <w:rFonts w:eastAsia="HelenPro-Regular" w:cs="Arial"/>
                <w:szCs w:val="20"/>
              </w:rPr>
              <w:t>Due to the release of iron from cells during hemolysis, hemolyzed samples should be avoided whenever possible.  If a redraw cannot be obtained,</w:t>
            </w:r>
            <w:r w:rsidR="00E27FCE">
              <w:rPr>
                <w:rFonts w:eastAsia="HelenPro-Regular" w:cs="Arial"/>
                <w:szCs w:val="20"/>
              </w:rPr>
              <w:t xml:space="preserve"> ensure the appropriate comment, listed above, </w:t>
            </w:r>
            <w:r>
              <w:rPr>
                <w:rFonts w:eastAsia="HelenPro-Regular" w:cs="Arial"/>
                <w:szCs w:val="20"/>
              </w:rPr>
              <w:t>is appended to the result.</w:t>
            </w:r>
          </w:p>
          <w:p w14:paraId="1AD5213F" w14:textId="77777777" w:rsidR="004A7E4A" w:rsidRDefault="004A7E4A" w:rsidP="004A7E4A">
            <w:pPr>
              <w:autoSpaceDE w:val="0"/>
              <w:autoSpaceDN w:val="0"/>
              <w:adjustRightInd w:val="0"/>
              <w:rPr>
                <w:rFonts w:eastAsia="HelenPro-Regular" w:cs="Arial"/>
                <w:szCs w:val="20"/>
              </w:rPr>
            </w:pPr>
          </w:p>
          <w:p w14:paraId="7D69313E" w14:textId="6C2E6F3F" w:rsidR="004A7E4A" w:rsidRDefault="004A7E4A" w:rsidP="004A7E4A">
            <w:pPr>
              <w:autoSpaceDE w:val="0"/>
              <w:autoSpaceDN w:val="0"/>
              <w:adjustRightInd w:val="0"/>
              <w:rPr>
                <w:rFonts w:eastAsia="HelenPro-Regular" w:cs="Arial"/>
                <w:szCs w:val="20"/>
              </w:rPr>
            </w:pPr>
            <w:r>
              <w:rPr>
                <w:noProof/>
              </w:rPr>
              <w:drawing>
                <wp:inline distT="0" distB="0" distL="0" distR="0" wp14:anchorId="4C6EB088" wp14:editId="4D7739EE">
                  <wp:extent cx="3142857" cy="170476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42857" cy="1704762"/>
                          </a:xfrm>
                          <a:prstGeom prst="rect">
                            <a:avLst/>
                          </a:prstGeom>
                        </pic:spPr>
                      </pic:pic>
                    </a:graphicData>
                  </a:graphic>
                </wp:inline>
              </w:drawing>
            </w:r>
          </w:p>
          <w:p w14:paraId="626A00A2" w14:textId="71F64835" w:rsidR="00A94DDD" w:rsidRPr="00437425" w:rsidRDefault="00A94DDD" w:rsidP="003E0295">
            <w:pPr>
              <w:autoSpaceDE w:val="0"/>
              <w:autoSpaceDN w:val="0"/>
              <w:adjustRightInd w:val="0"/>
              <w:ind w:left="720"/>
              <w:jc w:val="both"/>
              <w:rPr>
                <w:rFonts w:cs="Arial"/>
                <w:szCs w:val="20"/>
              </w:rPr>
            </w:pPr>
          </w:p>
          <w:p w14:paraId="5CD00011" w14:textId="53F6C617" w:rsidR="000244AC" w:rsidRPr="00DC7421" w:rsidRDefault="000244AC" w:rsidP="00DC7091">
            <w:pPr>
              <w:autoSpaceDE w:val="0"/>
              <w:autoSpaceDN w:val="0"/>
              <w:adjustRightInd w:val="0"/>
              <w:ind w:left="720"/>
              <w:jc w:val="both"/>
              <w:rPr>
                <w:rFonts w:cs="Arial"/>
                <w:szCs w:val="20"/>
              </w:rPr>
            </w:pPr>
          </w:p>
        </w:tc>
      </w:tr>
      <w:tr w:rsidR="00E3253B" w14:paraId="5CD00019" w14:textId="77777777" w:rsidTr="007132A9">
        <w:trPr>
          <w:tblHeader/>
        </w:trPr>
        <w:tc>
          <w:tcPr>
            <w:tcW w:w="1800" w:type="dxa"/>
            <w:tcBorders>
              <w:top w:val="nil"/>
              <w:left w:val="nil"/>
              <w:bottom w:val="nil"/>
              <w:right w:val="nil"/>
            </w:tcBorders>
          </w:tcPr>
          <w:p w14:paraId="5CD00016" w14:textId="7B0561DC" w:rsidR="00E3253B" w:rsidRDefault="00250A09" w:rsidP="0039587D">
            <w:pPr>
              <w:rPr>
                <w:rFonts w:cs="Arial"/>
                <w:b/>
                <w:bCs/>
                <w:color w:val="0000FF"/>
                <w:szCs w:val="20"/>
              </w:rPr>
            </w:pPr>
            <w:r>
              <w:rPr>
                <w:rFonts w:cs="Arial"/>
                <w:b/>
                <w:bCs/>
                <w:color w:val="0000FF"/>
                <w:szCs w:val="20"/>
              </w:rPr>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p w14:paraId="68B97488" w14:textId="77777777" w:rsidR="003C580F" w:rsidRPr="001422AD" w:rsidRDefault="003C580F" w:rsidP="003C580F">
            <w:pPr>
              <w:rPr>
                <w:rFonts w:cs="Arial"/>
                <w:b/>
                <w:szCs w:val="20"/>
              </w:rPr>
            </w:pPr>
            <w:r w:rsidRPr="001422AD">
              <w:rPr>
                <w:rFonts w:cs="Arial"/>
                <w:b/>
                <w:szCs w:val="20"/>
              </w:rPr>
              <w:t xml:space="preserve">Female:                 </w:t>
            </w:r>
          </w:p>
          <w:p w14:paraId="1BCC6383" w14:textId="65536F1D" w:rsidR="003C580F" w:rsidRDefault="003C580F" w:rsidP="003C580F">
            <w:pPr>
              <w:rPr>
                <w:rFonts w:cs="Arial"/>
                <w:szCs w:val="20"/>
              </w:rPr>
            </w:pPr>
            <w:r>
              <w:rPr>
                <w:rFonts w:cs="Arial"/>
                <w:szCs w:val="20"/>
              </w:rPr>
              <w:t xml:space="preserve">0 to &lt; 14 Years </w:t>
            </w:r>
            <w:r w:rsidR="001422AD">
              <w:rPr>
                <w:rFonts w:cs="Arial"/>
                <w:szCs w:val="20"/>
              </w:rPr>
              <w:t xml:space="preserve">    </w:t>
            </w:r>
            <w:r>
              <w:rPr>
                <w:rFonts w:cs="Arial"/>
                <w:szCs w:val="20"/>
              </w:rPr>
              <w:t>16-128</w:t>
            </w:r>
          </w:p>
          <w:p w14:paraId="2FB3AA46" w14:textId="77ACBCEB" w:rsidR="003C580F" w:rsidRDefault="003C580F" w:rsidP="003C580F">
            <w:pPr>
              <w:rPr>
                <w:rFonts w:cs="Arial"/>
                <w:szCs w:val="20"/>
              </w:rPr>
            </w:pPr>
            <w:r w:rsidRPr="003C580F">
              <w:rPr>
                <w:rFonts w:cs="Arial"/>
                <w:szCs w:val="20"/>
              </w:rPr>
              <w:t>14 to &lt; 19 Years</w:t>
            </w:r>
            <w:r w:rsidR="001422AD">
              <w:rPr>
                <w:rFonts w:cs="Arial"/>
                <w:szCs w:val="20"/>
              </w:rPr>
              <w:t xml:space="preserve">:  </w:t>
            </w:r>
            <w:r w:rsidRPr="003C580F">
              <w:rPr>
                <w:rFonts w:cs="Arial"/>
                <w:szCs w:val="20"/>
              </w:rPr>
              <w:t>20-162</w:t>
            </w:r>
          </w:p>
          <w:p w14:paraId="4A7DE763" w14:textId="38D8842C" w:rsidR="003C580F" w:rsidRDefault="003C580F" w:rsidP="003C580F">
            <w:pPr>
              <w:rPr>
                <w:rFonts w:cs="Arial"/>
                <w:szCs w:val="20"/>
              </w:rPr>
            </w:pPr>
            <w:r>
              <w:rPr>
                <w:rFonts w:cs="Arial"/>
                <w:szCs w:val="20"/>
              </w:rPr>
              <w:t>Adult</w:t>
            </w:r>
            <w:r w:rsidRPr="003C580F">
              <w:rPr>
                <w:rFonts w:cs="Arial"/>
                <w:szCs w:val="20"/>
              </w:rPr>
              <w:t xml:space="preserve">: </w:t>
            </w:r>
            <w:r w:rsidR="001422AD">
              <w:rPr>
                <w:rFonts w:cs="Arial"/>
                <w:szCs w:val="20"/>
              </w:rPr>
              <w:t xml:space="preserve">                   </w:t>
            </w:r>
            <w:r w:rsidRPr="003C580F">
              <w:rPr>
                <w:rFonts w:cs="Arial"/>
                <w:szCs w:val="20"/>
              </w:rPr>
              <w:t xml:space="preserve">50 to 170          </w:t>
            </w:r>
          </w:p>
          <w:p w14:paraId="6A81B9BB" w14:textId="77777777" w:rsidR="003C580F" w:rsidRPr="001422AD" w:rsidRDefault="003C580F" w:rsidP="003C580F">
            <w:pPr>
              <w:rPr>
                <w:rFonts w:cs="Arial"/>
                <w:b/>
                <w:szCs w:val="20"/>
              </w:rPr>
            </w:pPr>
            <w:r w:rsidRPr="001422AD">
              <w:rPr>
                <w:rFonts w:cs="Arial"/>
                <w:b/>
                <w:szCs w:val="20"/>
              </w:rPr>
              <w:t>Male:</w:t>
            </w:r>
          </w:p>
          <w:p w14:paraId="01017826" w14:textId="4CDA914A" w:rsidR="003C580F" w:rsidRDefault="003C580F" w:rsidP="003C580F">
            <w:pPr>
              <w:rPr>
                <w:rFonts w:cs="Arial"/>
                <w:szCs w:val="20"/>
              </w:rPr>
            </w:pPr>
            <w:r>
              <w:rPr>
                <w:rFonts w:cs="Arial"/>
                <w:szCs w:val="20"/>
              </w:rPr>
              <w:t xml:space="preserve">0 to &lt; 14 Years: </w:t>
            </w:r>
            <w:r w:rsidR="001422AD">
              <w:rPr>
                <w:rFonts w:cs="Arial"/>
                <w:szCs w:val="20"/>
              </w:rPr>
              <w:t xml:space="preserve">    </w:t>
            </w:r>
            <w:r>
              <w:rPr>
                <w:rFonts w:cs="Arial"/>
                <w:szCs w:val="20"/>
              </w:rPr>
              <w:t>16-128</w:t>
            </w:r>
          </w:p>
          <w:p w14:paraId="56A450B7" w14:textId="780490FB" w:rsidR="003C580F" w:rsidRDefault="003C580F" w:rsidP="003C580F">
            <w:pPr>
              <w:rPr>
                <w:rFonts w:cs="Arial"/>
                <w:szCs w:val="20"/>
              </w:rPr>
            </w:pPr>
            <w:r w:rsidRPr="003C580F">
              <w:rPr>
                <w:rFonts w:cs="Arial"/>
                <w:szCs w:val="20"/>
              </w:rPr>
              <w:t>14 to &lt; 19 Years</w:t>
            </w:r>
            <w:r>
              <w:rPr>
                <w:rFonts w:cs="Arial"/>
                <w:szCs w:val="20"/>
              </w:rPr>
              <w:t xml:space="preserve">: </w:t>
            </w:r>
            <w:r w:rsidR="001422AD">
              <w:rPr>
                <w:rFonts w:cs="Arial"/>
                <w:szCs w:val="20"/>
              </w:rPr>
              <w:t xml:space="preserve">  </w:t>
            </w:r>
            <w:r>
              <w:rPr>
                <w:rFonts w:cs="Arial"/>
                <w:szCs w:val="20"/>
              </w:rPr>
              <w:t>31-168</w:t>
            </w:r>
          </w:p>
          <w:p w14:paraId="10A774C5" w14:textId="77777777" w:rsidR="0039587D" w:rsidRDefault="003C580F" w:rsidP="003C580F">
            <w:pPr>
              <w:rPr>
                <w:rFonts w:cs="Arial"/>
                <w:szCs w:val="20"/>
              </w:rPr>
            </w:pPr>
            <w:r>
              <w:rPr>
                <w:rFonts w:cs="Arial"/>
                <w:szCs w:val="20"/>
              </w:rPr>
              <w:t>Adult</w:t>
            </w:r>
            <w:r w:rsidRPr="003C580F">
              <w:rPr>
                <w:rFonts w:cs="Arial"/>
                <w:szCs w:val="20"/>
              </w:rPr>
              <w:t xml:space="preserve">:    </w:t>
            </w:r>
            <w:r w:rsidR="001422AD">
              <w:rPr>
                <w:rFonts w:cs="Arial"/>
                <w:szCs w:val="20"/>
              </w:rPr>
              <w:t xml:space="preserve">                 </w:t>
            </w:r>
            <w:r w:rsidRPr="003C580F">
              <w:rPr>
                <w:rFonts w:cs="Arial"/>
                <w:szCs w:val="20"/>
              </w:rPr>
              <w:t>65 to 175</w:t>
            </w:r>
          </w:p>
          <w:p w14:paraId="5CD00018" w14:textId="623AE9DD" w:rsidR="00E27FCE" w:rsidRPr="00DC7421" w:rsidRDefault="00E27FCE" w:rsidP="003C580F">
            <w:pPr>
              <w:rPr>
                <w:rFonts w:cs="Arial"/>
                <w:szCs w:val="20"/>
              </w:rPr>
            </w:pPr>
            <w:bookmarkStart w:id="0" w:name="_GoBack"/>
            <w:bookmarkEnd w:id="0"/>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7C5F7D00" w:rsidR="00E3253B" w:rsidRPr="00DC7421" w:rsidRDefault="001422AD" w:rsidP="001C641E">
            <w:pPr>
              <w:pStyle w:val="Header"/>
              <w:tabs>
                <w:tab w:val="clear" w:pos="4320"/>
                <w:tab w:val="clear" w:pos="8640"/>
              </w:tabs>
              <w:rPr>
                <w:rFonts w:cs="Arial"/>
                <w:szCs w:val="20"/>
              </w:rPr>
            </w:pPr>
            <w:r>
              <w:rPr>
                <w:rFonts w:cs="Arial"/>
                <w:szCs w:val="20"/>
              </w:rPr>
              <w:t>None d</w:t>
            </w:r>
            <w:r w:rsidR="003C580F">
              <w:rPr>
                <w:rFonts w:cs="Arial"/>
                <w:szCs w:val="20"/>
              </w:rPr>
              <w:t>efined</w:t>
            </w:r>
            <w:r>
              <w:rPr>
                <w:rFonts w:cs="Arial"/>
                <w:szCs w:val="20"/>
              </w:rPr>
              <w:t>.</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t>Limitations</w:t>
            </w:r>
          </w:p>
        </w:tc>
        <w:tc>
          <w:tcPr>
            <w:tcW w:w="9360" w:type="dxa"/>
            <w:gridSpan w:val="4"/>
            <w:tcBorders>
              <w:top w:val="single" w:sz="18" w:space="0" w:color="BFBFBF"/>
              <w:left w:val="nil"/>
              <w:bottom w:val="single" w:sz="18" w:space="0" w:color="BFBFBF"/>
              <w:right w:val="nil"/>
            </w:tcBorders>
          </w:tcPr>
          <w:p w14:paraId="45C2250E" w14:textId="5849CBDF" w:rsidR="001422AD" w:rsidRDefault="003C580F" w:rsidP="00E47DE5">
            <w:pPr>
              <w:autoSpaceDE w:val="0"/>
              <w:autoSpaceDN w:val="0"/>
              <w:adjustRightInd w:val="0"/>
              <w:rPr>
                <w:rFonts w:cs="Arial"/>
                <w:bCs/>
                <w:szCs w:val="20"/>
              </w:rPr>
            </w:pPr>
            <w:r>
              <w:rPr>
                <w:rFonts w:cs="Arial"/>
                <w:bCs/>
                <w:szCs w:val="20"/>
              </w:rPr>
              <w:t xml:space="preserve">Use of hemolyzed samples should be avoided whenever possible.  Ensure that if </w:t>
            </w:r>
            <w:r w:rsidR="001422AD">
              <w:rPr>
                <w:rFonts w:cs="Arial"/>
                <w:bCs/>
                <w:szCs w:val="20"/>
              </w:rPr>
              <w:t xml:space="preserve">a redraw cannot be obtained </w:t>
            </w:r>
            <w:r>
              <w:rPr>
                <w:rFonts w:cs="Arial"/>
                <w:bCs/>
                <w:szCs w:val="20"/>
              </w:rPr>
              <w:t>the result has the –HP comment appended.</w:t>
            </w:r>
          </w:p>
          <w:p w14:paraId="5CD00021" w14:textId="7160CDDD" w:rsidR="003C580F" w:rsidRPr="00DC7421" w:rsidRDefault="003C580F" w:rsidP="00E47DE5">
            <w:pPr>
              <w:autoSpaceDE w:val="0"/>
              <w:autoSpaceDN w:val="0"/>
              <w:adjustRightInd w:val="0"/>
              <w:rPr>
                <w:rFonts w:cs="Arial"/>
                <w:bCs/>
                <w:szCs w:val="20"/>
              </w:rPr>
            </w:pPr>
          </w:p>
        </w:tc>
      </w:tr>
      <w:tr w:rsidR="00F83DB0" w14:paraId="0A2A1650" w14:textId="77777777" w:rsidTr="003C580F">
        <w:trPr>
          <w:trHeight w:val="2925"/>
          <w:tblHeader/>
        </w:trPr>
        <w:tc>
          <w:tcPr>
            <w:tcW w:w="1800" w:type="dxa"/>
            <w:tcBorders>
              <w:top w:val="nil"/>
              <w:left w:val="nil"/>
              <w:bottom w:val="nil"/>
              <w:right w:val="nil"/>
            </w:tcBorders>
          </w:tcPr>
          <w:p w14:paraId="3CAD869B" w14:textId="42EDA550"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241142D2" w:rsidR="00F83DB0" w:rsidRPr="004A7E4A" w:rsidRDefault="004A7E4A" w:rsidP="00F83DB0">
                  <w:pPr>
                    <w:autoSpaceDE w:val="0"/>
                    <w:autoSpaceDN w:val="0"/>
                    <w:adjustRightInd w:val="0"/>
                    <w:rPr>
                      <w:rFonts w:cs="Arial"/>
                      <w:szCs w:val="20"/>
                    </w:rPr>
                  </w:pPr>
                  <w:r>
                    <w:rPr>
                      <w:rFonts w:cs="Arial"/>
                      <w:szCs w:val="20"/>
                    </w:rPr>
                    <w:t>1</w:t>
                  </w:r>
                  <w:r w:rsidR="003C580F">
                    <w:rPr>
                      <w:rFonts w:cs="Arial"/>
                      <w:szCs w:val="20"/>
                    </w:rPr>
                    <w:t xml:space="preserve"> </w:t>
                  </w:r>
                  <w:r>
                    <w:rPr>
                      <w:rFonts w:cs="Arial"/>
                      <w:szCs w:val="20"/>
                    </w:rPr>
                    <w:t>:</w:t>
                  </w:r>
                  <w:r w:rsidR="003C580F">
                    <w:rPr>
                      <w:rFonts w:cs="Arial"/>
                      <w:szCs w:val="20"/>
                    </w:rPr>
                    <w:t xml:space="preserve"> </w:t>
                  </w:r>
                  <w:r>
                    <w:rPr>
                      <w:rFonts w:cs="Arial"/>
                      <w:szCs w:val="20"/>
                    </w:rPr>
                    <w:t>6.55</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56D01703" w:rsidR="00F83DB0" w:rsidRPr="004A7E4A" w:rsidRDefault="003C580F" w:rsidP="00F83DB0">
                  <w:pPr>
                    <w:autoSpaceDE w:val="0"/>
                    <w:autoSpaceDN w:val="0"/>
                    <w:adjustRightInd w:val="0"/>
                    <w:rPr>
                      <w:rFonts w:cs="Arial"/>
                      <w:szCs w:val="20"/>
                    </w:rPr>
                  </w:pPr>
                  <w:r>
                    <w:rPr>
                      <w:rFonts w:cs="Arial"/>
                      <w:szCs w:val="20"/>
                    </w:rPr>
                    <w:t>None</w:t>
                  </w:r>
                </w:p>
              </w:tc>
            </w:tr>
            <w:tr w:rsidR="00F83DB0" w:rsidRPr="00EC40A2" w14:paraId="130A8B4A" w14:textId="77777777" w:rsidTr="005C0FCC">
              <w:tc>
                <w:tcPr>
                  <w:tcW w:w="1867" w:type="dxa"/>
                </w:tcPr>
                <w:p w14:paraId="3BF17F7E" w14:textId="5B766976" w:rsidR="00F83DB0" w:rsidRPr="00EC40A2" w:rsidRDefault="00F83DB0" w:rsidP="00F83DB0">
                  <w:pPr>
                    <w:rPr>
                      <w:rFonts w:cs="Arial"/>
                      <w:szCs w:val="20"/>
                    </w:rPr>
                  </w:pPr>
                </w:p>
              </w:tc>
              <w:tc>
                <w:tcPr>
                  <w:tcW w:w="7200" w:type="dxa"/>
                </w:tcPr>
                <w:p w14:paraId="3AB4E9ED" w14:textId="77777777" w:rsidR="00F83DB0" w:rsidRPr="004A7E4A" w:rsidRDefault="00F83DB0" w:rsidP="00F83DB0">
                  <w:pPr>
                    <w:autoSpaceDE w:val="0"/>
                    <w:autoSpaceDN w:val="0"/>
                    <w:adjustRightInd w:val="0"/>
                    <w:rPr>
                      <w:rFonts w:eastAsia="HelenPro-Regular" w:cs="Arial"/>
                      <w:szCs w:val="20"/>
                    </w:rPr>
                  </w:pPr>
                  <w:r w:rsidRPr="004A7E4A">
                    <w:rPr>
                      <w:rFonts w:cs="Arial"/>
                      <w:szCs w:val="20"/>
                    </w:rPr>
                    <w:t xml:space="preserve">Follow Abbott </w:t>
                  </w:r>
                  <w:hyperlink r:id="rId17" w:history="1">
                    <w:r w:rsidRPr="004A7E4A">
                      <w:rPr>
                        <w:rStyle w:val="Hyperlink"/>
                        <w:rFonts w:cs="Arial"/>
                        <w:szCs w:val="20"/>
                      </w:rPr>
                      <w:t>Alinity Operator’s Manual</w:t>
                    </w:r>
                  </w:hyperlink>
                  <w:r w:rsidRPr="004A7E4A">
                    <w:rPr>
                      <w:rFonts w:cs="Arial"/>
                      <w:szCs w:val="20"/>
                    </w:rPr>
                    <w:t xml:space="preserve"> instructions for programming automated dilutions.  </w:t>
                  </w:r>
                  <w:r w:rsidRPr="004A7E4A">
                    <w:rPr>
                      <w:rFonts w:eastAsia="HelenPro-Regular" w:cs="Arial"/>
                      <w:szCs w:val="20"/>
                    </w:rPr>
                    <w:t xml:space="preserve">The system will automatically calculate the concentration of the sample and report the result.  </w:t>
                  </w:r>
                </w:p>
                <w:p w14:paraId="497F0B2E" w14:textId="77777777" w:rsidR="00F83DB0" w:rsidRPr="004A7E4A" w:rsidRDefault="00F83DB0" w:rsidP="00F83DB0">
                  <w:pPr>
                    <w:autoSpaceDE w:val="0"/>
                    <w:autoSpaceDN w:val="0"/>
                    <w:adjustRightInd w:val="0"/>
                    <w:rPr>
                      <w:rFonts w:eastAsia="HelenPro-Regular" w:cs="Arial"/>
                      <w:szCs w:val="20"/>
                    </w:rPr>
                  </w:pPr>
                </w:p>
                <w:p w14:paraId="29DCB4A3" w14:textId="4DC08006" w:rsidR="00F83DB0" w:rsidRPr="004A7E4A" w:rsidRDefault="00F83DB0" w:rsidP="00F83DB0">
                  <w:pPr>
                    <w:autoSpaceDE w:val="0"/>
                    <w:autoSpaceDN w:val="0"/>
                    <w:adjustRightInd w:val="0"/>
                    <w:rPr>
                      <w:rFonts w:eastAsia="HelenPro-Regular" w:cs="Arial"/>
                      <w:szCs w:val="20"/>
                    </w:rPr>
                  </w:pPr>
                  <w:r w:rsidRPr="004A7E4A">
                    <w:rPr>
                      <w:rFonts w:eastAsia="HelenPro-Regular" w:cs="Arial"/>
                      <w:szCs w:val="20"/>
                    </w:rPr>
                    <w:t xml:space="preserve">If a diluted sample result is less than the lower value of the measuring interval of </w:t>
                  </w:r>
                  <w:r w:rsidR="003C580F">
                    <w:rPr>
                      <w:rFonts w:eastAsia="HelenPro-Regular" w:cs="Arial"/>
                      <w:szCs w:val="20"/>
                    </w:rPr>
                    <w:t>10 µg/dL</w:t>
                  </w:r>
                  <w:r w:rsidRPr="004A7E4A">
                    <w:rPr>
                      <w:rFonts w:eastAsia="HelenPro-Regular" w:cs="Arial"/>
                      <w:szCs w:val="20"/>
                    </w:rPr>
                    <w:t>, do not report the result. Rerun and/or investigate for other possible causes of error.</w:t>
                  </w:r>
                </w:p>
              </w:tc>
            </w:tr>
          </w:tbl>
          <w:p w14:paraId="0BA69FB5" w14:textId="77777777" w:rsidR="00F83DB0" w:rsidRDefault="00F83DB0" w:rsidP="00E47DE5">
            <w:pPr>
              <w:autoSpaceDE w:val="0"/>
              <w:autoSpaceDN w:val="0"/>
              <w:adjustRightInd w:val="0"/>
              <w:rPr>
                <w:rFonts w:cs="Arial"/>
                <w:bCs/>
                <w:szCs w:val="20"/>
              </w:rPr>
            </w:pPr>
          </w:p>
          <w:p w14:paraId="0F826C27"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E47DE5">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7EEC7ABE" w14:textId="7441EE83" w:rsidR="00F84C8E" w:rsidRPr="00DC7421" w:rsidRDefault="00F84C8E" w:rsidP="00F84C8E">
            <w:pPr>
              <w:pStyle w:val="Header"/>
              <w:numPr>
                <w:ilvl w:val="0"/>
                <w:numId w:val="40"/>
              </w:numPr>
              <w:tabs>
                <w:tab w:val="clear" w:pos="4320"/>
                <w:tab w:val="clear" w:pos="8640"/>
              </w:tabs>
              <w:rPr>
                <w:rFonts w:cs="Arial"/>
                <w:szCs w:val="20"/>
              </w:rPr>
            </w:pPr>
            <w:r>
              <w:rPr>
                <w:rFonts w:cs="Arial"/>
                <w:szCs w:val="20"/>
              </w:rPr>
              <w:t xml:space="preserve">Results between </w:t>
            </w:r>
            <w:r w:rsidR="003C580F">
              <w:rPr>
                <w:rFonts w:cs="Arial"/>
                <w:szCs w:val="20"/>
              </w:rPr>
              <w:t>10</w:t>
            </w:r>
            <w:r w:rsidR="00E47DE5">
              <w:rPr>
                <w:rFonts w:cs="Arial"/>
                <w:szCs w:val="20"/>
              </w:rPr>
              <w:t xml:space="preserve"> </w:t>
            </w:r>
            <w:r>
              <w:rPr>
                <w:rFonts w:cs="Arial"/>
                <w:szCs w:val="20"/>
              </w:rPr>
              <w:t xml:space="preserve">and </w:t>
            </w:r>
            <w:r w:rsidR="003C580F">
              <w:rPr>
                <w:rFonts w:cs="Arial"/>
                <w:szCs w:val="20"/>
              </w:rPr>
              <w:t>1000</w:t>
            </w:r>
            <w:r w:rsidR="00E47DE5" w:rsidRPr="00DC7421">
              <w:rPr>
                <w:rFonts w:cs="Arial"/>
                <w:szCs w:val="20"/>
              </w:rPr>
              <w:t xml:space="preserve"> </w:t>
            </w:r>
            <w:r w:rsidRPr="00DC7421">
              <w:rPr>
                <w:rFonts w:cs="Arial"/>
                <w:szCs w:val="20"/>
              </w:rPr>
              <w:t>without error messages are released</w:t>
            </w:r>
          </w:p>
          <w:p w14:paraId="512DB6C5" w14:textId="3CAB8BDE" w:rsidR="00F84C8E" w:rsidRPr="00DC7421" w:rsidRDefault="00F84C8E" w:rsidP="00F84C8E">
            <w:pPr>
              <w:numPr>
                <w:ilvl w:val="0"/>
                <w:numId w:val="40"/>
              </w:numPr>
              <w:rPr>
                <w:rFonts w:cs="Arial"/>
                <w:szCs w:val="20"/>
              </w:rPr>
            </w:pPr>
            <w:r>
              <w:rPr>
                <w:rFonts w:cs="Arial"/>
                <w:szCs w:val="20"/>
              </w:rPr>
              <w:t xml:space="preserve">Results below </w:t>
            </w:r>
            <w:r w:rsidR="003C580F">
              <w:rPr>
                <w:rFonts w:cs="Arial"/>
                <w:szCs w:val="20"/>
              </w:rPr>
              <w:t>10</w:t>
            </w:r>
            <w:r w:rsidR="00E47DE5">
              <w:rPr>
                <w:rFonts w:cs="Arial"/>
                <w:szCs w:val="20"/>
              </w:rPr>
              <w:t xml:space="preserve"> </w:t>
            </w:r>
            <w:r>
              <w:rPr>
                <w:rFonts w:cs="Arial"/>
                <w:szCs w:val="20"/>
              </w:rPr>
              <w:t xml:space="preserve">without error messages are reported as &lt; </w:t>
            </w:r>
            <w:r w:rsidR="003C580F">
              <w:rPr>
                <w:rFonts w:cs="Arial"/>
                <w:szCs w:val="20"/>
              </w:rPr>
              <w:t>1000</w:t>
            </w:r>
            <w:r>
              <w:rPr>
                <w:rFonts w:cs="Arial"/>
                <w:szCs w:val="20"/>
              </w:rPr>
              <w:t>.</w:t>
            </w:r>
          </w:p>
          <w:p w14:paraId="61C98532" w14:textId="0D7AB3BF" w:rsidR="00F84C8E" w:rsidRDefault="00F84C8E" w:rsidP="00F84C8E">
            <w:pPr>
              <w:numPr>
                <w:ilvl w:val="0"/>
                <w:numId w:val="40"/>
              </w:numPr>
              <w:rPr>
                <w:rFonts w:cs="Arial"/>
                <w:szCs w:val="20"/>
              </w:rPr>
            </w:pPr>
            <w:r>
              <w:rPr>
                <w:rFonts w:cs="Arial"/>
                <w:szCs w:val="20"/>
              </w:rPr>
              <w:t>Results &gt;</w:t>
            </w:r>
            <w:r w:rsidR="003C580F">
              <w:rPr>
                <w:rFonts w:cs="Arial"/>
                <w:szCs w:val="20"/>
              </w:rPr>
              <w:t xml:space="preserve"> 1000</w:t>
            </w:r>
            <w:r w:rsidR="00E47DE5">
              <w:rPr>
                <w:rFonts w:cs="Arial"/>
                <w:szCs w:val="20"/>
              </w:rPr>
              <w:t xml:space="preserve"> </w:t>
            </w:r>
            <w:r>
              <w:rPr>
                <w:rFonts w:cs="Arial"/>
                <w:szCs w:val="20"/>
              </w:rPr>
              <w:t xml:space="preserve">should be diluted using the onboard automated </w:t>
            </w:r>
            <w:r w:rsidR="003C580F">
              <w:rPr>
                <w:rFonts w:cs="Arial"/>
                <w:szCs w:val="20"/>
              </w:rPr>
              <w:t>1:6.55 dilution</w:t>
            </w:r>
            <w:r>
              <w:rPr>
                <w:rFonts w:cs="Arial"/>
                <w:szCs w:val="20"/>
              </w:rPr>
              <w:t>.  Release results without error messages following this dilution.</w:t>
            </w:r>
          </w:p>
          <w:p w14:paraId="6FC5CACD" w14:textId="77777777" w:rsidR="00F83DB0" w:rsidRDefault="00F84C8E" w:rsidP="003C580F">
            <w:pPr>
              <w:numPr>
                <w:ilvl w:val="0"/>
                <w:numId w:val="40"/>
              </w:numPr>
              <w:rPr>
                <w:rFonts w:cs="Arial"/>
                <w:szCs w:val="20"/>
              </w:rPr>
            </w:pPr>
            <w:r w:rsidRPr="003C580F">
              <w:rPr>
                <w:rFonts w:cs="Arial"/>
                <w:szCs w:val="20"/>
              </w:rPr>
              <w:t xml:space="preserve">Results &gt; </w:t>
            </w:r>
            <w:r w:rsidR="003C580F" w:rsidRPr="003C580F">
              <w:rPr>
                <w:rFonts w:cs="Arial"/>
                <w:szCs w:val="20"/>
              </w:rPr>
              <w:t>6550</w:t>
            </w:r>
            <w:r w:rsidR="00E47DE5" w:rsidRPr="003C580F">
              <w:rPr>
                <w:rFonts w:cs="Arial"/>
                <w:szCs w:val="20"/>
              </w:rPr>
              <w:t xml:space="preserve"> </w:t>
            </w:r>
            <w:r w:rsidRPr="003C580F">
              <w:rPr>
                <w:rFonts w:cs="Arial"/>
                <w:szCs w:val="20"/>
              </w:rPr>
              <w:t xml:space="preserve">following automated dilution are reported as &gt; </w:t>
            </w:r>
            <w:r w:rsidR="003C580F" w:rsidRPr="003C580F">
              <w:rPr>
                <w:rFonts w:cs="Arial"/>
                <w:szCs w:val="20"/>
              </w:rPr>
              <w:t>6550</w:t>
            </w:r>
          </w:p>
          <w:p w14:paraId="5CD0003C" w14:textId="20E44207" w:rsidR="003C580F" w:rsidRPr="00DC7421" w:rsidRDefault="003C580F" w:rsidP="003C580F">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242F4812"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5CD0003F" w14:textId="77777777"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4"/>
            <w:tcBorders>
              <w:top w:val="single" w:sz="18" w:space="0" w:color="BFBFBF"/>
              <w:left w:val="nil"/>
              <w:bottom w:val="single" w:sz="4" w:space="0" w:color="auto"/>
              <w:right w:val="nil"/>
            </w:tcBorders>
          </w:tcPr>
          <w:p w14:paraId="470A6CF5" w14:textId="181AFCAD" w:rsidR="001422AD" w:rsidRPr="001422AD" w:rsidRDefault="001422AD" w:rsidP="001422AD">
            <w:pPr>
              <w:numPr>
                <w:ilvl w:val="0"/>
                <w:numId w:val="33"/>
              </w:numPr>
              <w:rPr>
                <w:rFonts w:cs="Arial"/>
                <w:szCs w:val="20"/>
              </w:rPr>
            </w:pPr>
            <w:r>
              <w:rPr>
                <w:rFonts w:cs="Arial"/>
                <w:szCs w:val="20"/>
              </w:rPr>
              <w:t>Abbott Alinity c Iron</w:t>
            </w:r>
            <w:r w:rsidRPr="001422AD">
              <w:rPr>
                <w:rFonts w:cs="Arial"/>
                <w:szCs w:val="20"/>
              </w:rPr>
              <w:t xml:space="preserve"> Reagent Kit Instructions for Use, Abbott Diagnostics Division, Abb</w:t>
            </w:r>
            <w:r>
              <w:rPr>
                <w:rFonts w:cs="Arial"/>
                <w:szCs w:val="20"/>
              </w:rPr>
              <w:t>ott Park, IL USA.  Revised February</w:t>
            </w:r>
            <w:r w:rsidRPr="001422AD">
              <w:rPr>
                <w:rFonts w:cs="Arial"/>
                <w:szCs w:val="20"/>
              </w:rPr>
              <w:t xml:space="preserve"> 2018.</w:t>
            </w:r>
          </w:p>
          <w:p w14:paraId="7602C6B2" w14:textId="55806A8E" w:rsidR="001422AD" w:rsidRPr="001422AD" w:rsidRDefault="001422AD" w:rsidP="001422AD">
            <w:pPr>
              <w:numPr>
                <w:ilvl w:val="0"/>
                <w:numId w:val="33"/>
              </w:numPr>
              <w:rPr>
                <w:rFonts w:cs="Arial"/>
                <w:szCs w:val="20"/>
              </w:rPr>
            </w:pPr>
            <w:r>
              <w:rPr>
                <w:rFonts w:cs="Arial"/>
                <w:szCs w:val="20"/>
              </w:rPr>
              <w:t>Abbott Alinity c Iron</w:t>
            </w:r>
            <w:r w:rsidRPr="001422AD">
              <w:rPr>
                <w:rFonts w:cs="Arial"/>
                <w:szCs w:val="20"/>
              </w:rPr>
              <w:t xml:space="preserve"> Calibrator Package Insert, Abbott Diagnostics Division, Abbott</w:t>
            </w:r>
            <w:r>
              <w:rPr>
                <w:rFonts w:cs="Arial"/>
                <w:szCs w:val="20"/>
              </w:rPr>
              <w:t xml:space="preserve"> Park, IL USA.  Revised March</w:t>
            </w:r>
            <w:r w:rsidRPr="001422AD">
              <w:rPr>
                <w:rFonts w:cs="Arial"/>
                <w:szCs w:val="20"/>
              </w:rPr>
              <w:t xml:space="preserve"> 2018.</w:t>
            </w:r>
          </w:p>
          <w:p w14:paraId="638D96BE" w14:textId="0F13AC0A" w:rsidR="001422AD" w:rsidRPr="001422AD" w:rsidRDefault="001422AD" w:rsidP="001422AD">
            <w:pPr>
              <w:numPr>
                <w:ilvl w:val="0"/>
                <w:numId w:val="33"/>
              </w:numPr>
              <w:rPr>
                <w:rFonts w:cs="Arial"/>
                <w:szCs w:val="20"/>
              </w:rPr>
            </w:pPr>
            <w:r>
              <w:rPr>
                <w:rFonts w:cs="Arial"/>
                <w:szCs w:val="20"/>
              </w:rPr>
              <w:t>Bio-Rad Liquichek Multiqual 1</w:t>
            </w:r>
            <w:proofErr w:type="gramStart"/>
            <w:r>
              <w:rPr>
                <w:rFonts w:cs="Arial"/>
                <w:szCs w:val="20"/>
              </w:rPr>
              <w:t>,2,3</w:t>
            </w:r>
            <w:proofErr w:type="gramEnd"/>
            <w:r>
              <w:rPr>
                <w:rFonts w:cs="Arial"/>
                <w:szCs w:val="20"/>
              </w:rPr>
              <w:t>, Unassayed</w:t>
            </w:r>
            <w:r w:rsidRPr="001422AD">
              <w:rPr>
                <w:rFonts w:cs="Arial"/>
                <w:szCs w:val="20"/>
              </w:rPr>
              <w:t xml:space="preserve"> Control Package Insert, Bio-Rad Laboratories, Irvine CA, USA.</w:t>
            </w:r>
          </w:p>
          <w:p w14:paraId="5CD00046" w14:textId="61CD5F46" w:rsidR="00E3253B" w:rsidRPr="00DC7421" w:rsidRDefault="00E27FCE" w:rsidP="001422AD">
            <w:pPr>
              <w:numPr>
                <w:ilvl w:val="0"/>
                <w:numId w:val="33"/>
              </w:numPr>
              <w:rPr>
                <w:rFonts w:cs="Arial"/>
                <w:szCs w:val="20"/>
              </w:rPr>
            </w:pPr>
            <w:hyperlink r:id="rId18" w:anchor="/" w:history="1">
              <w:r w:rsidR="001422AD" w:rsidRPr="001422AD">
                <w:rPr>
                  <w:rStyle w:val="Hyperlink"/>
                  <w:rFonts w:cs="Arial"/>
                  <w:szCs w:val="20"/>
                </w:rPr>
                <w:t xml:space="preserve">CALIPER Reference Range Studies. </w:t>
              </w:r>
            </w:hyperlink>
            <w:r w:rsidR="001422AD" w:rsidRPr="001422AD">
              <w:rPr>
                <w:rFonts w:cs="Arial"/>
                <w:szCs w:val="20"/>
              </w:rPr>
              <w:t xml:space="preserve"> Accessed October 27, 2020.</w:t>
            </w: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221F2186"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2DB78246" w:rsidR="00F50200" w:rsidRPr="00DC7421" w:rsidRDefault="008A516A">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14488907" w:rsidR="00F50200" w:rsidRPr="00DC7421" w:rsidRDefault="008A516A">
            <w:pPr>
              <w:rPr>
                <w:rFonts w:cs="Arial"/>
                <w:iCs/>
                <w:szCs w:val="20"/>
              </w:rPr>
            </w:pPr>
            <w:r>
              <w:rPr>
                <w:rFonts w:cs="Arial"/>
                <w:iCs/>
                <w:szCs w:val="20"/>
              </w:rPr>
              <w:t>April 21,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3C9851BE" w:rsidR="00F50200" w:rsidRPr="00F84C8E" w:rsidRDefault="001422AD">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3A84AF27" w:rsidR="00F50200" w:rsidRPr="00F84C8E" w:rsidRDefault="001422AD">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2BEB41D7" w:rsidR="00F50200" w:rsidRPr="00F84C8E" w:rsidRDefault="001422AD">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7BC85132" w:rsidR="00F50200" w:rsidRPr="00F84C8E" w:rsidRDefault="001422AD">
            <w:pPr>
              <w:rPr>
                <w:rFonts w:cs="Arial"/>
                <w:iCs/>
                <w:szCs w:val="20"/>
              </w:rPr>
            </w:pPr>
            <w:r>
              <w:rPr>
                <w:rFonts w:cs="Arial"/>
                <w:iCs/>
                <w:szCs w:val="20"/>
              </w:rPr>
              <w:t>Added correct Alinity in Mpls, AMR, cal ver materials, reference range, dilutions, product numbers, and references for new instrument.</w:t>
            </w:r>
          </w:p>
        </w:tc>
      </w:tr>
    </w:tbl>
    <w:p w14:paraId="5CD0005A" w14:textId="77777777" w:rsidR="00E3253B" w:rsidRPr="00BC1DCC" w:rsidRDefault="00E3253B" w:rsidP="007132A9">
      <w:pPr>
        <w:rPr>
          <w:rFonts w:cs="Arial"/>
        </w:rPr>
      </w:pPr>
    </w:p>
    <w:sectPr w:rsidR="00E3253B" w:rsidRPr="00BC1DCC" w:rsidSect="008F2C66">
      <w:headerReference w:type="default" r:id="rId19"/>
      <w:footerReference w:type="default" r:id="rId20"/>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panose1 w:val="00000000000000000000"/>
    <w:charset w:val="00"/>
    <w:family w:val="swiss"/>
    <w:notTrueType/>
    <w:pitch w:val="default"/>
    <w:sig w:usb0="00000003"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5D0E1842" w:rsidR="00B13C1A" w:rsidRPr="002E718D" w:rsidRDefault="00B13C1A" w:rsidP="002E718D">
    <w:pPr>
      <w:ind w:left="-1260" w:right="-1260"/>
      <w:rPr>
        <w:rFonts w:cs="Arial"/>
        <w:sz w:val="16"/>
      </w:rPr>
    </w:pPr>
    <w:r>
      <w:rPr>
        <w:rFonts w:cs="Arial"/>
        <w:sz w:val="16"/>
      </w:rPr>
      <w:t>Laboratory, Children’s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E27FCE">
      <w:rPr>
        <w:noProof/>
        <w:sz w:val="18"/>
      </w:rPr>
      <w:t>6</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E27FCE">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637A2CDF"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F52BBA">
      <w:rPr>
        <w:rFonts w:cs="Arial"/>
      </w:rPr>
      <w:t xml:space="preserve">CH </w:t>
    </w:r>
    <w:r w:rsidR="003B2275">
      <w:rPr>
        <w:rFonts w:cs="Arial"/>
      </w:rPr>
      <w:t>6.491 Iron</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1" w14:textId="7ED9612C" w:rsidR="00B13C1A" w:rsidRDefault="00B13C1A">
    <w:pPr>
      <w:ind w:left="-1260" w:right="-1260"/>
      <w:rPr>
        <w:rFonts w:cs="Arial"/>
      </w:rPr>
    </w:pPr>
    <w:r>
      <w:rPr>
        <w:rFonts w:cs="Arial"/>
      </w:rPr>
      <w:t xml:space="preserve">Effective Date: </w:t>
    </w:r>
    <w:r w:rsidR="003B2275">
      <w:rPr>
        <w:rFonts w:cs="Arial"/>
      </w:rPr>
      <w:t>October 28, 2020</w:t>
    </w:r>
  </w:p>
  <w:p w14:paraId="5CD00062" w14:textId="77777777" w:rsidR="001C641E" w:rsidRDefault="001C641E">
    <w:pPr>
      <w:ind w:left="-1260" w:right="-1260"/>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B51C8F"/>
    <w:multiLevelType w:val="hybridMultilevel"/>
    <w:tmpl w:val="224622CC"/>
    <w:lvl w:ilvl="0" w:tplc="63D6A7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4298F"/>
    <w:multiLevelType w:val="hybridMultilevel"/>
    <w:tmpl w:val="139C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140E2"/>
    <w:multiLevelType w:val="hybridMultilevel"/>
    <w:tmpl w:val="2E387BBA"/>
    <w:lvl w:ilvl="0" w:tplc="C706B4F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4"/>
  </w:num>
  <w:num w:numId="3">
    <w:abstractNumId w:val="32"/>
  </w:num>
  <w:num w:numId="4">
    <w:abstractNumId w:val="36"/>
  </w:num>
  <w:num w:numId="5">
    <w:abstractNumId w:val="5"/>
  </w:num>
  <w:num w:numId="6">
    <w:abstractNumId w:val="10"/>
  </w:num>
  <w:num w:numId="7">
    <w:abstractNumId w:val="27"/>
  </w:num>
  <w:num w:numId="8">
    <w:abstractNumId w:val="21"/>
  </w:num>
  <w:num w:numId="9">
    <w:abstractNumId w:val="13"/>
  </w:num>
  <w:num w:numId="10">
    <w:abstractNumId w:val="2"/>
  </w:num>
  <w:num w:numId="11">
    <w:abstractNumId w:val="29"/>
  </w:num>
  <w:num w:numId="12">
    <w:abstractNumId w:val="8"/>
  </w:num>
  <w:num w:numId="13">
    <w:abstractNumId w:val="30"/>
  </w:num>
  <w:num w:numId="14">
    <w:abstractNumId w:val="39"/>
  </w:num>
  <w:num w:numId="15">
    <w:abstractNumId w:val="19"/>
  </w:num>
  <w:num w:numId="16">
    <w:abstractNumId w:val="1"/>
  </w:num>
  <w:num w:numId="17">
    <w:abstractNumId w:val="42"/>
  </w:num>
  <w:num w:numId="18">
    <w:abstractNumId w:val="11"/>
  </w:num>
  <w:num w:numId="19">
    <w:abstractNumId w:val="18"/>
  </w:num>
  <w:num w:numId="20">
    <w:abstractNumId w:val="26"/>
  </w:num>
  <w:num w:numId="21">
    <w:abstractNumId w:val="34"/>
  </w:num>
  <w:num w:numId="22">
    <w:abstractNumId w:val="40"/>
  </w:num>
  <w:num w:numId="23">
    <w:abstractNumId w:val="24"/>
  </w:num>
  <w:num w:numId="24">
    <w:abstractNumId w:val="6"/>
  </w:num>
  <w:num w:numId="25">
    <w:abstractNumId w:val="17"/>
  </w:num>
  <w:num w:numId="26">
    <w:abstractNumId w:val="12"/>
  </w:num>
  <w:num w:numId="27">
    <w:abstractNumId w:val="7"/>
  </w:num>
  <w:num w:numId="28">
    <w:abstractNumId w:val="22"/>
  </w:num>
  <w:num w:numId="29">
    <w:abstractNumId w:val="33"/>
  </w:num>
  <w:num w:numId="30">
    <w:abstractNumId w:val="31"/>
  </w:num>
  <w:num w:numId="31">
    <w:abstractNumId w:val="20"/>
  </w:num>
  <w:num w:numId="32">
    <w:abstractNumId w:val="16"/>
  </w:num>
  <w:num w:numId="33">
    <w:abstractNumId w:val="4"/>
  </w:num>
  <w:num w:numId="34">
    <w:abstractNumId w:val="37"/>
  </w:num>
  <w:num w:numId="35">
    <w:abstractNumId w:val="35"/>
  </w:num>
  <w:num w:numId="36">
    <w:abstractNumId w:val="15"/>
  </w:num>
  <w:num w:numId="37">
    <w:abstractNumId w:val="41"/>
  </w:num>
  <w:num w:numId="38">
    <w:abstractNumId w:val="0"/>
  </w:num>
  <w:num w:numId="39">
    <w:abstractNumId w:val="9"/>
  </w:num>
  <w:num w:numId="40">
    <w:abstractNumId w:val="25"/>
  </w:num>
  <w:num w:numId="41">
    <w:abstractNumId w:val="23"/>
  </w:num>
  <w:num w:numId="42">
    <w:abstractNumId w:val="3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44AC"/>
    <w:rsid w:val="00025B50"/>
    <w:rsid w:val="0002771B"/>
    <w:rsid w:val="00064AD2"/>
    <w:rsid w:val="000A3E5A"/>
    <w:rsid w:val="000D6E1A"/>
    <w:rsid w:val="000E63E3"/>
    <w:rsid w:val="001102B2"/>
    <w:rsid w:val="00114E66"/>
    <w:rsid w:val="00115DD6"/>
    <w:rsid w:val="001241E4"/>
    <w:rsid w:val="001422AD"/>
    <w:rsid w:val="0017089C"/>
    <w:rsid w:val="001A1584"/>
    <w:rsid w:val="001B58ED"/>
    <w:rsid w:val="001C089E"/>
    <w:rsid w:val="001C1CFA"/>
    <w:rsid w:val="001C641E"/>
    <w:rsid w:val="001D1786"/>
    <w:rsid w:val="001D284B"/>
    <w:rsid w:val="001F5D12"/>
    <w:rsid w:val="00233AA0"/>
    <w:rsid w:val="00234774"/>
    <w:rsid w:val="002462C0"/>
    <w:rsid w:val="00250A09"/>
    <w:rsid w:val="00252F1D"/>
    <w:rsid w:val="002A3FA3"/>
    <w:rsid w:val="002C12BF"/>
    <w:rsid w:val="002C29CB"/>
    <w:rsid w:val="002C3006"/>
    <w:rsid w:val="002E718D"/>
    <w:rsid w:val="002F5C68"/>
    <w:rsid w:val="002F5F18"/>
    <w:rsid w:val="0030640D"/>
    <w:rsid w:val="003100D1"/>
    <w:rsid w:val="003145F4"/>
    <w:rsid w:val="00324693"/>
    <w:rsid w:val="003278F7"/>
    <w:rsid w:val="00370B0F"/>
    <w:rsid w:val="00387FF5"/>
    <w:rsid w:val="0039587D"/>
    <w:rsid w:val="003A65AD"/>
    <w:rsid w:val="003B2275"/>
    <w:rsid w:val="003C2130"/>
    <w:rsid w:val="003C580F"/>
    <w:rsid w:val="003D5BD7"/>
    <w:rsid w:val="003D713F"/>
    <w:rsid w:val="003E0295"/>
    <w:rsid w:val="003E0A08"/>
    <w:rsid w:val="003E168B"/>
    <w:rsid w:val="00416B6C"/>
    <w:rsid w:val="00420763"/>
    <w:rsid w:val="0042435C"/>
    <w:rsid w:val="00436878"/>
    <w:rsid w:val="00437425"/>
    <w:rsid w:val="00440E37"/>
    <w:rsid w:val="004735E9"/>
    <w:rsid w:val="00486653"/>
    <w:rsid w:val="004A698D"/>
    <w:rsid w:val="004A759D"/>
    <w:rsid w:val="004A7E4A"/>
    <w:rsid w:val="004B5D63"/>
    <w:rsid w:val="004B6551"/>
    <w:rsid w:val="004C14CE"/>
    <w:rsid w:val="004C6A64"/>
    <w:rsid w:val="00504F3B"/>
    <w:rsid w:val="005125A4"/>
    <w:rsid w:val="005665A7"/>
    <w:rsid w:val="00575F3F"/>
    <w:rsid w:val="005A7373"/>
    <w:rsid w:val="005B66A7"/>
    <w:rsid w:val="005C6F36"/>
    <w:rsid w:val="006200C0"/>
    <w:rsid w:val="00646E63"/>
    <w:rsid w:val="00655B61"/>
    <w:rsid w:val="00685D61"/>
    <w:rsid w:val="00693888"/>
    <w:rsid w:val="006A26B2"/>
    <w:rsid w:val="006A2770"/>
    <w:rsid w:val="006A41B1"/>
    <w:rsid w:val="006A5A84"/>
    <w:rsid w:val="006B78CE"/>
    <w:rsid w:val="006C5661"/>
    <w:rsid w:val="006C7814"/>
    <w:rsid w:val="007132A9"/>
    <w:rsid w:val="00747868"/>
    <w:rsid w:val="007B1809"/>
    <w:rsid w:val="007B2A3E"/>
    <w:rsid w:val="007B410A"/>
    <w:rsid w:val="007F5A52"/>
    <w:rsid w:val="007F5B07"/>
    <w:rsid w:val="008044BA"/>
    <w:rsid w:val="0081197E"/>
    <w:rsid w:val="0081598A"/>
    <w:rsid w:val="00824C10"/>
    <w:rsid w:val="008A516A"/>
    <w:rsid w:val="008A71A5"/>
    <w:rsid w:val="008A7CDA"/>
    <w:rsid w:val="008B53E5"/>
    <w:rsid w:val="008D173A"/>
    <w:rsid w:val="008D3369"/>
    <w:rsid w:val="008D7EF5"/>
    <w:rsid w:val="008F2C66"/>
    <w:rsid w:val="00914DEC"/>
    <w:rsid w:val="00944DFA"/>
    <w:rsid w:val="009475C8"/>
    <w:rsid w:val="00950E15"/>
    <w:rsid w:val="00981A4A"/>
    <w:rsid w:val="00984816"/>
    <w:rsid w:val="009A1A3D"/>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1D02"/>
    <w:rsid w:val="00A776A5"/>
    <w:rsid w:val="00A808F2"/>
    <w:rsid w:val="00A85C6F"/>
    <w:rsid w:val="00A86097"/>
    <w:rsid w:val="00A94DDD"/>
    <w:rsid w:val="00A9779B"/>
    <w:rsid w:val="00AA5656"/>
    <w:rsid w:val="00AB7F16"/>
    <w:rsid w:val="00AE2334"/>
    <w:rsid w:val="00AF1198"/>
    <w:rsid w:val="00AF13C6"/>
    <w:rsid w:val="00AF56A8"/>
    <w:rsid w:val="00B01603"/>
    <w:rsid w:val="00B067D8"/>
    <w:rsid w:val="00B109AB"/>
    <w:rsid w:val="00B11633"/>
    <w:rsid w:val="00B13C1A"/>
    <w:rsid w:val="00B2749D"/>
    <w:rsid w:val="00B415C8"/>
    <w:rsid w:val="00BB3F98"/>
    <w:rsid w:val="00BC1DCC"/>
    <w:rsid w:val="00BD0AE4"/>
    <w:rsid w:val="00BD0E0F"/>
    <w:rsid w:val="00BD3CED"/>
    <w:rsid w:val="00C00B65"/>
    <w:rsid w:val="00C13C50"/>
    <w:rsid w:val="00C34BA5"/>
    <w:rsid w:val="00CD06C7"/>
    <w:rsid w:val="00CE07E8"/>
    <w:rsid w:val="00CE16FB"/>
    <w:rsid w:val="00CF08A6"/>
    <w:rsid w:val="00D271B1"/>
    <w:rsid w:val="00D302B9"/>
    <w:rsid w:val="00D63C07"/>
    <w:rsid w:val="00D75850"/>
    <w:rsid w:val="00D955F6"/>
    <w:rsid w:val="00DA7484"/>
    <w:rsid w:val="00DC24D6"/>
    <w:rsid w:val="00DC7091"/>
    <w:rsid w:val="00DC7421"/>
    <w:rsid w:val="00DF5549"/>
    <w:rsid w:val="00DF6343"/>
    <w:rsid w:val="00E049CF"/>
    <w:rsid w:val="00E246BA"/>
    <w:rsid w:val="00E27FCE"/>
    <w:rsid w:val="00E3253B"/>
    <w:rsid w:val="00E47DE5"/>
    <w:rsid w:val="00E55C7B"/>
    <w:rsid w:val="00E93074"/>
    <w:rsid w:val="00EA2B3F"/>
    <w:rsid w:val="00EA580E"/>
    <w:rsid w:val="00EB4B6C"/>
    <w:rsid w:val="00ED1E51"/>
    <w:rsid w:val="00EE145B"/>
    <w:rsid w:val="00EF1741"/>
    <w:rsid w:val="00EF5E88"/>
    <w:rsid w:val="00F0405E"/>
    <w:rsid w:val="00F236AF"/>
    <w:rsid w:val="00F50200"/>
    <w:rsid w:val="00F52BBA"/>
    <w:rsid w:val="00F6060A"/>
    <w:rsid w:val="00F63DA5"/>
    <w:rsid w:val="00F83DB0"/>
    <w:rsid w:val="00F84C8E"/>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caliper.research.sickkids.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tarnet.childrenshc.org/References/labsop/chem/operator/alinity-ci-series-operations-manual.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quality/ch-2.17-unity-real-time-qc-review-general-user.pdf"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emergency-and-safe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88E5-01B6-45A3-B360-8B0A61C6A90A}">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199f0838-75a6-4f0c-9be1-f2c07140bccc"/>
    <ds:schemaRef ds:uri="c1848e11-9cf6-4ce4-877e-6837d2c2fa23"/>
    <ds:schemaRef ds:uri="http://schemas.microsoft.com/sharepoint.v3"/>
    <ds:schemaRef ds:uri="http://schemas.microsoft.com/sharepoint/v3/fields"/>
    <ds:schemaRef ds:uri="http://www.w3.org/XML/1998/namespace"/>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4.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5.xml><?xml version="1.0" encoding="utf-8"?>
<ds:datastoreItem xmlns:ds="http://schemas.openxmlformats.org/officeDocument/2006/customXml" ds:itemID="{5E555D4C-98AB-47AA-8976-3F09B74C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1498</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10369</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5</cp:revision>
  <cp:lastPrinted>2020-04-15T15:00:00Z</cp:lastPrinted>
  <dcterms:created xsi:type="dcterms:W3CDTF">2020-10-27T19:24:00Z</dcterms:created>
  <dcterms:modified xsi:type="dcterms:W3CDTF">2021-01-11T15:44:00Z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