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62DC1451" w:rsidR="006C5661" w:rsidRDefault="00782B15">
            <w:pPr>
              <w:rPr>
                <w:rFonts w:cs="Arial"/>
                <w:b/>
                <w:bCs/>
                <w:color w:val="0000FF"/>
              </w:rPr>
            </w:pPr>
            <w:r w:rsidRPr="00782B15">
              <w:rPr>
                <w:rFonts w:cs="Arial"/>
                <w:b/>
                <w:bCs/>
                <w:color w:val="0000FF"/>
                <w:sz w:val="36"/>
              </w:rPr>
              <w:t>Lactate Dehydrogenase</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5D912EB1" w:rsidR="00E3253B" w:rsidRDefault="00A34EE2" w:rsidP="000E4084">
            <w:pPr>
              <w:autoSpaceDE w:val="0"/>
              <w:autoSpaceDN w:val="0"/>
              <w:adjustRightInd w:val="0"/>
              <w:rPr>
                <w:rFonts w:cs="Arial"/>
                <w:color w:val="000000"/>
                <w:szCs w:val="20"/>
              </w:rPr>
            </w:pPr>
            <w:r w:rsidRPr="00DC7421">
              <w:rPr>
                <w:rStyle w:val="A7"/>
                <w:rFonts w:cs="Arial"/>
                <w:b w:val="0"/>
                <w:bCs w:val="0"/>
                <w:sz w:val="20"/>
                <w:szCs w:val="20"/>
              </w:rPr>
              <w:t>This procedure provides instructions</w:t>
            </w:r>
            <w:r w:rsidR="000E4084">
              <w:rPr>
                <w:rStyle w:val="A7"/>
                <w:rFonts w:cs="Arial"/>
                <w:b w:val="0"/>
                <w:bCs w:val="0"/>
                <w:sz w:val="20"/>
                <w:szCs w:val="20"/>
              </w:rPr>
              <w:t xml:space="preserve"> for performing</w:t>
            </w:r>
            <w:r w:rsidRPr="00DC7421">
              <w:rPr>
                <w:rStyle w:val="A7"/>
                <w:rFonts w:cs="Arial"/>
                <w:b w:val="0"/>
                <w:bCs w:val="0"/>
                <w:sz w:val="20"/>
                <w:szCs w:val="20"/>
              </w:rPr>
              <w:t xml:space="preserve"> </w:t>
            </w:r>
            <w:r w:rsidR="000E4084">
              <w:rPr>
                <w:rFonts w:cs="Arial"/>
                <w:color w:val="000000"/>
                <w:szCs w:val="20"/>
              </w:rPr>
              <w:t>LACTATE DEHYDROGENASE (LDH)</w:t>
            </w:r>
            <w:r w:rsidR="00782B15">
              <w:rPr>
                <w:rFonts w:cs="Arial"/>
                <w:color w:val="00000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Pr>
                <w:rStyle w:val="A7"/>
                <w:rFonts w:cs="Arial"/>
                <w:b w:val="0"/>
                <w:bCs w:val="0"/>
                <w:sz w:val="20"/>
                <w:szCs w:val="20"/>
              </w:rPr>
              <w:t xml:space="preserve"> </w:t>
            </w:r>
            <w:r w:rsidR="000E4084" w:rsidRPr="000E4084">
              <w:rPr>
                <w:rStyle w:val="A7"/>
                <w:rFonts w:cs="Arial"/>
                <w:b w:val="0"/>
                <w:bCs w:val="0"/>
                <w:sz w:val="20"/>
                <w:szCs w:val="20"/>
              </w:rPr>
              <w:t>The Alinity c Lactate Dehydrogenase assay is used for the</w:t>
            </w:r>
            <w:r w:rsidR="000E4084">
              <w:rPr>
                <w:rStyle w:val="A7"/>
                <w:rFonts w:cs="Arial"/>
                <w:b w:val="0"/>
                <w:bCs w:val="0"/>
                <w:sz w:val="20"/>
                <w:szCs w:val="20"/>
              </w:rPr>
              <w:t xml:space="preserve"> </w:t>
            </w:r>
            <w:r w:rsidR="000E4084" w:rsidRPr="000E4084">
              <w:rPr>
                <w:rStyle w:val="A7"/>
                <w:rFonts w:cs="Arial"/>
                <w:b w:val="0"/>
                <w:bCs w:val="0"/>
                <w:sz w:val="20"/>
                <w:szCs w:val="20"/>
              </w:rPr>
              <w:t>quantitation of lactate</w:t>
            </w:r>
            <w:r w:rsidR="00036379">
              <w:rPr>
                <w:rStyle w:val="A7"/>
                <w:rFonts w:cs="Arial"/>
                <w:b w:val="0"/>
                <w:bCs w:val="0"/>
                <w:sz w:val="20"/>
                <w:szCs w:val="20"/>
              </w:rPr>
              <w:t xml:space="preserve"> dehydrogenase in human serum, or body fluid</w:t>
            </w:r>
            <w:r w:rsidR="000E4084" w:rsidRPr="000E4084">
              <w:rPr>
                <w:rStyle w:val="A7"/>
                <w:rFonts w:cs="Arial"/>
                <w:b w:val="0"/>
                <w:bCs w:val="0"/>
                <w:sz w:val="20"/>
                <w:szCs w:val="20"/>
              </w:rPr>
              <w:t xml:space="preserve"> plasma on</w:t>
            </w:r>
            <w:r w:rsidR="000E4084">
              <w:rPr>
                <w:rStyle w:val="A7"/>
                <w:rFonts w:cs="Arial"/>
                <w:b w:val="0"/>
                <w:bCs w:val="0"/>
                <w:sz w:val="20"/>
                <w:szCs w:val="20"/>
              </w:rPr>
              <w:t xml:space="preserve"> </w:t>
            </w:r>
            <w:r w:rsidR="000E4084" w:rsidRPr="000E4084">
              <w:rPr>
                <w:rStyle w:val="A7"/>
                <w:rFonts w:cs="Arial"/>
                <w:b w:val="0"/>
                <w:bCs w:val="0"/>
                <w:sz w:val="20"/>
                <w:szCs w:val="20"/>
              </w:rPr>
              <w:t>the Alinity c analyzer.</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000CA69C"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34F10AA" w14:textId="4B73D881" w:rsidR="00782B15" w:rsidRDefault="00782B15" w:rsidP="00782B15">
            <w:pPr>
              <w:pStyle w:val="Header"/>
              <w:rPr>
                <w:rFonts w:cs="Arial"/>
                <w:color w:val="000000"/>
                <w:szCs w:val="20"/>
              </w:rPr>
            </w:pPr>
            <w:r w:rsidRPr="00782B15">
              <w:rPr>
                <w:rFonts w:cs="Arial"/>
                <w:color w:val="000000"/>
                <w:szCs w:val="20"/>
              </w:rPr>
              <w:t>Lactate dehydrogenase is a hydrogen</w:t>
            </w:r>
            <w:r>
              <w:rPr>
                <w:rFonts w:cs="Arial"/>
                <w:color w:val="000000"/>
                <w:szCs w:val="20"/>
              </w:rPr>
              <w:t xml:space="preserve"> transfer enzyme that catalyzes </w:t>
            </w:r>
            <w:r w:rsidRPr="00782B15">
              <w:rPr>
                <w:rFonts w:cs="Arial"/>
                <w:color w:val="000000"/>
                <w:szCs w:val="20"/>
              </w:rPr>
              <w:t xml:space="preserve">the oxidation of </w:t>
            </w:r>
            <w:r>
              <w:rPr>
                <w:rFonts w:cs="Arial"/>
                <w:color w:val="000000"/>
                <w:szCs w:val="20"/>
              </w:rPr>
              <w:t xml:space="preserve">L-lactate to </w:t>
            </w:r>
            <w:r w:rsidRPr="00782B15">
              <w:rPr>
                <w:rFonts w:cs="Arial"/>
                <w:color w:val="000000"/>
                <w:szCs w:val="20"/>
              </w:rPr>
              <w:t>pyruvat</w:t>
            </w:r>
            <w:r>
              <w:rPr>
                <w:rFonts w:cs="Arial"/>
                <w:color w:val="000000"/>
                <w:szCs w:val="20"/>
              </w:rPr>
              <w:t xml:space="preserve">e with the mediation of NAD+ as </w:t>
            </w:r>
            <w:r w:rsidRPr="00782B15">
              <w:rPr>
                <w:rFonts w:cs="Arial"/>
                <w:color w:val="000000"/>
                <w:szCs w:val="20"/>
              </w:rPr>
              <w:t>a hydrogen acceptor.</w:t>
            </w:r>
          </w:p>
          <w:p w14:paraId="3645B23E" w14:textId="77777777" w:rsidR="00782B15" w:rsidRDefault="00782B15" w:rsidP="00782B15">
            <w:pPr>
              <w:pStyle w:val="Header"/>
              <w:rPr>
                <w:rFonts w:cs="Arial"/>
                <w:color w:val="000000"/>
                <w:szCs w:val="20"/>
              </w:rPr>
            </w:pPr>
          </w:p>
          <w:p w14:paraId="1480FB25" w14:textId="411F396F" w:rsidR="00782B15" w:rsidRPr="00782B15" w:rsidRDefault="00782B15" w:rsidP="00782B15">
            <w:pPr>
              <w:pStyle w:val="Header"/>
              <w:jc w:val="center"/>
              <w:rPr>
                <w:rFonts w:cs="Arial"/>
                <w:color w:val="000000"/>
                <w:szCs w:val="20"/>
              </w:rPr>
            </w:pPr>
            <w:r w:rsidRPr="00782B15">
              <w:rPr>
                <w:rFonts w:cs="Arial"/>
                <w:color w:val="000000"/>
                <w:szCs w:val="20"/>
              </w:rPr>
              <w:t>Lactate dehydrogenase</w:t>
            </w:r>
          </w:p>
          <w:p w14:paraId="27C05EAA" w14:textId="5270F7C0" w:rsidR="00782B15" w:rsidRPr="00782B15" w:rsidRDefault="00782B15" w:rsidP="00782B15">
            <w:pPr>
              <w:pStyle w:val="Header"/>
              <w:jc w:val="center"/>
              <w:rPr>
                <w:rFonts w:cs="Arial"/>
                <w:color w:val="000000"/>
                <w:szCs w:val="20"/>
              </w:rPr>
            </w:pPr>
            <w:r w:rsidRPr="00782B15">
              <w:rPr>
                <w:rFonts w:cs="Arial"/>
                <w:color w:val="000000"/>
                <w:szCs w:val="20"/>
              </w:rPr>
              <w:t>L-Lactate + NAD</w:t>
            </w:r>
            <w:r w:rsidRPr="00782B15">
              <w:rPr>
                <w:rFonts w:cs="Arial"/>
                <w:color w:val="000000"/>
                <w:szCs w:val="20"/>
                <w:vertAlign w:val="superscript"/>
              </w:rPr>
              <w:t>+</w:t>
            </w:r>
            <w:r w:rsidRPr="00782B15">
              <w:rPr>
                <w:rFonts w:cs="Arial"/>
                <w:color w:val="000000"/>
                <w:szCs w:val="20"/>
              </w:rPr>
              <w:t xml:space="preserve"> </w:t>
            </w:r>
            <w:r>
              <w:rPr>
                <w:rFonts w:cs="Arial"/>
                <w:color w:val="000000"/>
                <w:szCs w:val="20"/>
              </w:rPr>
              <w:t xml:space="preserve">→ Pyruvate + </w:t>
            </w:r>
            <w:r w:rsidRPr="00782B15">
              <w:rPr>
                <w:rFonts w:cs="Arial"/>
                <w:color w:val="000000"/>
                <w:szCs w:val="20"/>
              </w:rPr>
              <w:t>NADH</w:t>
            </w:r>
          </w:p>
          <w:p w14:paraId="2AD3C526" w14:textId="332F8572" w:rsidR="00782B15" w:rsidRDefault="00782B15" w:rsidP="00782B15">
            <w:pPr>
              <w:pStyle w:val="Header"/>
              <w:rPr>
                <w:rFonts w:cs="Arial"/>
                <w:color w:val="000000"/>
                <w:szCs w:val="20"/>
              </w:rPr>
            </w:pPr>
            <w:r>
              <w:rPr>
                <w:rFonts w:cs="Arial"/>
                <w:color w:val="000000"/>
                <w:szCs w:val="20"/>
              </w:rPr>
              <w:t xml:space="preserve">                                                                                                           </w:t>
            </w:r>
            <w:r w:rsidRPr="00782B15">
              <w:rPr>
                <w:rFonts w:cs="Arial"/>
                <w:color w:val="000000"/>
                <w:szCs w:val="20"/>
              </w:rPr>
              <w:t>H</w:t>
            </w:r>
            <w:r w:rsidRPr="00782B15">
              <w:rPr>
                <w:rFonts w:cs="Arial"/>
                <w:color w:val="000000"/>
                <w:szCs w:val="20"/>
                <w:vertAlign w:val="superscript"/>
              </w:rPr>
              <w:t>+</w:t>
            </w:r>
          </w:p>
          <w:p w14:paraId="6B3F326E" w14:textId="77777777" w:rsidR="00782B15" w:rsidRDefault="00782B15" w:rsidP="00782B15">
            <w:pPr>
              <w:pStyle w:val="Header"/>
              <w:rPr>
                <w:rFonts w:cs="Arial"/>
                <w:color w:val="000000"/>
                <w:szCs w:val="20"/>
              </w:rPr>
            </w:pPr>
          </w:p>
          <w:p w14:paraId="70659A21" w14:textId="3B0679C5" w:rsidR="002462C0" w:rsidRDefault="006C5661" w:rsidP="00782B15">
            <w:pPr>
              <w:pStyle w:val="Header"/>
              <w:rPr>
                <w:rFonts w:cs="Arial"/>
                <w:color w:val="000000"/>
                <w:szCs w:val="20"/>
              </w:rPr>
            </w:pPr>
            <w:r w:rsidRPr="000E4084">
              <w:rPr>
                <w:rFonts w:cs="Arial"/>
                <w:b/>
                <w:color w:val="000000"/>
                <w:szCs w:val="20"/>
              </w:rPr>
              <w:t>Methodology</w:t>
            </w:r>
            <w:r w:rsidR="000E4084">
              <w:rPr>
                <w:rFonts w:cs="Arial"/>
                <w:color w:val="000000"/>
                <w:szCs w:val="20"/>
              </w:rPr>
              <w:t>: IFCC-recommended</w:t>
            </w:r>
            <w:r w:rsidR="00782B15" w:rsidRPr="00782B15">
              <w:rPr>
                <w:rFonts w:cs="Arial"/>
                <w:color w:val="000000"/>
                <w:szCs w:val="20"/>
              </w:rPr>
              <w:t xml:space="preserve"> </w:t>
            </w:r>
            <w:r w:rsidR="00782B15">
              <w:rPr>
                <w:rFonts w:cs="Arial"/>
                <w:color w:val="000000"/>
                <w:szCs w:val="20"/>
              </w:rPr>
              <w:t xml:space="preserve">forward </w:t>
            </w:r>
            <w:r w:rsidR="000E4084">
              <w:rPr>
                <w:rFonts w:cs="Arial"/>
                <w:color w:val="000000"/>
                <w:szCs w:val="20"/>
              </w:rPr>
              <w:t>reaction:</w:t>
            </w:r>
            <w:r w:rsidR="00782B15" w:rsidRPr="00782B15">
              <w:rPr>
                <w:rFonts w:cs="Arial"/>
                <w:color w:val="000000"/>
                <w:szCs w:val="20"/>
              </w:rPr>
              <w:t xml:space="preserve"> Lactate to Pyruvate.</w:t>
            </w:r>
          </w:p>
          <w:p w14:paraId="3273BCFB" w14:textId="77777777" w:rsidR="00782B15" w:rsidRDefault="00782B15" w:rsidP="00782B15">
            <w:pPr>
              <w:pStyle w:val="Header"/>
              <w:rPr>
                <w:rFonts w:cs="Arial"/>
                <w:color w:val="000000"/>
                <w:szCs w:val="20"/>
              </w:rPr>
            </w:pPr>
          </w:p>
          <w:p w14:paraId="727E9CA5" w14:textId="675E947F" w:rsidR="00782B15" w:rsidRPr="000E4084" w:rsidRDefault="00782B15" w:rsidP="00782B15">
            <w:pPr>
              <w:pStyle w:val="Header"/>
              <w:rPr>
                <w:rFonts w:cs="Arial"/>
                <w:color w:val="000000"/>
                <w:szCs w:val="20"/>
              </w:rPr>
            </w:pPr>
            <w:r w:rsidRPr="000E4084">
              <w:rPr>
                <w:rFonts w:cs="Arial"/>
                <w:color w:val="000000"/>
                <w:szCs w:val="20"/>
              </w:rPr>
              <w:t>For additional information on system and assay technology, refer to the Alinity ci-series Operations Manual, Section</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78C8231" w14:textId="77777777" w:rsidR="002462C0" w:rsidRDefault="00782B15" w:rsidP="00782B15">
            <w:r w:rsidRPr="00782B15">
              <w:t>LDH is an enzyme found in the cells of many body tissues, including</w:t>
            </w:r>
            <w:r>
              <w:t xml:space="preserve"> </w:t>
            </w:r>
            <w:r w:rsidRPr="00782B15">
              <w:t>the heart, liver, kidneys, skeletal muscle, brain, red blood cells, and</w:t>
            </w:r>
            <w:r>
              <w:t xml:space="preserve"> </w:t>
            </w:r>
            <w:r w:rsidRPr="00782B15">
              <w:t>lungs. It is responsible for converting muscle lactate into pyruvate,</w:t>
            </w:r>
            <w:r>
              <w:t xml:space="preserve"> </w:t>
            </w:r>
            <w:r w:rsidRPr="00782B15">
              <w:t>an essential step in producing cellular energy. It is composed of</w:t>
            </w:r>
            <w:r>
              <w:t xml:space="preserve"> </w:t>
            </w:r>
            <w:r w:rsidRPr="00782B15">
              <w:t>four peptide chains of two subunits (M form and H form) which</w:t>
            </w:r>
            <w:r>
              <w:t xml:space="preserve"> </w:t>
            </w:r>
            <w:r w:rsidRPr="00782B15">
              <w:t>results in up to five different isoenzymes which can be separated</w:t>
            </w:r>
            <w:r>
              <w:t xml:space="preserve"> and </w:t>
            </w:r>
            <w:r w:rsidRPr="00782B15">
              <w:t>quantitated by electrophoresis. Measurement of the total LDH</w:t>
            </w:r>
            <w:r>
              <w:t xml:space="preserve"> </w:t>
            </w:r>
            <w:r w:rsidRPr="00782B15">
              <w:t>act</w:t>
            </w:r>
            <w:r>
              <w:t>ivity in serum or plasma is non-</w:t>
            </w:r>
            <w:r w:rsidRPr="00782B15">
              <w:t>specific and cannot differentiate</w:t>
            </w:r>
            <w:r>
              <w:t xml:space="preserve"> </w:t>
            </w:r>
            <w:r w:rsidRPr="00782B15">
              <w:t>the tissues of origin of the component isoenzymes. LDH is used in</w:t>
            </w:r>
            <w:r>
              <w:t xml:space="preserve"> </w:t>
            </w:r>
            <w:r w:rsidRPr="00782B15">
              <w:t>the differential diagnosis of hemolytic anemia and as a tumor marker</w:t>
            </w:r>
            <w:r>
              <w:t xml:space="preserve"> </w:t>
            </w:r>
            <w:r w:rsidRPr="00782B15">
              <w:t>in some malignancies, such as germ cell tumors. LDH is elevated in</w:t>
            </w:r>
            <w:r>
              <w:t xml:space="preserve"> </w:t>
            </w:r>
            <w:r w:rsidRPr="00782B15">
              <w:t>hepatitis, glomerular nephritis, pulmonary embolism, muscle disease,</w:t>
            </w:r>
            <w:r>
              <w:t xml:space="preserve"> </w:t>
            </w:r>
            <w:r w:rsidRPr="00782B15">
              <w:t xml:space="preserve">and many </w:t>
            </w:r>
            <w:proofErr w:type="spellStart"/>
            <w:r w:rsidRPr="00782B15">
              <w:t>leukemias</w:t>
            </w:r>
            <w:proofErr w:type="spellEnd"/>
            <w:r w:rsidRPr="00782B15">
              <w:t xml:space="preserve"> and lymphomas. As LDH is a non-specific</w:t>
            </w:r>
            <w:r>
              <w:t xml:space="preserve"> </w:t>
            </w:r>
            <w:r w:rsidRPr="00782B15">
              <w:t>marker, it is used in combination w</w:t>
            </w:r>
            <w:r>
              <w:t xml:space="preserve">ith </w:t>
            </w:r>
            <w:r w:rsidRPr="00782B15">
              <w:t>other markers in diagnosis and</w:t>
            </w:r>
            <w:r>
              <w:t xml:space="preserve"> </w:t>
            </w:r>
            <w:r w:rsidRPr="00782B15">
              <w:t>patient management.</w:t>
            </w:r>
          </w:p>
          <w:p w14:paraId="5CCFFF86" w14:textId="63C6AFDD" w:rsidR="000E4084" w:rsidRPr="00370B0F" w:rsidRDefault="000E4084" w:rsidP="00782B15"/>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2BAE5850"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w:t>
            </w:r>
            <w:r w:rsidR="000E4084">
              <w:rPr>
                <w:rFonts w:cs="Arial"/>
                <w:b/>
                <w:bCs/>
                <w:color w:val="7030A0"/>
                <w:szCs w:val="20"/>
              </w:rPr>
              <w:t>ty c (Sunquest method code: MAC</w:t>
            </w:r>
            <w:r>
              <w:rPr>
                <w:rFonts w:cs="Arial"/>
                <w:b/>
                <w:bCs/>
                <w:color w:val="7030A0"/>
                <w:szCs w:val="20"/>
              </w:rPr>
              <w:t>C)</w:t>
            </w:r>
          </w:p>
          <w:p w14:paraId="5CCFFF89" w14:textId="782722B0" w:rsidR="006200C0" w:rsidRPr="00DC7421" w:rsidRDefault="007F5B07" w:rsidP="006B78CE">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057192">
              <w:rPr>
                <w:rFonts w:cs="Arial"/>
                <w:b/>
                <w:bCs/>
                <w:color w:val="984806" w:themeColor="accent6" w:themeShade="80"/>
                <w:szCs w:val="20"/>
              </w:rPr>
              <w:t>SALIC</w:t>
            </w:r>
            <w:r w:rsidRPr="00DC7421">
              <w:rPr>
                <w:rFonts w:cs="Arial"/>
                <w:b/>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25B92773" w14:textId="15FA3454" w:rsidR="00370B0F" w:rsidRPr="00036379" w:rsidRDefault="00782B15" w:rsidP="00504F3B">
            <w:r w:rsidRPr="000E4084">
              <w:rPr>
                <w:b/>
              </w:rPr>
              <w:t>LDH</w:t>
            </w:r>
            <w:r w:rsidR="00036379">
              <w:rPr>
                <w:b/>
              </w:rPr>
              <w:t xml:space="preserve">    </w:t>
            </w:r>
            <w:r w:rsidR="00036379">
              <w:t>Lactate Dehydrogenase, serum or plasma</w:t>
            </w:r>
          </w:p>
          <w:p w14:paraId="5CCFFF8C" w14:textId="53E50FE2" w:rsidR="00036379" w:rsidRPr="00036379" w:rsidRDefault="00036379" w:rsidP="00504F3B">
            <w:r>
              <w:rPr>
                <w:b/>
              </w:rPr>
              <w:t xml:space="preserve">FLDH  </w:t>
            </w:r>
            <w:r>
              <w:t>Lactate Dehydrogenase Body Fluid</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1B583885"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782B15">
              <w:rPr>
                <w:rStyle w:val="BoldBodyText"/>
                <w:rFonts w:ascii="Arial" w:hAnsi="Arial" w:cs="Arial"/>
                <w:b w:val="0"/>
                <w:bCs w:val="0"/>
                <w:sz w:val="20"/>
                <w:szCs w:val="20"/>
              </w:rPr>
              <w:t xml:space="preserve">Plasma or Serum </w:t>
            </w:r>
          </w:p>
          <w:p w14:paraId="34021B1C" w14:textId="575F666D" w:rsidR="00981A4A" w:rsidRPr="00D76D1A" w:rsidRDefault="0017089C">
            <w:pPr>
              <w:rPr>
                <w:rFonts w:cs="Arial"/>
                <w:szCs w:val="20"/>
              </w:rPr>
            </w:pPr>
            <w:r w:rsidRPr="009475C8">
              <w:rPr>
                <w:rFonts w:cs="Arial"/>
                <w:b/>
                <w:szCs w:val="20"/>
              </w:rPr>
              <w:t>Preferred:</w:t>
            </w:r>
            <w:r w:rsidR="006C5661" w:rsidRPr="009475C8">
              <w:rPr>
                <w:rFonts w:cs="Arial"/>
                <w:b/>
                <w:szCs w:val="20"/>
              </w:rPr>
              <w:t xml:space="preserve"> </w:t>
            </w:r>
            <w:r w:rsidR="00782B15" w:rsidRPr="00782B15">
              <w:rPr>
                <w:rFonts w:cs="Arial"/>
                <w:szCs w:val="20"/>
              </w:rPr>
              <w:t xml:space="preserve">Lithium </w:t>
            </w:r>
            <w:r w:rsidR="00782B15" w:rsidRPr="00D76D1A">
              <w:rPr>
                <w:rFonts w:cs="Arial"/>
                <w:szCs w:val="20"/>
              </w:rPr>
              <w:t xml:space="preserve">Heparin </w:t>
            </w:r>
            <w:r w:rsidR="00D76D1A" w:rsidRPr="00D76D1A">
              <w:rPr>
                <w:rFonts w:cs="Arial"/>
                <w:szCs w:val="20"/>
              </w:rPr>
              <w:t>(with or without gel barriers)</w:t>
            </w:r>
          </w:p>
          <w:p w14:paraId="60FE11B0" w14:textId="251BA1A1" w:rsidR="0017089C" w:rsidRDefault="0017089C">
            <w:pPr>
              <w:rPr>
                <w:rFonts w:cs="Arial"/>
                <w:szCs w:val="20"/>
              </w:rPr>
            </w:pPr>
            <w:r w:rsidRPr="009475C8">
              <w:rPr>
                <w:rFonts w:cs="Arial"/>
                <w:b/>
                <w:szCs w:val="20"/>
              </w:rPr>
              <w:t>Alternative:</w:t>
            </w:r>
            <w:r w:rsidR="00782B15">
              <w:rPr>
                <w:rFonts w:cs="Arial"/>
                <w:b/>
                <w:szCs w:val="20"/>
              </w:rPr>
              <w:t xml:space="preserve"> </w:t>
            </w:r>
            <w:r w:rsidR="00D76D1A">
              <w:rPr>
                <w:rFonts w:cs="Arial"/>
                <w:szCs w:val="20"/>
              </w:rPr>
              <w:t>Serum (with or without gel),</w:t>
            </w:r>
            <w:r w:rsidR="00782B15" w:rsidRPr="00782B15">
              <w:rPr>
                <w:rFonts w:cs="Arial"/>
                <w:szCs w:val="20"/>
              </w:rPr>
              <w:t xml:space="preserve"> Sodium Heparin</w:t>
            </w:r>
          </w:p>
          <w:p w14:paraId="3AB643B9" w14:textId="77777777" w:rsidR="00036379" w:rsidRDefault="00036379">
            <w:pPr>
              <w:rPr>
                <w:rFonts w:cs="Arial"/>
                <w:szCs w:val="20"/>
              </w:rPr>
            </w:pPr>
          </w:p>
          <w:p w14:paraId="34F12611" w14:textId="2F744A1A" w:rsidR="0017089C" w:rsidRDefault="00036379">
            <w:pPr>
              <w:rPr>
                <w:rFonts w:cs="Arial"/>
                <w:szCs w:val="20"/>
              </w:rPr>
            </w:pPr>
            <w:r>
              <w:rPr>
                <w:rFonts w:cs="Arial"/>
                <w:szCs w:val="20"/>
              </w:rPr>
              <w:t xml:space="preserve">See procedure </w:t>
            </w:r>
            <w:hyperlink r:id="rId12" w:history="1">
              <w:r w:rsidRPr="00CE7E87">
                <w:rPr>
                  <w:rStyle w:val="Hyperlink"/>
                  <w:rFonts w:cs="Arial"/>
                  <w:szCs w:val="20"/>
                </w:rPr>
                <w:t>CH 4</w:t>
              </w:r>
              <w:r w:rsidR="00CE7E87" w:rsidRPr="00CE7E87">
                <w:rPr>
                  <w:rStyle w:val="Hyperlink"/>
                  <w:rFonts w:cs="Arial"/>
                  <w:szCs w:val="20"/>
                </w:rPr>
                <w:t>.021 Body Fluid Chemistry Testing</w:t>
              </w:r>
            </w:hyperlink>
            <w:r w:rsidR="00CE7E87">
              <w:rPr>
                <w:rFonts w:cs="Arial"/>
                <w:szCs w:val="20"/>
              </w:rPr>
              <w:t xml:space="preserve"> for information on specimen for LDH Body Fluid.</w:t>
            </w:r>
          </w:p>
          <w:p w14:paraId="399D1227" w14:textId="77777777" w:rsidR="00CE7E87" w:rsidRDefault="00CE7E87">
            <w:pPr>
              <w:rPr>
                <w:rFonts w:cs="Arial"/>
                <w:szCs w:val="20"/>
              </w:rPr>
            </w:pPr>
          </w:p>
          <w:p w14:paraId="35F09D27" w14:textId="4A904A5D" w:rsidR="00782B15" w:rsidRDefault="00782B15" w:rsidP="00782B15">
            <w:pPr>
              <w:rPr>
                <w:rFonts w:cs="Arial"/>
                <w:i/>
                <w:szCs w:val="20"/>
              </w:rPr>
            </w:pPr>
            <w:r w:rsidRPr="00D76D1A">
              <w:rPr>
                <w:rFonts w:cs="Arial"/>
                <w:szCs w:val="20"/>
              </w:rPr>
              <w:t>Hemolyzed</w:t>
            </w:r>
            <w:r w:rsidR="00655973">
              <w:rPr>
                <w:rFonts w:cs="Arial"/>
                <w:szCs w:val="20"/>
              </w:rPr>
              <w:t xml:space="preserve"> specimens should</w:t>
            </w:r>
            <w:r w:rsidRPr="00D76D1A">
              <w:rPr>
                <w:rFonts w:cs="Arial"/>
                <w:szCs w:val="20"/>
              </w:rPr>
              <w:t xml:space="preserve"> not be used because erythrocytes contain approximately 150 times more LDH activity.</w:t>
            </w:r>
            <w:r w:rsidR="00D76D1A">
              <w:rPr>
                <w:rFonts w:cs="Arial"/>
                <w:szCs w:val="20"/>
              </w:rPr>
              <w:t xml:space="preserve">  Accurate results cannot be obtained on hemolyzed samples.  Request redraw.  </w:t>
            </w:r>
          </w:p>
          <w:p w14:paraId="4E31A0F5" w14:textId="77777777" w:rsidR="00782B15" w:rsidRPr="00782B15" w:rsidRDefault="00782B15" w:rsidP="00782B15">
            <w:pPr>
              <w:rPr>
                <w:rFonts w:cs="Arial"/>
                <w:i/>
                <w:szCs w:val="20"/>
              </w:rPr>
            </w:pPr>
          </w:p>
          <w:p w14:paraId="5CCFFF96" w14:textId="4D7C55B3"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782B15">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782B15">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1B4BA64F" w:rsidR="00BD0AE4" w:rsidRDefault="00CE7E87">
            <w:pPr>
              <w:pStyle w:val="Header"/>
              <w:tabs>
                <w:tab w:val="clear" w:pos="4320"/>
                <w:tab w:val="clear" w:pos="8640"/>
              </w:tabs>
              <w:rPr>
                <w:rFonts w:cs="Arial"/>
                <w:szCs w:val="20"/>
              </w:rPr>
            </w:pPr>
            <w:r>
              <w:rPr>
                <w:rFonts w:cs="Arial"/>
                <w:b/>
                <w:bCs/>
                <w:szCs w:val="20"/>
              </w:rPr>
              <w:t xml:space="preserve">Plasma/Serum </w:t>
            </w:r>
            <w:r w:rsidR="009A1A3D" w:rsidRPr="00DC7421">
              <w:rPr>
                <w:rFonts w:cs="Arial"/>
                <w:b/>
                <w:bCs/>
                <w:szCs w:val="20"/>
              </w:rPr>
              <w:t>Stability when separated from cells/gel:</w:t>
            </w:r>
            <w:r w:rsidR="00504F3B">
              <w:rPr>
                <w:rFonts w:cs="Arial"/>
                <w:szCs w:val="20"/>
              </w:rPr>
              <w:t xml:space="preserve"> </w:t>
            </w:r>
          </w:p>
          <w:p w14:paraId="10B93C4E" w14:textId="4DD8EF6F" w:rsidR="0017089C" w:rsidRPr="009475C8" w:rsidRDefault="0017089C">
            <w:pPr>
              <w:pStyle w:val="Header"/>
              <w:tabs>
                <w:tab w:val="clear" w:pos="4320"/>
                <w:tab w:val="clear" w:pos="8640"/>
              </w:tabs>
              <w:rPr>
                <w:rFonts w:cs="Arial"/>
                <w:b/>
                <w:szCs w:val="20"/>
              </w:rPr>
            </w:pPr>
            <w:r w:rsidRPr="009475C8">
              <w:rPr>
                <w:rFonts w:cs="Arial"/>
                <w:b/>
                <w:szCs w:val="20"/>
              </w:rPr>
              <w:t>20 to 25°C</w:t>
            </w:r>
            <w:r w:rsidR="00873AEC">
              <w:rPr>
                <w:rFonts w:cs="Arial"/>
                <w:b/>
                <w:szCs w:val="20"/>
              </w:rPr>
              <w:t xml:space="preserve">: </w:t>
            </w:r>
            <w:r w:rsidR="00873AEC" w:rsidRPr="00873AEC">
              <w:rPr>
                <w:rFonts w:cs="Arial"/>
                <w:szCs w:val="20"/>
              </w:rPr>
              <w:t>7 days</w:t>
            </w:r>
            <w:r w:rsidR="00437425" w:rsidRPr="009475C8">
              <w:rPr>
                <w:rFonts w:cs="Arial"/>
                <w:b/>
                <w:szCs w:val="20"/>
              </w:rPr>
              <w:tab/>
            </w:r>
          </w:p>
          <w:p w14:paraId="5CCFFF99" w14:textId="7C8F0424" w:rsidR="00E3253B" w:rsidRPr="00873AEC" w:rsidRDefault="00873AEC">
            <w:pPr>
              <w:pStyle w:val="Header"/>
              <w:tabs>
                <w:tab w:val="clear" w:pos="4320"/>
                <w:tab w:val="clear" w:pos="8640"/>
              </w:tabs>
              <w:rPr>
                <w:rFonts w:cs="Arial"/>
                <w:szCs w:val="20"/>
              </w:rPr>
            </w:pPr>
            <w:r>
              <w:rPr>
                <w:rFonts w:cs="Arial"/>
                <w:b/>
                <w:szCs w:val="20"/>
              </w:rPr>
              <w:t xml:space="preserve">2 to 8°C: </w:t>
            </w:r>
            <w:r>
              <w:rPr>
                <w:rFonts w:cs="Arial"/>
                <w:szCs w:val="20"/>
              </w:rPr>
              <w:t xml:space="preserve">4 days </w:t>
            </w:r>
          </w:p>
          <w:p w14:paraId="594E4A3A" w14:textId="0A4D2D8B" w:rsidR="00BD0AE4" w:rsidRDefault="00BD0AE4">
            <w:pPr>
              <w:pStyle w:val="Header"/>
              <w:tabs>
                <w:tab w:val="clear" w:pos="4320"/>
                <w:tab w:val="clear" w:pos="8640"/>
              </w:tabs>
              <w:rPr>
                <w:rFonts w:cs="Arial"/>
                <w:szCs w:val="20"/>
              </w:rPr>
            </w:pPr>
            <w:r w:rsidRPr="009475C8">
              <w:rPr>
                <w:rFonts w:cs="Arial"/>
                <w:b/>
                <w:szCs w:val="20"/>
              </w:rPr>
              <w:t>-20°C</w:t>
            </w:r>
            <w:r w:rsidR="00873AEC">
              <w:rPr>
                <w:rFonts w:cs="Arial"/>
                <w:szCs w:val="20"/>
              </w:rPr>
              <w:t>: 6 weeks</w:t>
            </w:r>
          </w:p>
          <w:p w14:paraId="4037D687" w14:textId="77777777" w:rsidR="00CE7E87" w:rsidRDefault="00CE7E87">
            <w:pPr>
              <w:pStyle w:val="Header"/>
              <w:tabs>
                <w:tab w:val="clear" w:pos="4320"/>
                <w:tab w:val="clear" w:pos="8640"/>
              </w:tabs>
              <w:rPr>
                <w:rFonts w:cs="Arial"/>
                <w:szCs w:val="20"/>
              </w:rPr>
            </w:pPr>
          </w:p>
          <w:p w14:paraId="392DCADE" w14:textId="55642E3B" w:rsidR="00CE7E87" w:rsidRDefault="00CE7E87">
            <w:pPr>
              <w:pStyle w:val="Header"/>
              <w:tabs>
                <w:tab w:val="clear" w:pos="4320"/>
                <w:tab w:val="clear" w:pos="8640"/>
              </w:tabs>
              <w:rPr>
                <w:rFonts w:cs="Arial"/>
                <w:szCs w:val="20"/>
              </w:rPr>
            </w:pPr>
            <w:r>
              <w:rPr>
                <w:rFonts w:cs="Arial"/>
                <w:szCs w:val="20"/>
              </w:rPr>
              <w:t xml:space="preserve">Body Fluids should be stored at refrigerated temperatures for up to 7 days.  Integrity decreases rapidly for LDH, and should be interpreted with caution if testing does not occur within 48 hours of collection.  Store at 2-8° </w:t>
            </w:r>
            <w:r w:rsidRPr="00CE7E87">
              <w:rPr>
                <w:rFonts w:cs="Arial"/>
                <w:szCs w:val="20"/>
              </w:rPr>
              <w:t>C</w:t>
            </w:r>
            <w:r>
              <w:rPr>
                <w:rFonts w:cs="Arial"/>
                <w:szCs w:val="20"/>
              </w:rPr>
              <w:t xml:space="preserve"> if there will be any delay in testing.</w:t>
            </w:r>
          </w:p>
          <w:p w14:paraId="1787D068" w14:textId="77777777" w:rsidR="00BD0AE4" w:rsidRPr="00DC7421" w:rsidRDefault="00BD0AE4">
            <w:pPr>
              <w:pStyle w:val="Header"/>
              <w:tabs>
                <w:tab w:val="clear" w:pos="4320"/>
                <w:tab w:val="clear" w:pos="8640"/>
              </w:tabs>
              <w:rPr>
                <w:rFonts w:cs="Arial"/>
                <w:szCs w:val="20"/>
              </w:rPr>
            </w:pPr>
          </w:p>
          <w:p w14:paraId="5CCFFF9A" w14:textId="7F042D8E" w:rsidR="00E3253B" w:rsidRPr="00DC7421" w:rsidRDefault="00E3253B" w:rsidP="000A59DC">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r w:rsidR="00873AEC">
              <w:rPr>
                <w:rFonts w:cs="Arial"/>
                <w:szCs w:val="20"/>
              </w:rPr>
              <w:t xml:space="preserve">, </w:t>
            </w:r>
            <w:r w:rsidR="00D76D1A" w:rsidRPr="00D76D1A">
              <w:rPr>
                <w:rFonts w:cs="Arial"/>
                <w:szCs w:val="20"/>
              </w:rPr>
              <w:t>hemolysis.</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38F3B198" w14:textId="77777777" w:rsidR="00D76D1A" w:rsidRPr="002873A2" w:rsidRDefault="00D76D1A" w:rsidP="00D76D1A">
            <w:pPr>
              <w:numPr>
                <w:ilvl w:val="0"/>
                <w:numId w:val="26"/>
              </w:numPr>
              <w:jc w:val="both"/>
              <w:rPr>
                <w:rFonts w:cs="Arial"/>
                <w:szCs w:val="20"/>
              </w:rPr>
            </w:pPr>
            <w:r w:rsidRPr="002873A2">
              <w:rPr>
                <w:rFonts w:cs="Arial"/>
                <w:szCs w:val="20"/>
              </w:rPr>
              <w:t>Whole blood specimens should be centrifuged following complete clot formation, according to Specimen Processing procedures prior to analysis.</w:t>
            </w:r>
          </w:p>
          <w:p w14:paraId="77F0E18B" w14:textId="77777777" w:rsidR="00D76D1A" w:rsidRPr="002873A2" w:rsidRDefault="00D76D1A" w:rsidP="00D76D1A">
            <w:pPr>
              <w:numPr>
                <w:ilvl w:val="0"/>
                <w:numId w:val="26"/>
              </w:numPr>
              <w:jc w:val="both"/>
              <w:rPr>
                <w:rFonts w:cs="Arial"/>
                <w:szCs w:val="20"/>
              </w:rPr>
            </w:pPr>
            <w:r w:rsidRPr="002873A2">
              <w:rPr>
                <w:rFonts w:cs="Arial"/>
                <w:szCs w:val="20"/>
              </w:rPr>
              <w:t>Serum or plasma should be physically separated from cells as soon as possible with a maximum limit of two hours from the time of collection.</w:t>
            </w:r>
          </w:p>
          <w:p w14:paraId="6F097CB7" w14:textId="77777777" w:rsidR="00D76D1A" w:rsidRPr="002873A2" w:rsidRDefault="00D76D1A" w:rsidP="00D76D1A">
            <w:pPr>
              <w:numPr>
                <w:ilvl w:val="0"/>
                <w:numId w:val="26"/>
              </w:numPr>
              <w:jc w:val="both"/>
              <w:rPr>
                <w:rFonts w:cs="Arial"/>
                <w:szCs w:val="20"/>
              </w:rPr>
            </w:pPr>
            <w:r w:rsidRPr="002873A2">
              <w:rPr>
                <w:rFonts w:cs="Arial"/>
                <w:szCs w:val="20"/>
              </w:rPr>
              <w:t xml:space="preserve">Specimens should be free of particulate matter. </w:t>
            </w:r>
          </w:p>
          <w:p w14:paraId="5A0275FC" w14:textId="0638383A" w:rsidR="00D76D1A" w:rsidRPr="002873A2" w:rsidRDefault="00D76D1A" w:rsidP="00D76D1A">
            <w:pPr>
              <w:numPr>
                <w:ilvl w:val="0"/>
                <w:numId w:val="26"/>
              </w:numPr>
              <w:jc w:val="both"/>
              <w:rPr>
                <w:rFonts w:cs="Arial"/>
                <w:szCs w:val="20"/>
              </w:rPr>
            </w:pPr>
            <w:r w:rsidRPr="002873A2">
              <w:rPr>
                <w:rFonts w:cs="Arial"/>
                <w:szCs w:val="20"/>
              </w:rPr>
              <w:t xml:space="preserve">Transfer serum or plasma to a properly labeled </w:t>
            </w:r>
            <w:r w:rsidR="00D54AC0">
              <w:rPr>
                <w:rFonts w:cs="Arial"/>
                <w:szCs w:val="20"/>
              </w:rPr>
              <w:t>pilot tube.</w:t>
            </w:r>
          </w:p>
          <w:p w14:paraId="2B7527FA" w14:textId="77777777" w:rsidR="00D76D1A" w:rsidRPr="002873A2" w:rsidRDefault="00D76D1A" w:rsidP="00D76D1A">
            <w:pPr>
              <w:numPr>
                <w:ilvl w:val="0"/>
                <w:numId w:val="26"/>
              </w:numPr>
              <w:jc w:val="both"/>
              <w:rPr>
                <w:rFonts w:cs="Arial"/>
                <w:szCs w:val="20"/>
              </w:rPr>
            </w:pPr>
            <w:r w:rsidRPr="002873A2">
              <w:rPr>
                <w:rFonts w:cs="Arial"/>
                <w:szCs w:val="20"/>
              </w:rPr>
              <w:t xml:space="preserve">  Architect and Alinity systems utilize a specimen level detect mechanism, so special racks specific to tube-type are not required.  </w:t>
            </w:r>
          </w:p>
          <w:p w14:paraId="488B7D15" w14:textId="77777777" w:rsidR="00D76D1A" w:rsidRPr="002873A2" w:rsidRDefault="00D76D1A" w:rsidP="00D76D1A">
            <w:pPr>
              <w:numPr>
                <w:ilvl w:val="0"/>
                <w:numId w:val="26"/>
              </w:numPr>
              <w:jc w:val="both"/>
              <w:rPr>
                <w:rFonts w:cs="Arial"/>
                <w:szCs w:val="20"/>
              </w:rPr>
            </w:pPr>
            <w:r w:rsidRPr="002873A2">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59CE2FDE"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44DF1237"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63CA8746"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873AEC">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D76D1A">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18853EAF"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0B7DB586" w:rsidR="0081197E" w:rsidRPr="00DC7421" w:rsidRDefault="00D76D1A" w:rsidP="00115DD6">
                  <w:pPr>
                    <w:autoSpaceDE w:val="0"/>
                    <w:autoSpaceDN w:val="0"/>
                    <w:adjustRightInd w:val="0"/>
                    <w:rPr>
                      <w:rFonts w:cs="Arial"/>
                      <w:szCs w:val="20"/>
                    </w:rPr>
                  </w:pPr>
                  <w:r>
                    <w:rPr>
                      <w:rFonts w:cs="Arial"/>
                      <w:szCs w:val="20"/>
                    </w:rPr>
                    <w:t xml:space="preserve">Abbott Alinity c </w:t>
                  </w:r>
                  <w:r w:rsidR="00873AEC" w:rsidRPr="00873AEC">
                    <w:rPr>
                      <w:rFonts w:cs="Arial"/>
                      <w:szCs w:val="20"/>
                    </w:rPr>
                    <w:t>Lactate Dehydrogenase Reagent Kit</w:t>
                  </w:r>
                </w:p>
              </w:tc>
              <w:tc>
                <w:tcPr>
                  <w:tcW w:w="1710" w:type="dxa"/>
                  <w:vAlign w:val="center"/>
                </w:tcPr>
                <w:p w14:paraId="78062055" w14:textId="1425DC36" w:rsidR="0081197E" w:rsidRPr="00DC7421" w:rsidRDefault="00D76D1A" w:rsidP="0081197E">
                  <w:pPr>
                    <w:pStyle w:val="BodyText"/>
                    <w:tabs>
                      <w:tab w:val="left" w:pos="3240"/>
                    </w:tabs>
                    <w:rPr>
                      <w:rFonts w:cs="Arial"/>
                      <w:szCs w:val="20"/>
                    </w:rPr>
                  </w:pPr>
                  <w:r w:rsidRPr="00D76D1A">
                    <w:rPr>
                      <w:rFonts w:cs="Arial"/>
                      <w:szCs w:val="20"/>
                    </w:rPr>
                    <w:t>07P7420</w:t>
                  </w:r>
                </w:p>
              </w:tc>
              <w:tc>
                <w:tcPr>
                  <w:tcW w:w="4533" w:type="dxa"/>
                  <w:vAlign w:val="center"/>
                </w:tcPr>
                <w:p w14:paraId="2C530CDA" w14:textId="77777777" w:rsidR="00873AEC"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873AEC" w:rsidRPr="00873AEC">
                    <w:rPr>
                      <w:rFonts w:ascii="Arial" w:eastAsia="HelenPro-Regular" w:hAnsi="Arial"/>
                    </w:rPr>
                    <w:t>2 to 8°C</w:t>
                  </w:r>
                </w:p>
                <w:p w14:paraId="188F00FD" w14:textId="44F93B3A" w:rsidR="00115DD6" w:rsidRPr="00D76D1A" w:rsidRDefault="0081197E" w:rsidP="0081197E">
                  <w:pPr>
                    <w:pStyle w:val="Reagents"/>
                    <w:spacing w:after="80"/>
                    <w:rPr>
                      <w:rFonts w:ascii="Arial" w:hAnsi="Arial" w:cs="Arial"/>
                      <w:bCs/>
                    </w:rPr>
                  </w:pPr>
                  <w:r w:rsidRPr="00DC7421">
                    <w:rPr>
                      <w:rFonts w:ascii="Arial" w:hAnsi="Arial" w:cs="Arial"/>
                      <w:b/>
                      <w:bCs/>
                    </w:rPr>
                    <w:t xml:space="preserve">Unopened: </w:t>
                  </w:r>
                  <w:r w:rsidR="00115DD6" w:rsidRPr="00D76D1A">
                    <w:rPr>
                      <w:rFonts w:ascii="Arial" w:hAnsi="Arial" w:cs="Arial"/>
                      <w:bCs/>
                    </w:rPr>
                    <w:t xml:space="preserve">Until </w:t>
                  </w:r>
                  <w:r w:rsidR="00D76D1A">
                    <w:rPr>
                      <w:rFonts w:ascii="Arial" w:hAnsi="Arial" w:cs="Arial"/>
                      <w:bCs/>
                    </w:rPr>
                    <w:t>manufacturer’s printed expiration date</w:t>
                  </w:r>
                </w:p>
                <w:p w14:paraId="2EC23D08" w14:textId="28620946" w:rsidR="0081197E" w:rsidRPr="003F688A" w:rsidRDefault="0081197E" w:rsidP="00115DD6">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873AEC">
                    <w:rPr>
                      <w:rFonts w:ascii="Arial" w:hAnsi="Arial" w:cs="Arial"/>
                      <w:bCs/>
                    </w:rPr>
                    <w:t>30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43746837" w:rsidR="009475C8" w:rsidRDefault="008703C3" w:rsidP="00AB7E7D">
            <w:pPr>
              <w:rPr>
                <w:szCs w:val="20"/>
              </w:rPr>
            </w:pPr>
            <w:r w:rsidRPr="00AB7E7D">
              <w:rPr>
                <w:szCs w:val="20"/>
              </w:rPr>
              <w:t>Product</w:t>
            </w:r>
            <w:r w:rsidR="00AB7E7D" w:rsidRPr="00AB7E7D">
              <w:rPr>
                <w:szCs w:val="20"/>
              </w:rPr>
              <w:t xml:space="preserve"> requires the handling of human specimens.</w:t>
            </w:r>
            <w:r w:rsidR="00AB7E7D">
              <w:rPr>
                <w:szCs w:val="20"/>
              </w:rPr>
              <w:t xml:space="preserve"> </w:t>
            </w:r>
            <w:r w:rsidR="00AB7E7D" w:rsidRPr="00AB7E7D">
              <w:rPr>
                <w:szCs w:val="20"/>
              </w:rPr>
              <w:t>It is recommended that all human-sourced materials be considered</w:t>
            </w:r>
            <w:r w:rsidR="00AB7E7D">
              <w:rPr>
                <w:szCs w:val="20"/>
              </w:rPr>
              <w:t xml:space="preserve"> </w:t>
            </w:r>
            <w:r w:rsidR="00AB7E7D" w:rsidRPr="00AB7E7D">
              <w:rPr>
                <w:szCs w:val="20"/>
              </w:rPr>
              <w:t>potentially infectious and handled in accordance with the OSHA</w:t>
            </w:r>
            <w:r w:rsidR="00AB7E7D">
              <w:rPr>
                <w:szCs w:val="20"/>
              </w:rPr>
              <w:t xml:space="preserve"> </w:t>
            </w:r>
            <w:r w:rsidR="00AB7E7D" w:rsidRPr="00AB7E7D">
              <w:rPr>
                <w:szCs w:val="20"/>
              </w:rPr>
              <w:t>Standard on Bloodborne Pathogens.</w:t>
            </w:r>
          </w:p>
          <w:p w14:paraId="451316C3" w14:textId="2558956B" w:rsidR="00152165" w:rsidRDefault="00152165" w:rsidP="00AB7E7D">
            <w:pPr>
              <w:rPr>
                <w:szCs w:val="20"/>
              </w:rPr>
            </w:pPr>
            <w:r w:rsidRPr="00152165">
              <w:rPr>
                <w:szCs w:val="20"/>
              </w:rPr>
              <w:t>The following warnings and precautions apply to</w:t>
            </w:r>
            <w:r>
              <w:rPr>
                <w:szCs w:val="20"/>
              </w:rPr>
              <w:t xml:space="preserve"> R1</w:t>
            </w:r>
          </w:p>
          <w:p w14:paraId="1D6EAD2B" w14:textId="47C504FA" w:rsidR="009475C8" w:rsidRDefault="00AB7E7D">
            <w:pPr>
              <w:rPr>
                <w:szCs w:val="20"/>
              </w:rPr>
            </w:pPr>
            <w:r>
              <w:rPr>
                <w:noProof/>
              </w:rPr>
              <w:drawing>
                <wp:inline distT="0" distB="0" distL="0" distR="0" wp14:anchorId="200C3E71" wp14:editId="10C42C0D">
                  <wp:extent cx="980952" cy="10285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80952" cy="1028571"/>
                          </a:xfrm>
                          <a:prstGeom prst="rect">
                            <a:avLst/>
                          </a:prstGeom>
                        </pic:spPr>
                      </pic:pic>
                    </a:graphicData>
                  </a:graphic>
                </wp:inline>
              </w:drawing>
            </w:r>
            <w:r>
              <w:rPr>
                <w:noProof/>
              </w:rPr>
              <w:drawing>
                <wp:inline distT="0" distB="0" distL="0" distR="0" wp14:anchorId="6C5CB453" wp14:editId="3B7EB543">
                  <wp:extent cx="1009524" cy="101904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9524" cy="1019048"/>
                          </a:xfrm>
                          <a:prstGeom prst="rect">
                            <a:avLst/>
                          </a:prstGeom>
                        </pic:spPr>
                      </pic:pic>
                    </a:graphicData>
                  </a:graphic>
                </wp:inline>
              </w:drawing>
            </w:r>
          </w:p>
          <w:p w14:paraId="54C3FA3F" w14:textId="5A581507" w:rsidR="00152165" w:rsidRDefault="00152165" w:rsidP="00152165">
            <w:pPr>
              <w:rPr>
                <w:szCs w:val="20"/>
              </w:rPr>
            </w:pPr>
            <w:r w:rsidRPr="00152165">
              <w:rPr>
                <w:szCs w:val="20"/>
              </w:rPr>
              <w:t xml:space="preserve">Contains </w:t>
            </w:r>
            <w:proofErr w:type="spellStart"/>
            <w:r w:rsidRPr="00152165">
              <w:rPr>
                <w:szCs w:val="20"/>
              </w:rPr>
              <w:t>diethanolamine</w:t>
            </w:r>
            <w:proofErr w:type="spellEnd"/>
            <w:r w:rsidRPr="00152165">
              <w:rPr>
                <w:szCs w:val="20"/>
              </w:rPr>
              <w:t xml:space="preserve"> and sodium</w:t>
            </w:r>
            <w:r>
              <w:rPr>
                <w:szCs w:val="20"/>
              </w:rPr>
              <w:t xml:space="preserve"> </w:t>
            </w:r>
            <w:r w:rsidRPr="00152165">
              <w:rPr>
                <w:szCs w:val="20"/>
              </w:rPr>
              <w:t>azide.</w:t>
            </w:r>
          </w:p>
          <w:p w14:paraId="60B38C98" w14:textId="77777777" w:rsidR="00422CB7" w:rsidRDefault="00152165">
            <w:pPr>
              <w:rPr>
                <w:szCs w:val="20"/>
              </w:rPr>
            </w:pPr>
            <w:r>
              <w:rPr>
                <w:szCs w:val="20"/>
              </w:rPr>
              <w:t>Suspected of causing cancer</w:t>
            </w:r>
          </w:p>
          <w:p w14:paraId="3004DC94" w14:textId="36EDAF4B" w:rsidR="00422CB7" w:rsidRDefault="00422CB7" w:rsidP="00422CB7">
            <w:pPr>
              <w:rPr>
                <w:szCs w:val="20"/>
              </w:rPr>
            </w:pPr>
            <w:r w:rsidRPr="00422CB7">
              <w:rPr>
                <w:szCs w:val="20"/>
              </w:rPr>
              <w:t>May cause damage to organs through</w:t>
            </w:r>
            <w:r>
              <w:rPr>
                <w:szCs w:val="20"/>
              </w:rPr>
              <w:t xml:space="preserve"> </w:t>
            </w:r>
            <w:r w:rsidRPr="00422CB7">
              <w:rPr>
                <w:szCs w:val="20"/>
              </w:rPr>
              <w:t>prolonged or repeated exposure.</w:t>
            </w:r>
          </w:p>
          <w:p w14:paraId="5EFA9057" w14:textId="63257BA2" w:rsidR="009475C8" w:rsidRDefault="009475C8">
            <w:r>
              <w:rPr>
                <w:szCs w:val="20"/>
              </w:rPr>
              <w:t xml:space="preserve">Safety data sheets (MSDS/SDS) available on </w:t>
            </w:r>
            <w:hyperlink r:id="rId15"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D76D1A">
        <w:trPr>
          <w:tblHeader/>
        </w:trPr>
        <w:tc>
          <w:tcPr>
            <w:tcW w:w="1800" w:type="dxa"/>
            <w:tcBorders>
              <w:top w:val="nil"/>
              <w:left w:val="nil"/>
              <w:bottom w:val="nil"/>
              <w:right w:val="nil"/>
            </w:tcBorders>
          </w:tcPr>
          <w:p w14:paraId="5CCFFFD2" w14:textId="7777777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2A4A719C"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23BE962" w14:textId="0CEE4EBF" w:rsidR="00036379" w:rsidRPr="00DC7421" w:rsidRDefault="00D76D1A" w:rsidP="00A32948">
                  <w:pPr>
                    <w:pStyle w:val="CalVerTable"/>
                    <w:ind w:left="0" w:firstLine="0"/>
                    <w:rPr>
                      <w:rFonts w:ascii="Arial" w:hAnsi="Arial" w:cs="Arial"/>
                    </w:rPr>
                  </w:pPr>
                  <w:r>
                    <w:rPr>
                      <w:rFonts w:ascii="Arial" w:hAnsi="Arial" w:cs="Arial"/>
                    </w:rPr>
                    <w:t>30 to 4500 U/L</w:t>
                  </w:r>
                </w:p>
                <w:p w14:paraId="4A173E25" w14:textId="78B7E85B" w:rsidR="00036379" w:rsidRDefault="00036379" w:rsidP="00036379">
                  <w:pPr>
                    <w:pStyle w:val="Default"/>
                    <w:rPr>
                      <w:szCs w:val="20"/>
                    </w:rPr>
                  </w:pPr>
                  <w:r w:rsidRPr="00036379">
                    <w:rPr>
                      <w:b/>
                      <w:sz w:val="20"/>
                      <w:szCs w:val="20"/>
                    </w:rPr>
                    <w:t>LDH Body Fluid</w:t>
                  </w:r>
                  <w:r>
                    <w:rPr>
                      <w:sz w:val="20"/>
                      <w:szCs w:val="20"/>
                    </w:rPr>
                    <w:t xml:space="preserve"> AMR</w:t>
                  </w:r>
                  <w:r>
                    <w:rPr>
                      <w:sz w:val="20"/>
                      <w:szCs w:val="20"/>
                    </w:rPr>
                    <w:t xml:space="preserve">: 30 to 1000 U/L </w:t>
                  </w:r>
                </w:p>
                <w:p w14:paraId="5CCFFFD5" w14:textId="40DBFB13" w:rsidR="00036379" w:rsidRPr="00DC7421" w:rsidRDefault="00036379" w:rsidP="00A32948">
                  <w:pPr>
                    <w:pStyle w:val="CalVerTable"/>
                    <w:ind w:left="0" w:firstLine="0"/>
                    <w:rPr>
                      <w:rFonts w:ascii="Arial" w:hAnsi="Arial" w:cs="Arial"/>
                    </w:rPr>
                  </w:pPr>
                </w:p>
              </w:tc>
            </w:tr>
            <w:tr w:rsidR="00F50200" w:rsidRPr="00DC7421" w14:paraId="5CCFFFD9" w14:textId="77777777" w:rsidTr="006E71F3">
              <w:trPr>
                <w:trHeight w:val="395"/>
              </w:trPr>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04F5457E" w:rsidR="00F50200" w:rsidRPr="00DC7421" w:rsidRDefault="00EF7068" w:rsidP="00440E37">
                  <w:pPr>
                    <w:pStyle w:val="BodyText"/>
                    <w:rPr>
                      <w:rFonts w:cs="Arial"/>
                      <w:szCs w:val="20"/>
                    </w:rPr>
                  </w:pPr>
                  <w:r>
                    <w:rPr>
                      <w:rFonts w:cs="Arial"/>
                      <w:szCs w:val="20"/>
                    </w:rPr>
                    <w:t>Water</w:t>
                  </w:r>
                  <w:r w:rsidR="00D76D1A">
                    <w:rPr>
                      <w:rFonts w:cs="Arial"/>
                      <w:szCs w:val="20"/>
                    </w:rPr>
                    <w:t xml:space="preserve"> Blank</w:t>
                  </w:r>
                  <w:r>
                    <w:rPr>
                      <w:rFonts w:cs="Arial"/>
                      <w:szCs w:val="20"/>
                    </w:rPr>
                    <w:t xml:space="preserve"> and </w:t>
                  </w:r>
                  <w:r w:rsidRPr="00EF7068">
                    <w:rPr>
                      <w:rFonts w:cs="Arial"/>
                      <w:szCs w:val="20"/>
                    </w:rPr>
                    <w:t>L</w:t>
                  </w:r>
                  <w:r>
                    <w:rPr>
                      <w:rFonts w:cs="Arial"/>
                      <w:szCs w:val="20"/>
                    </w:rPr>
                    <w:t xml:space="preserve">actate Dehydrogenase Reagent </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5077A1C1" w:rsidR="005B66A7" w:rsidRPr="00DC7421" w:rsidRDefault="00EF7068" w:rsidP="00EF7068">
                  <w:pPr>
                    <w:pStyle w:val="CalVerTable"/>
                    <w:rPr>
                      <w:rFonts w:ascii="Arial" w:hAnsi="Arial" w:cs="Arial"/>
                    </w:rPr>
                  </w:pPr>
                  <w:r>
                    <w:rPr>
                      <w:rFonts w:ascii="Arial" w:hAnsi="Arial" w:cs="Arial"/>
                    </w:rPr>
                    <w:t>2 levels</w:t>
                  </w:r>
                  <w:r w:rsidR="00D76D1A">
                    <w:rPr>
                      <w:rFonts w:ascii="Arial" w:hAnsi="Arial" w:cs="Arial"/>
                    </w:rPr>
                    <w:t xml:space="preserve"> of calibration</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7045E25D" w:rsidR="00F50200" w:rsidRPr="00DC7421" w:rsidRDefault="00EF7068" w:rsidP="00EF7068">
                  <w:pPr>
                    <w:autoSpaceDE w:val="0"/>
                    <w:autoSpaceDN w:val="0"/>
                    <w:adjustRightInd w:val="0"/>
                    <w:rPr>
                      <w:rFonts w:cs="Arial"/>
                    </w:rPr>
                  </w:pPr>
                  <w:r w:rsidRPr="00EF7068">
                    <w:rPr>
                      <w:rFonts w:cs="Arial"/>
                      <w:szCs w:val="20"/>
                    </w:rPr>
                    <w:t>The calibration factor was established based on the IFCC</w:t>
                  </w:r>
                  <w:r>
                    <w:rPr>
                      <w:rFonts w:cs="Arial"/>
                    </w:rPr>
                    <w:t xml:space="preserve"> </w:t>
                  </w:r>
                  <w:r w:rsidRPr="00EF7068">
                    <w:rPr>
                      <w:rFonts w:cs="Arial"/>
                    </w:rPr>
                    <w:t>methodology</w:t>
                  </w:r>
                  <w:r w:rsidRPr="00EF7068">
                    <w:rPr>
                      <w:rFonts w:cs="Arial"/>
                      <w:szCs w:val="20"/>
                    </w:rPr>
                    <w:t>. The calibration factor for the Alinity c Lactate Dehydrogenase assay is 11180.</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0F08DE8E" w:rsidR="00F50200" w:rsidRPr="00DC7421" w:rsidRDefault="000A59DC" w:rsidP="004A698D">
                  <w:pPr>
                    <w:pStyle w:val="Pa10"/>
                    <w:rPr>
                      <w:rFonts w:ascii="Arial" w:hAnsi="Arial" w:cs="Arial"/>
                      <w:sz w:val="20"/>
                      <w:szCs w:val="20"/>
                    </w:rPr>
                  </w:pPr>
                  <w:r>
                    <w:rPr>
                      <w:rFonts w:ascii="Arial" w:hAnsi="Arial" w:cs="Arial"/>
                      <w:sz w:val="20"/>
                      <w:szCs w:val="20"/>
                    </w:rPr>
                    <w:t xml:space="preserve">30 Days, </w:t>
                  </w:r>
                  <w:r w:rsidR="00D76D1A">
                    <w:rPr>
                      <w:rFonts w:ascii="Arial" w:hAnsi="Arial" w:cs="Arial"/>
                      <w:sz w:val="20"/>
                      <w:szCs w:val="20"/>
                    </w:rPr>
                    <w:t>with every n</w:t>
                  </w:r>
                  <w:r>
                    <w:rPr>
                      <w:rFonts w:ascii="Arial" w:hAnsi="Arial" w:cs="Arial"/>
                      <w:sz w:val="20"/>
                      <w:szCs w:val="20"/>
                    </w:rPr>
                    <w:t xml:space="preserve">ew reagent lot, </w:t>
                  </w:r>
                  <w:r w:rsidR="00D76D1A">
                    <w:rPr>
                      <w:rFonts w:ascii="Arial" w:hAnsi="Arial" w:cs="Arial"/>
                      <w:sz w:val="20"/>
                      <w:szCs w:val="20"/>
                    </w:rPr>
                    <w:t>after maintenance to critical parts, and any time QC results indicate need for calibration</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73569231" w:rsidR="00F50200" w:rsidRPr="000A59DC" w:rsidRDefault="009475C8" w:rsidP="00D76D1A">
                  <w:pPr>
                    <w:autoSpaceDE w:val="0"/>
                    <w:autoSpaceDN w:val="0"/>
                    <w:adjustRightInd w:val="0"/>
                    <w:rPr>
                      <w:rFonts w:cs="Arial"/>
                      <w:szCs w:val="20"/>
                      <w:highlight w:val="yellow"/>
                    </w:rPr>
                  </w:pPr>
                  <w:r w:rsidRPr="00D76D1A">
                    <w:rPr>
                      <w:rFonts w:cs="Arial"/>
                      <w:szCs w:val="20"/>
                    </w:rPr>
                    <w:t xml:space="preserve">AMR is verified twice annually using the Maine Standards </w:t>
                  </w:r>
                  <w:r w:rsidR="00D76D1A">
                    <w:rPr>
                      <w:rFonts w:cs="Arial"/>
                      <w:szCs w:val="20"/>
                    </w:rPr>
                    <w:t>GC3 Product # 1300ab</w:t>
                  </w:r>
                  <w:r w:rsidRPr="00D76D1A">
                    <w:rPr>
                      <w:rFonts w:cs="Arial"/>
                      <w:szCs w:val="20"/>
                    </w:rPr>
                    <w:t xml:space="preserve"> by running all applicable levels in triplicate.</w:t>
                  </w:r>
                  <w:r w:rsidR="00036379">
                    <w:t xml:space="preserve"> </w:t>
                  </w:r>
                  <w:r w:rsidR="00036379">
                    <w:rPr>
                      <w:rFonts w:cs="Arial"/>
                      <w:szCs w:val="20"/>
                    </w:rPr>
                    <w:t>LDH Body Fluid AMR is verified twice annually using the Maine Standards Body Fluid Product # 205bf.</w:t>
                  </w:r>
                  <w:r w:rsidRPr="00D76D1A">
                    <w:rPr>
                      <w:rFonts w:cs="Arial"/>
                      <w:szCs w:val="20"/>
                    </w:rPr>
                    <w:t xml:space="preserve">  Assay results are submitted to Maine Standards for compilation and comparison to peers.  Results are reviewed and approved by the Technical Specialist.  Questionable results are investigated and corrective actions documented.</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75BF5471" w14:textId="1000BBFE" w:rsidR="00952301" w:rsidRDefault="00D76D1A" w:rsidP="00952301">
            <w:pPr>
              <w:autoSpaceDE w:val="0"/>
              <w:autoSpaceDN w:val="0"/>
              <w:adjustRightInd w:val="0"/>
              <w:jc w:val="both"/>
              <w:rPr>
                <w:rFonts w:cs="Arial"/>
                <w:b/>
                <w:szCs w:val="20"/>
              </w:rPr>
            </w:pPr>
            <w:r>
              <w:rPr>
                <w:rFonts w:cs="Arial"/>
                <w:b/>
                <w:szCs w:val="20"/>
              </w:rPr>
              <w:t>QC</w:t>
            </w:r>
            <w:r w:rsidR="00952301" w:rsidRPr="00E47DE5">
              <w:rPr>
                <w:rFonts w:cs="Arial"/>
                <w:b/>
                <w:szCs w:val="20"/>
              </w:rPr>
              <w:t xml:space="preserve"> Material</w:t>
            </w:r>
            <w:r w:rsidR="00952301" w:rsidRPr="00C6560E">
              <w:rPr>
                <w:rFonts w:cs="Arial"/>
                <w:szCs w:val="20"/>
              </w:rPr>
              <w:t xml:space="preserve">: </w:t>
            </w:r>
            <w:r>
              <w:rPr>
                <w:rFonts w:cs="Arial"/>
                <w:szCs w:val="20"/>
              </w:rPr>
              <w:t>B</w:t>
            </w:r>
            <w:r w:rsidR="00D54AC0">
              <w:rPr>
                <w:rFonts w:cs="Arial"/>
                <w:szCs w:val="20"/>
              </w:rPr>
              <w:t>io-Rad Liquichek Multiqual</w:t>
            </w:r>
            <w:r>
              <w:rPr>
                <w:rFonts w:cs="Arial"/>
                <w:szCs w:val="20"/>
              </w:rPr>
              <w:t xml:space="preserve"> Unassayed Control Levels 1 &amp; 3</w:t>
            </w:r>
          </w:p>
          <w:p w14:paraId="4817768D" w14:textId="77777777" w:rsidR="00952301" w:rsidRPr="00E47DE5" w:rsidRDefault="00952301" w:rsidP="00952301">
            <w:pPr>
              <w:autoSpaceDE w:val="0"/>
              <w:autoSpaceDN w:val="0"/>
              <w:adjustRightInd w:val="0"/>
              <w:jc w:val="both"/>
              <w:rPr>
                <w:rFonts w:cs="Arial"/>
                <w:b/>
                <w:szCs w:val="20"/>
              </w:rPr>
            </w:pPr>
          </w:p>
          <w:p w14:paraId="472BD0AB" w14:textId="4A7D1D97" w:rsidR="00952301" w:rsidRDefault="00952301" w:rsidP="00952301">
            <w:pPr>
              <w:autoSpaceDE w:val="0"/>
              <w:autoSpaceDN w:val="0"/>
              <w:adjustRightInd w:val="0"/>
              <w:jc w:val="both"/>
              <w:rPr>
                <w:szCs w:val="20"/>
              </w:rPr>
            </w:pPr>
            <w:r w:rsidRPr="00DC7421">
              <w:rPr>
                <w:rFonts w:cs="Arial"/>
                <w:b/>
                <w:bCs/>
                <w:szCs w:val="20"/>
              </w:rPr>
              <w:t xml:space="preserve">Frequency: </w:t>
            </w:r>
            <w:r>
              <w:rPr>
                <w:szCs w:val="20"/>
              </w:rPr>
              <w:t xml:space="preserve">Two levels each day of use </w:t>
            </w:r>
          </w:p>
          <w:p w14:paraId="76F11AF7" w14:textId="77777777" w:rsidR="00952301" w:rsidRPr="00DC7421" w:rsidRDefault="00952301" w:rsidP="00952301">
            <w:pPr>
              <w:autoSpaceDE w:val="0"/>
              <w:autoSpaceDN w:val="0"/>
              <w:adjustRightInd w:val="0"/>
              <w:jc w:val="both"/>
              <w:rPr>
                <w:rFonts w:cs="Arial"/>
                <w:szCs w:val="20"/>
              </w:rPr>
            </w:pPr>
          </w:p>
          <w:p w14:paraId="1AA476AF" w14:textId="3CE4F9BB" w:rsidR="00952301" w:rsidRDefault="00952301" w:rsidP="00952301">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 xml:space="preserve">Once thawed, opened, and stored tightly capped at 2 to 8°C, product will be labeled with an expiration date equal to the shortest stability of the included analytes, which is </w:t>
            </w:r>
            <w:r>
              <w:rPr>
                <w:b/>
                <w:bCs/>
                <w:szCs w:val="20"/>
              </w:rPr>
              <w:t xml:space="preserve">7 days. </w:t>
            </w:r>
          </w:p>
          <w:p w14:paraId="3269E247" w14:textId="77777777" w:rsidR="00952301" w:rsidRPr="00DC7421" w:rsidRDefault="00952301" w:rsidP="00952301">
            <w:pPr>
              <w:autoSpaceDE w:val="0"/>
              <w:autoSpaceDN w:val="0"/>
              <w:adjustRightInd w:val="0"/>
              <w:rPr>
                <w:rFonts w:cs="Arial"/>
                <w:szCs w:val="20"/>
              </w:rPr>
            </w:pPr>
          </w:p>
          <w:p w14:paraId="231A9B4E" w14:textId="77777777" w:rsidR="00952301" w:rsidRDefault="00952301" w:rsidP="00952301">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4EC4CD30" w14:textId="77777777" w:rsidR="00952301" w:rsidRDefault="00952301" w:rsidP="00952301">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6F0079B6" w14:textId="23CEE443" w:rsidR="00952301" w:rsidRDefault="00952301" w:rsidP="00952301">
            <w:pPr>
              <w:pStyle w:val="Default"/>
              <w:numPr>
                <w:ilvl w:val="0"/>
                <w:numId w:val="41"/>
              </w:numPr>
              <w:rPr>
                <w:sz w:val="20"/>
                <w:szCs w:val="20"/>
              </w:rPr>
            </w:pPr>
            <w:r>
              <w:rPr>
                <w:sz w:val="20"/>
                <w:szCs w:val="20"/>
              </w:rPr>
              <w:t xml:space="preserve">To thaw the product, allow it to stand at room temperature (18° to 25°C) until completely thawed but no longer than one (1) hour </w:t>
            </w:r>
          </w:p>
          <w:p w14:paraId="004A1BB4" w14:textId="77777777" w:rsidR="00952301" w:rsidRDefault="00952301" w:rsidP="00952301">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3615811D" w14:textId="77777777" w:rsidR="00952301" w:rsidRDefault="00952301" w:rsidP="00952301">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7206FC44" w14:textId="77777777" w:rsidR="00952301" w:rsidRDefault="00952301" w:rsidP="00952301">
            <w:pPr>
              <w:pStyle w:val="Default"/>
              <w:numPr>
                <w:ilvl w:val="0"/>
                <w:numId w:val="41"/>
              </w:numPr>
              <w:rPr>
                <w:sz w:val="20"/>
                <w:szCs w:val="20"/>
              </w:rPr>
            </w:pPr>
            <w:r>
              <w:rPr>
                <w:b/>
                <w:bCs/>
                <w:sz w:val="20"/>
                <w:szCs w:val="20"/>
              </w:rPr>
              <w:t>Before each use</w:t>
            </w:r>
            <w:r>
              <w:rPr>
                <w:sz w:val="20"/>
                <w:szCs w:val="20"/>
              </w:rPr>
              <w:t xml:space="preserve">, gently swirl the contents until homogeneous with no visible signs of precipitate. </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03FB2D05"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6"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6010C982" w14:textId="77777777" w:rsidR="00D76D1A" w:rsidRPr="00234207" w:rsidRDefault="00D76D1A" w:rsidP="00D76D1A">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D76D1A" w:rsidRPr="006A26B2" w14:paraId="6F6B3656" w14:textId="77777777" w:rsidTr="00391DB5">
              <w:tc>
                <w:tcPr>
                  <w:tcW w:w="472" w:type="dxa"/>
                </w:tcPr>
                <w:p w14:paraId="7F0F6C0B" w14:textId="77777777" w:rsidR="00D76D1A" w:rsidRPr="006A26B2" w:rsidRDefault="00D76D1A" w:rsidP="00D76D1A">
                  <w:pPr>
                    <w:autoSpaceDE w:val="0"/>
                    <w:autoSpaceDN w:val="0"/>
                    <w:adjustRightInd w:val="0"/>
                    <w:jc w:val="both"/>
                    <w:rPr>
                      <w:rFonts w:cs="Arial"/>
                      <w:b/>
                      <w:szCs w:val="20"/>
                    </w:rPr>
                  </w:pPr>
                  <w:r w:rsidRPr="006A26B2">
                    <w:rPr>
                      <w:rFonts w:cs="Arial"/>
                      <w:b/>
                      <w:szCs w:val="20"/>
                    </w:rPr>
                    <w:t>H</w:t>
                  </w:r>
                </w:p>
              </w:tc>
              <w:tc>
                <w:tcPr>
                  <w:tcW w:w="394" w:type="dxa"/>
                </w:tcPr>
                <w:p w14:paraId="0DB0F0D0" w14:textId="77777777" w:rsidR="00D76D1A" w:rsidRPr="006A26B2" w:rsidRDefault="00D76D1A" w:rsidP="00D76D1A">
                  <w:pPr>
                    <w:autoSpaceDE w:val="0"/>
                    <w:autoSpaceDN w:val="0"/>
                    <w:adjustRightInd w:val="0"/>
                    <w:jc w:val="both"/>
                    <w:rPr>
                      <w:rFonts w:cs="Arial"/>
                      <w:b/>
                      <w:szCs w:val="20"/>
                    </w:rPr>
                  </w:pPr>
                  <w:r w:rsidRPr="006A26B2">
                    <w:rPr>
                      <w:rFonts w:cs="Arial"/>
                      <w:b/>
                      <w:szCs w:val="20"/>
                    </w:rPr>
                    <w:t>I</w:t>
                  </w:r>
                </w:p>
              </w:tc>
              <w:tc>
                <w:tcPr>
                  <w:tcW w:w="443" w:type="dxa"/>
                </w:tcPr>
                <w:p w14:paraId="58131721" w14:textId="77777777" w:rsidR="00D76D1A" w:rsidRPr="006A26B2" w:rsidRDefault="00D76D1A" w:rsidP="00D76D1A">
                  <w:pPr>
                    <w:autoSpaceDE w:val="0"/>
                    <w:autoSpaceDN w:val="0"/>
                    <w:adjustRightInd w:val="0"/>
                    <w:jc w:val="both"/>
                    <w:rPr>
                      <w:rFonts w:cs="Arial"/>
                      <w:b/>
                      <w:szCs w:val="20"/>
                    </w:rPr>
                  </w:pPr>
                  <w:r w:rsidRPr="006A26B2">
                    <w:rPr>
                      <w:rFonts w:cs="Arial"/>
                      <w:b/>
                      <w:szCs w:val="20"/>
                    </w:rPr>
                    <w:t>L</w:t>
                  </w:r>
                </w:p>
              </w:tc>
            </w:tr>
            <w:tr w:rsidR="00D76D1A" w:rsidRPr="006A26B2" w14:paraId="2245BCEC" w14:textId="77777777" w:rsidTr="00391DB5">
              <w:tc>
                <w:tcPr>
                  <w:tcW w:w="472" w:type="dxa"/>
                </w:tcPr>
                <w:p w14:paraId="7F1069EA" w14:textId="3292D1D7" w:rsidR="00D76D1A" w:rsidRPr="006A26B2" w:rsidRDefault="00D76D1A" w:rsidP="00D76D1A">
                  <w:pPr>
                    <w:autoSpaceDE w:val="0"/>
                    <w:autoSpaceDN w:val="0"/>
                    <w:adjustRightInd w:val="0"/>
                    <w:jc w:val="both"/>
                    <w:rPr>
                      <w:rFonts w:cs="Arial"/>
                      <w:b/>
                      <w:szCs w:val="20"/>
                    </w:rPr>
                  </w:pPr>
                  <w:r>
                    <w:rPr>
                      <w:rFonts w:cs="Arial"/>
                      <w:b/>
                      <w:szCs w:val="20"/>
                    </w:rPr>
                    <w:t>X</w:t>
                  </w:r>
                </w:p>
              </w:tc>
              <w:tc>
                <w:tcPr>
                  <w:tcW w:w="394" w:type="dxa"/>
                </w:tcPr>
                <w:p w14:paraId="33BC2CC5" w14:textId="77777777" w:rsidR="00D76D1A" w:rsidRPr="006A26B2" w:rsidRDefault="00D76D1A" w:rsidP="00D76D1A">
                  <w:pPr>
                    <w:autoSpaceDE w:val="0"/>
                    <w:autoSpaceDN w:val="0"/>
                    <w:adjustRightInd w:val="0"/>
                    <w:jc w:val="both"/>
                    <w:rPr>
                      <w:rFonts w:cs="Arial"/>
                      <w:b/>
                      <w:szCs w:val="20"/>
                    </w:rPr>
                  </w:pPr>
                  <w:r w:rsidRPr="006A26B2">
                    <w:rPr>
                      <w:rFonts w:cs="Arial"/>
                      <w:b/>
                      <w:szCs w:val="20"/>
                    </w:rPr>
                    <w:t>-</w:t>
                  </w:r>
                </w:p>
              </w:tc>
              <w:tc>
                <w:tcPr>
                  <w:tcW w:w="443" w:type="dxa"/>
                </w:tcPr>
                <w:p w14:paraId="550E57A8" w14:textId="26351F17" w:rsidR="00D76D1A" w:rsidRPr="006A26B2" w:rsidRDefault="00D76D1A" w:rsidP="00D76D1A">
                  <w:pPr>
                    <w:autoSpaceDE w:val="0"/>
                    <w:autoSpaceDN w:val="0"/>
                    <w:adjustRightInd w:val="0"/>
                    <w:jc w:val="both"/>
                    <w:rPr>
                      <w:rFonts w:cs="Arial"/>
                      <w:b/>
                      <w:szCs w:val="20"/>
                    </w:rPr>
                  </w:pPr>
                  <w:r>
                    <w:rPr>
                      <w:rFonts w:cs="Arial"/>
                      <w:b/>
                      <w:szCs w:val="20"/>
                    </w:rPr>
                    <w:t>-</w:t>
                  </w:r>
                </w:p>
              </w:tc>
            </w:tr>
          </w:tbl>
          <w:p w14:paraId="686D6AFF" w14:textId="77777777" w:rsidR="00D76D1A" w:rsidRPr="00DC7421" w:rsidRDefault="00D76D1A" w:rsidP="00D76D1A">
            <w:pPr>
              <w:autoSpaceDE w:val="0"/>
              <w:autoSpaceDN w:val="0"/>
              <w:adjustRightInd w:val="0"/>
              <w:rPr>
                <w:rFonts w:cs="Arial"/>
                <w:b/>
                <w:bCs/>
                <w:color w:val="5F497A"/>
                <w:szCs w:val="20"/>
              </w:rPr>
            </w:pPr>
          </w:p>
          <w:p w14:paraId="48AE9A7E" w14:textId="77777777" w:rsidR="00D76D1A" w:rsidRDefault="00D76D1A" w:rsidP="00D76D1A">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6D69B627" w14:textId="77777777" w:rsidR="00D76D1A" w:rsidRDefault="00D76D1A" w:rsidP="00D76D1A">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0B7DE2F8" w14:textId="77777777" w:rsidR="00D76D1A" w:rsidRDefault="00D76D1A" w:rsidP="00D76D1A">
            <w:pPr>
              <w:autoSpaceDE w:val="0"/>
              <w:autoSpaceDN w:val="0"/>
              <w:adjustRightInd w:val="0"/>
              <w:rPr>
                <w:rFonts w:eastAsia="HelenPro-Regular" w:cs="Arial"/>
                <w:szCs w:val="20"/>
              </w:rPr>
            </w:pPr>
            <w:r>
              <w:rPr>
                <w:rFonts w:eastAsia="HelenPro-Regular" w:cs="Arial"/>
                <w:szCs w:val="20"/>
              </w:rPr>
              <w:t>-BIN for “Bilirubin Interference”</w:t>
            </w:r>
          </w:p>
          <w:p w14:paraId="307EC00F" w14:textId="77777777" w:rsidR="00D76D1A" w:rsidRDefault="00D76D1A" w:rsidP="00D76D1A">
            <w:pPr>
              <w:autoSpaceDE w:val="0"/>
              <w:autoSpaceDN w:val="0"/>
              <w:adjustRightInd w:val="0"/>
              <w:rPr>
                <w:rFonts w:eastAsia="HelenPro-Regular" w:cs="Arial"/>
                <w:szCs w:val="20"/>
              </w:rPr>
            </w:pPr>
            <w:r>
              <w:rPr>
                <w:rFonts w:eastAsia="HelenPro-Regular" w:cs="Arial"/>
                <w:szCs w:val="20"/>
              </w:rPr>
              <w:t>-LINT for “Lipid Interference”</w:t>
            </w:r>
          </w:p>
          <w:p w14:paraId="106CED26" w14:textId="77777777" w:rsidR="00D76D1A" w:rsidRDefault="00D76D1A" w:rsidP="00D76D1A">
            <w:pPr>
              <w:autoSpaceDE w:val="0"/>
              <w:autoSpaceDN w:val="0"/>
              <w:adjustRightInd w:val="0"/>
              <w:rPr>
                <w:rFonts w:eastAsia="HelenPro-Regular" w:cs="Arial"/>
                <w:szCs w:val="20"/>
              </w:rPr>
            </w:pPr>
          </w:p>
          <w:p w14:paraId="26A369EB" w14:textId="5D0E6249" w:rsidR="000A59DC" w:rsidRPr="00437425" w:rsidRDefault="00655973" w:rsidP="00D76D1A">
            <w:pPr>
              <w:autoSpaceDE w:val="0"/>
              <w:autoSpaceDN w:val="0"/>
              <w:adjustRightInd w:val="0"/>
              <w:rPr>
                <w:rFonts w:cs="Arial"/>
                <w:szCs w:val="20"/>
              </w:rPr>
            </w:pPr>
            <w:r>
              <w:rPr>
                <w:rFonts w:cs="Arial"/>
                <w:szCs w:val="20"/>
              </w:rPr>
              <w:t>Hemolyzed specimens should</w:t>
            </w:r>
            <w:r w:rsidR="000A59DC" w:rsidRPr="00334A0C">
              <w:rPr>
                <w:rFonts w:cs="Arial"/>
                <w:szCs w:val="20"/>
              </w:rPr>
              <w:t xml:space="preserve"> not be used because erythrocytes contain approximately 150 times more LDH activity.</w:t>
            </w:r>
            <w:r w:rsidR="00D76D1A" w:rsidRPr="00334A0C">
              <w:rPr>
                <w:rFonts w:cs="Arial"/>
                <w:szCs w:val="20"/>
              </w:rPr>
              <w:t xml:space="preserve">  Accurate results cannot be obtained.  Request redraw.</w:t>
            </w:r>
            <w:r w:rsidR="00D76D1A">
              <w:rPr>
                <w:rFonts w:cs="Arial"/>
                <w:szCs w:val="20"/>
              </w:rPr>
              <w:t xml:space="preserve">  Provider may request the sample be run; ensure –HP comment is appended to applicable results.</w:t>
            </w:r>
          </w:p>
          <w:p w14:paraId="5CD00011" w14:textId="53F6C617" w:rsidR="000244AC" w:rsidRPr="00DC7421" w:rsidRDefault="000244AC" w:rsidP="00DC7091">
            <w:pPr>
              <w:autoSpaceDE w:val="0"/>
              <w:autoSpaceDN w:val="0"/>
              <w:adjustRightInd w:val="0"/>
              <w:ind w:left="72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lastRenderedPageBreak/>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42C33B04" w14:textId="57616BD4" w:rsidR="00655973" w:rsidRDefault="00655973" w:rsidP="00655973">
            <w:pPr>
              <w:rPr>
                <w:rFonts w:cs="Arial"/>
                <w:szCs w:val="20"/>
              </w:rPr>
            </w:pPr>
            <w:r>
              <w:rPr>
                <w:rFonts w:cs="Arial"/>
                <w:szCs w:val="20"/>
              </w:rPr>
              <w:t>Female and Male LDH:</w:t>
            </w:r>
          </w:p>
          <w:p w14:paraId="690446F4" w14:textId="7FE72D36" w:rsidR="00655973" w:rsidRDefault="00655973" w:rsidP="00655973">
            <w:pPr>
              <w:rPr>
                <w:rFonts w:cs="Arial"/>
                <w:szCs w:val="20"/>
              </w:rPr>
            </w:pPr>
            <w:r w:rsidRPr="00655973">
              <w:rPr>
                <w:rFonts w:cs="Arial"/>
                <w:szCs w:val="20"/>
              </w:rPr>
              <w:t>0 to &lt; 15 Days</w:t>
            </w:r>
            <w:r>
              <w:rPr>
                <w:rFonts w:cs="Arial"/>
                <w:szCs w:val="20"/>
              </w:rPr>
              <w:t>:         309 - 1222</w:t>
            </w:r>
            <w:r w:rsidRPr="00655973">
              <w:rPr>
                <w:rFonts w:cs="Arial"/>
                <w:szCs w:val="20"/>
              </w:rPr>
              <w:t xml:space="preserve"> </w:t>
            </w:r>
            <w:r>
              <w:rPr>
                <w:rFonts w:cs="Arial"/>
                <w:szCs w:val="20"/>
              </w:rPr>
              <w:t>U/L</w:t>
            </w:r>
          </w:p>
          <w:p w14:paraId="5B04F213" w14:textId="401A6D1B" w:rsidR="00655973" w:rsidRDefault="00655973" w:rsidP="00655973">
            <w:pPr>
              <w:rPr>
                <w:rFonts w:cs="Arial"/>
                <w:szCs w:val="20"/>
              </w:rPr>
            </w:pPr>
            <w:r w:rsidRPr="00655973">
              <w:rPr>
                <w:rFonts w:cs="Arial"/>
                <w:szCs w:val="20"/>
              </w:rPr>
              <w:t>15 Days to &lt; 1 Year</w:t>
            </w:r>
            <w:r>
              <w:rPr>
                <w:rFonts w:cs="Arial"/>
                <w:szCs w:val="20"/>
              </w:rPr>
              <w:t>:163 - 452 U/L</w:t>
            </w:r>
          </w:p>
          <w:p w14:paraId="7369DEFF" w14:textId="19353DDF" w:rsidR="00655973" w:rsidRDefault="00655973" w:rsidP="00655973">
            <w:pPr>
              <w:rPr>
                <w:rFonts w:cs="Arial"/>
                <w:szCs w:val="20"/>
              </w:rPr>
            </w:pPr>
            <w:r w:rsidRPr="00655973">
              <w:rPr>
                <w:rFonts w:cs="Arial"/>
                <w:szCs w:val="20"/>
              </w:rPr>
              <w:t>1 to &lt; 10 Years</w:t>
            </w:r>
            <w:r>
              <w:rPr>
                <w:rFonts w:cs="Arial"/>
                <w:szCs w:val="20"/>
              </w:rPr>
              <w:t>:        192 - 321 U/L</w:t>
            </w:r>
          </w:p>
          <w:p w14:paraId="7F2A3D59" w14:textId="77777777" w:rsidR="00655973" w:rsidRDefault="00655973" w:rsidP="00655973">
            <w:pPr>
              <w:rPr>
                <w:rFonts w:cs="Arial"/>
                <w:szCs w:val="20"/>
              </w:rPr>
            </w:pPr>
            <w:r w:rsidRPr="00655973">
              <w:rPr>
                <w:rFonts w:cs="Arial"/>
                <w:szCs w:val="20"/>
              </w:rPr>
              <w:t xml:space="preserve">FEMALE:              </w:t>
            </w:r>
          </w:p>
          <w:p w14:paraId="4AF90330" w14:textId="71D3996E" w:rsidR="00655973" w:rsidRDefault="00655973" w:rsidP="00655973">
            <w:pPr>
              <w:rPr>
                <w:rFonts w:cs="Arial"/>
                <w:szCs w:val="20"/>
              </w:rPr>
            </w:pPr>
            <w:r w:rsidRPr="00655973">
              <w:rPr>
                <w:rFonts w:cs="Arial"/>
                <w:szCs w:val="20"/>
              </w:rPr>
              <w:t>10 to &lt; 15 Years:</w:t>
            </w:r>
            <w:r>
              <w:rPr>
                <w:rFonts w:cs="Arial"/>
                <w:szCs w:val="20"/>
              </w:rPr>
              <w:t xml:space="preserve"> 157 - 272 U/L</w:t>
            </w:r>
          </w:p>
          <w:p w14:paraId="77CC4437" w14:textId="10948940" w:rsidR="00655973" w:rsidRDefault="00655973" w:rsidP="00655973">
            <w:pPr>
              <w:rPr>
                <w:rFonts w:cs="Arial"/>
                <w:szCs w:val="20"/>
              </w:rPr>
            </w:pPr>
            <w:r w:rsidRPr="00655973">
              <w:rPr>
                <w:rFonts w:cs="Arial"/>
                <w:szCs w:val="20"/>
              </w:rPr>
              <w:t>15 to &lt; 19 Years:</w:t>
            </w:r>
            <w:r>
              <w:rPr>
                <w:rFonts w:cs="Arial"/>
                <w:szCs w:val="20"/>
              </w:rPr>
              <w:t xml:space="preserve"> 130 - 250 U/L</w:t>
            </w:r>
          </w:p>
          <w:p w14:paraId="3FEB7152" w14:textId="77777777" w:rsidR="00655973" w:rsidRDefault="00655973" w:rsidP="00655973">
            <w:pPr>
              <w:rPr>
                <w:rFonts w:cs="Arial"/>
                <w:szCs w:val="20"/>
              </w:rPr>
            </w:pPr>
            <w:r w:rsidRPr="00655973">
              <w:rPr>
                <w:rFonts w:cs="Arial"/>
                <w:szCs w:val="20"/>
              </w:rPr>
              <w:t xml:space="preserve">MALE:                 </w:t>
            </w:r>
          </w:p>
          <w:p w14:paraId="683464A0" w14:textId="2763B456" w:rsidR="00655973" w:rsidRDefault="00655973" w:rsidP="00655973">
            <w:pPr>
              <w:rPr>
                <w:rFonts w:cs="Arial"/>
                <w:szCs w:val="20"/>
              </w:rPr>
            </w:pPr>
            <w:r w:rsidRPr="00655973">
              <w:rPr>
                <w:rFonts w:cs="Arial"/>
                <w:szCs w:val="20"/>
              </w:rPr>
              <w:t>10 to &lt; 15 Years:</w:t>
            </w:r>
            <w:r>
              <w:rPr>
                <w:rFonts w:cs="Arial"/>
                <w:szCs w:val="20"/>
              </w:rPr>
              <w:t xml:space="preserve">   170 - 283 U/L</w:t>
            </w:r>
          </w:p>
          <w:p w14:paraId="75D274C2" w14:textId="1959632D" w:rsidR="00655973" w:rsidRDefault="00655973" w:rsidP="00655973">
            <w:pPr>
              <w:rPr>
                <w:rFonts w:cs="Arial"/>
                <w:szCs w:val="20"/>
              </w:rPr>
            </w:pPr>
            <w:r>
              <w:rPr>
                <w:rFonts w:cs="Arial"/>
                <w:szCs w:val="20"/>
              </w:rPr>
              <w:t>15 to &lt; 19 Years:  130  -250 U/L</w:t>
            </w:r>
          </w:p>
          <w:p w14:paraId="62177E27" w14:textId="183F41B2" w:rsidR="00655973" w:rsidRDefault="00655973" w:rsidP="00655973">
            <w:pPr>
              <w:rPr>
                <w:rFonts w:cs="Arial"/>
                <w:szCs w:val="20"/>
              </w:rPr>
            </w:pPr>
            <w:r>
              <w:rPr>
                <w:rFonts w:cs="Arial"/>
                <w:szCs w:val="20"/>
              </w:rPr>
              <w:t>ADULT MALE AND FEMALE: 125 -</w:t>
            </w:r>
            <w:r w:rsidRPr="00655973">
              <w:rPr>
                <w:rFonts w:cs="Arial"/>
                <w:szCs w:val="20"/>
              </w:rPr>
              <w:t xml:space="preserve"> 2</w:t>
            </w:r>
            <w:r>
              <w:rPr>
                <w:rFonts w:cs="Arial"/>
                <w:szCs w:val="20"/>
              </w:rPr>
              <w:t>20 U/L</w:t>
            </w:r>
          </w:p>
          <w:p w14:paraId="7F4E7C40" w14:textId="77777777" w:rsidR="00CE7E87" w:rsidRDefault="00CE7E87" w:rsidP="00655973">
            <w:pPr>
              <w:rPr>
                <w:rFonts w:cs="Arial"/>
                <w:szCs w:val="20"/>
              </w:rPr>
            </w:pPr>
          </w:p>
          <w:p w14:paraId="010195E5" w14:textId="34E0225F" w:rsidR="00CE7E87" w:rsidRPr="00DC7421" w:rsidRDefault="00CE7E87" w:rsidP="00655973">
            <w:pPr>
              <w:rPr>
                <w:rFonts w:cs="Arial"/>
                <w:szCs w:val="20"/>
              </w:rPr>
            </w:pPr>
            <w:r>
              <w:rPr>
                <w:rFonts w:cs="Arial"/>
                <w:szCs w:val="20"/>
              </w:rPr>
              <w:t>No claims are made for reference intervals on LDH in body fluids.</w:t>
            </w:r>
          </w:p>
          <w:p w14:paraId="5CD00018" w14:textId="5A2D5894" w:rsidR="0039587D" w:rsidRPr="00DC7421" w:rsidRDefault="0039587D" w:rsidP="00655973">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3D054BA1"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4DC80468" w:rsidR="00E3253B" w:rsidRPr="00DC7421" w:rsidRDefault="00655973"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70651A24" w14:textId="77777777" w:rsidR="00DC7421" w:rsidRDefault="000A59DC" w:rsidP="000A59DC">
            <w:pPr>
              <w:autoSpaceDE w:val="0"/>
              <w:autoSpaceDN w:val="0"/>
              <w:adjustRightInd w:val="0"/>
              <w:rPr>
                <w:rFonts w:cs="Arial"/>
                <w:bCs/>
                <w:szCs w:val="20"/>
              </w:rPr>
            </w:pPr>
            <w:r w:rsidRPr="000A59DC">
              <w:rPr>
                <w:rFonts w:cs="Arial"/>
                <w:bCs/>
                <w:szCs w:val="20"/>
              </w:rPr>
              <w:t>Liquid anticoagulants may have a dilution effect resulting in lower</w:t>
            </w:r>
            <w:r>
              <w:rPr>
                <w:rFonts w:cs="Arial"/>
                <w:bCs/>
                <w:szCs w:val="20"/>
              </w:rPr>
              <w:t xml:space="preserve"> </w:t>
            </w:r>
            <w:r w:rsidRPr="000A59DC">
              <w:rPr>
                <w:rFonts w:cs="Arial"/>
                <w:bCs/>
                <w:szCs w:val="20"/>
              </w:rPr>
              <w:t>concentrations for individual patient specimens.</w:t>
            </w:r>
          </w:p>
          <w:p w14:paraId="0D5DF335" w14:textId="77777777" w:rsidR="00655973" w:rsidRDefault="00655973" w:rsidP="000A59DC">
            <w:pPr>
              <w:autoSpaceDE w:val="0"/>
              <w:autoSpaceDN w:val="0"/>
              <w:adjustRightInd w:val="0"/>
              <w:rPr>
                <w:rFonts w:cs="Arial"/>
                <w:bCs/>
                <w:szCs w:val="20"/>
              </w:rPr>
            </w:pPr>
          </w:p>
          <w:p w14:paraId="1593687D" w14:textId="77777777" w:rsidR="00CE7E87" w:rsidRDefault="00655973" w:rsidP="000A59DC">
            <w:pPr>
              <w:autoSpaceDE w:val="0"/>
              <w:autoSpaceDN w:val="0"/>
              <w:adjustRightInd w:val="0"/>
              <w:rPr>
                <w:rFonts w:cs="Arial"/>
                <w:bCs/>
                <w:szCs w:val="20"/>
              </w:rPr>
            </w:pPr>
            <w:r>
              <w:rPr>
                <w:rFonts w:cs="Arial"/>
                <w:bCs/>
                <w:szCs w:val="20"/>
              </w:rPr>
              <w:t xml:space="preserve">See interferences section regarding hemolysis.  </w:t>
            </w:r>
          </w:p>
          <w:p w14:paraId="7C88032A" w14:textId="77777777" w:rsidR="00CE7E87" w:rsidRDefault="00CE7E87" w:rsidP="000A59DC">
            <w:pPr>
              <w:autoSpaceDE w:val="0"/>
              <w:autoSpaceDN w:val="0"/>
              <w:adjustRightInd w:val="0"/>
              <w:rPr>
                <w:rFonts w:cs="Arial"/>
                <w:bCs/>
                <w:szCs w:val="20"/>
              </w:rPr>
            </w:pPr>
          </w:p>
          <w:p w14:paraId="68480188" w14:textId="35E709E3" w:rsidR="00655973" w:rsidRDefault="00CE7E87" w:rsidP="000A59DC">
            <w:pPr>
              <w:autoSpaceDE w:val="0"/>
              <w:autoSpaceDN w:val="0"/>
              <w:adjustRightInd w:val="0"/>
              <w:rPr>
                <w:rFonts w:cs="Arial"/>
                <w:bCs/>
                <w:szCs w:val="20"/>
              </w:rPr>
            </w:pPr>
            <w:r>
              <w:rPr>
                <w:rFonts w:cs="Arial"/>
                <w:bCs/>
                <w:szCs w:val="20"/>
              </w:rPr>
              <w:t>Do not dilute body fluids for LDH.</w:t>
            </w:r>
            <w:r w:rsidR="00655973">
              <w:rPr>
                <w:rFonts w:cs="Arial"/>
                <w:bCs/>
                <w:szCs w:val="20"/>
              </w:rPr>
              <w:t xml:space="preserve"> </w:t>
            </w:r>
          </w:p>
          <w:p w14:paraId="5CD00021" w14:textId="2E6B95F8" w:rsidR="000A59DC" w:rsidRPr="00DC7421" w:rsidRDefault="000A59DC" w:rsidP="000A59DC">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7B732A7E" w14:textId="4D1F222D" w:rsidR="00F83DB0" w:rsidRDefault="00ED3600" w:rsidP="00F83DB0">
                  <w:pPr>
                    <w:autoSpaceDE w:val="0"/>
                    <w:autoSpaceDN w:val="0"/>
                    <w:adjustRightInd w:val="0"/>
                    <w:rPr>
                      <w:rFonts w:cs="Arial"/>
                      <w:szCs w:val="20"/>
                    </w:rPr>
                  </w:pPr>
                  <w:r>
                    <w:rPr>
                      <w:rFonts w:cs="Arial"/>
                      <w:szCs w:val="20"/>
                    </w:rPr>
                    <w:t xml:space="preserve">Serum or Plasma:  </w:t>
                  </w:r>
                  <w:bookmarkStart w:id="0" w:name="_GoBack"/>
                  <w:bookmarkEnd w:id="0"/>
                  <w:r w:rsidR="00422CB7" w:rsidRPr="00655973">
                    <w:rPr>
                      <w:rFonts w:cs="Arial"/>
                      <w:szCs w:val="20"/>
                    </w:rPr>
                    <w:t>1:5</w:t>
                  </w:r>
                  <w:r w:rsidR="00CE7E87">
                    <w:rPr>
                      <w:rFonts w:cs="Arial"/>
                      <w:szCs w:val="20"/>
                    </w:rPr>
                    <w:t xml:space="preserve">  </w:t>
                  </w:r>
                </w:p>
                <w:p w14:paraId="1B18B669" w14:textId="7BE590C4" w:rsidR="00CE7E87" w:rsidRPr="00655973" w:rsidRDefault="00CE7E87" w:rsidP="00F83DB0">
                  <w:pPr>
                    <w:autoSpaceDE w:val="0"/>
                    <w:autoSpaceDN w:val="0"/>
                    <w:adjustRightInd w:val="0"/>
                    <w:rPr>
                      <w:rFonts w:cs="Arial"/>
                      <w:szCs w:val="20"/>
                    </w:rPr>
                  </w:pPr>
                  <w:r>
                    <w:rPr>
                      <w:rFonts w:cs="Arial"/>
                      <w:szCs w:val="20"/>
                    </w:rPr>
                    <w:t>Do not dilute body fluids.</w:t>
                  </w:r>
                </w:p>
              </w:tc>
            </w:tr>
            <w:tr w:rsidR="00F83DB0" w:rsidRPr="00EC40A2" w14:paraId="4B91BF23" w14:textId="77777777" w:rsidTr="00A23086">
              <w:trPr>
                <w:trHeight w:val="485"/>
              </w:trPr>
              <w:tc>
                <w:tcPr>
                  <w:tcW w:w="1867" w:type="dxa"/>
                </w:tcPr>
                <w:p w14:paraId="7B3C43FE" w14:textId="0C322C99"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40A01BC5" w:rsidR="00F83DB0" w:rsidRPr="00655973" w:rsidRDefault="00A23086" w:rsidP="00F83DB0">
                  <w:pPr>
                    <w:autoSpaceDE w:val="0"/>
                    <w:autoSpaceDN w:val="0"/>
                    <w:adjustRightInd w:val="0"/>
                    <w:rPr>
                      <w:rFonts w:cs="Arial"/>
                      <w:szCs w:val="20"/>
                    </w:rPr>
                  </w:pPr>
                  <w:r w:rsidRPr="00655973">
                    <w:rPr>
                      <w:rFonts w:cs="Arial"/>
                      <w:szCs w:val="20"/>
                    </w:rPr>
                    <w:t>Not specified</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1A6DD2A4" w:rsidR="00F83DB0" w:rsidRPr="00EC40A2" w:rsidRDefault="00655973" w:rsidP="00F83DB0">
                  <w:pPr>
                    <w:autoSpaceDE w:val="0"/>
                    <w:autoSpaceDN w:val="0"/>
                    <w:adjustRightInd w:val="0"/>
                    <w:rPr>
                      <w:rFonts w:cs="Arial"/>
                      <w:szCs w:val="20"/>
                    </w:rPr>
                  </w:pPr>
                  <w:r>
                    <w:rPr>
                      <w:rFonts w:cs="Arial"/>
                      <w:szCs w:val="20"/>
                    </w:rPr>
                    <w:t xml:space="preserve">Onboard </w:t>
                  </w:r>
                  <w:r w:rsidR="00A23086">
                    <w:rPr>
                      <w:rFonts w:cs="Arial"/>
                      <w:szCs w:val="20"/>
                    </w:rPr>
                    <w:t>Saline</w:t>
                  </w:r>
                </w:p>
              </w:tc>
            </w:tr>
            <w:tr w:rsidR="00F83DB0" w:rsidRPr="00EC40A2" w14:paraId="130A8B4A" w14:textId="77777777" w:rsidTr="005C0FCC">
              <w:tc>
                <w:tcPr>
                  <w:tcW w:w="1867" w:type="dxa"/>
                </w:tcPr>
                <w:p w14:paraId="3BF17F7E" w14:textId="067DE8B0" w:rsidR="00F83DB0" w:rsidRPr="00EC40A2" w:rsidRDefault="00655973" w:rsidP="00F83DB0">
                  <w:pPr>
                    <w:rPr>
                      <w:rFonts w:cs="Arial"/>
                      <w:szCs w:val="20"/>
                    </w:rPr>
                  </w:pPr>
                  <w:r>
                    <w:rPr>
                      <w:rFonts w:cs="Arial"/>
                      <w:szCs w:val="20"/>
                    </w:rPr>
                    <w:t>Automated</w:t>
                  </w:r>
                  <w:r w:rsidR="00F83DB0" w:rsidRPr="00EC40A2">
                    <w:rPr>
                      <w:rFonts w:cs="Arial"/>
                      <w:szCs w:val="20"/>
                    </w:rPr>
                    <w:t xml:space="preserve"> Dilution:</w:t>
                  </w:r>
                </w:p>
              </w:tc>
              <w:tc>
                <w:tcPr>
                  <w:tcW w:w="7200" w:type="dxa"/>
                </w:tcPr>
                <w:p w14:paraId="3AB4E9ED" w14:textId="77777777"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7"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699D21AC"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of the measuring interval of </w:t>
                  </w:r>
                  <w:r w:rsidR="00655973">
                    <w:rPr>
                      <w:rFonts w:eastAsia="HelenPro-Regular" w:cs="Arial"/>
                      <w:szCs w:val="20"/>
                    </w:rPr>
                    <w:t>30</w:t>
                  </w:r>
                  <w:r w:rsidRPr="00655973">
                    <w:rPr>
                      <w:rFonts w:eastAsia="HelenPro-Regular" w:cs="Arial"/>
                      <w:szCs w:val="20"/>
                    </w:rPr>
                    <w:t>, do</w:t>
                  </w:r>
                  <w:r w:rsidRPr="00EC40A2">
                    <w:rPr>
                      <w:rFonts w:eastAsia="HelenPro-Regular" w:cs="Arial"/>
                      <w:szCs w:val="20"/>
                    </w:rPr>
                    <w:t xml:space="preserve">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ACCE524" w14:textId="517F924F" w:rsidR="00CE7E87" w:rsidRDefault="00CE7E87" w:rsidP="00CE7E87">
            <w:pPr>
              <w:pStyle w:val="Header"/>
              <w:tabs>
                <w:tab w:val="clear" w:pos="4320"/>
                <w:tab w:val="clear" w:pos="8640"/>
              </w:tabs>
              <w:rPr>
                <w:rFonts w:cs="Arial"/>
                <w:szCs w:val="20"/>
              </w:rPr>
            </w:pPr>
            <w:r>
              <w:rPr>
                <w:rFonts w:cs="Arial"/>
                <w:szCs w:val="20"/>
              </w:rPr>
              <w:t>Serum or Plasma:</w:t>
            </w:r>
          </w:p>
          <w:p w14:paraId="7EEC7ABE" w14:textId="7CC80432"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655973">
              <w:rPr>
                <w:rFonts w:cs="Arial"/>
                <w:szCs w:val="20"/>
              </w:rPr>
              <w:t>30</w:t>
            </w:r>
            <w:r w:rsidR="00E47DE5">
              <w:rPr>
                <w:rFonts w:cs="Arial"/>
                <w:szCs w:val="20"/>
              </w:rPr>
              <w:t xml:space="preserve"> </w:t>
            </w:r>
            <w:r>
              <w:rPr>
                <w:rFonts w:cs="Arial"/>
                <w:szCs w:val="20"/>
              </w:rPr>
              <w:t xml:space="preserve">and </w:t>
            </w:r>
            <w:r w:rsidR="00655973">
              <w:rPr>
                <w:rFonts w:cs="Arial"/>
                <w:szCs w:val="20"/>
              </w:rPr>
              <w:t>4500</w:t>
            </w:r>
            <w:r w:rsidR="00E47DE5" w:rsidRPr="00DC7421">
              <w:rPr>
                <w:rFonts w:cs="Arial"/>
                <w:szCs w:val="20"/>
              </w:rPr>
              <w:t xml:space="preserve"> </w:t>
            </w:r>
            <w:r w:rsidRPr="00DC7421">
              <w:rPr>
                <w:rFonts w:cs="Arial"/>
                <w:szCs w:val="20"/>
              </w:rPr>
              <w:t>without error messages are released</w:t>
            </w:r>
          </w:p>
          <w:p w14:paraId="512DB6C5" w14:textId="79164E0B" w:rsidR="00F84C8E" w:rsidRPr="00DC7421" w:rsidRDefault="00F84C8E" w:rsidP="00F84C8E">
            <w:pPr>
              <w:numPr>
                <w:ilvl w:val="0"/>
                <w:numId w:val="40"/>
              </w:numPr>
              <w:rPr>
                <w:rFonts w:cs="Arial"/>
                <w:szCs w:val="20"/>
              </w:rPr>
            </w:pPr>
            <w:r>
              <w:rPr>
                <w:rFonts w:cs="Arial"/>
                <w:szCs w:val="20"/>
              </w:rPr>
              <w:t xml:space="preserve">Results below </w:t>
            </w:r>
            <w:r w:rsidR="00655973">
              <w:rPr>
                <w:rFonts w:cs="Arial"/>
                <w:szCs w:val="20"/>
              </w:rPr>
              <w:t>30</w:t>
            </w:r>
            <w:r w:rsidR="00E47DE5">
              <w:rPr>
                <w:rFonts w:cs="Arial"/>
                <w:szCs w:val="20"/>
              </w:rPr>
              <w:t xml:space="preserve"> </w:t>
            </w:r>
            <w:r>
              <w:rPr>
                <w:rFonts w:cs="Arial"/>
                <w:szCs w:val="20"/>
              </w:rPr>
              <w:t xml:space="preserve">without error messages are reported as &lt; </w:t>
            </w:r>
            <w:r w:rsidR="00655973">
              <w:rPr>
                <w:rFonts w:cs="Arial"/>
                <w:szCs w:val="20"/>
              </w:rPr>
              <w:t>30 U/L</w:t>
            </w:r>
            <w:r>
              <w:rPr>
                <w:rFonts w:cs="Arial"/>
                <w:szCs w:val="20"/>
              </w:rPr>
              <w:t>.</w:t>
            </w:r>
          </w:p>
          <w:p w14:paraId="61C98532" w14:textId="7B2A3384" w:rsidR="00F84C8E" w:rsidRDefault="00F84C8E" w:rsidP="00F84C8E">
            <w:pPr>
              <w:numPr>
                <w:ilvl w:val="0"/>
                <w:numId w:val="40"/>
              </w:numPr>
              <w:rPr>
                <w:rFonts w:cs="Arial"/>
                <w:szCs w:val="20"/>
              </w:rPr>
            </w:pPr>
            <w:r>
              <w:rPr>
                <w:rFonts w:cs="Arial"/>
                <w:szCs w:val="20"/>
              </w:rPr>
              <w:t>Results &gt;</w:t>
            </w:r>
            <w:r w:rsidR="00655973">
              <w:rPr>
                <w:rFonts w:cs="Arial"/>
                <w:szCs w:val="20"/>
              </w:rPr>
              <w:t xml:space="preserve"> 4500 </w:t>
            </w:r>
            <w:r>
              <w:rPr>
                <w:rFonts w:cs="Arial"/>
                <w:szCs w:val="20"/>
              </w:rPr>
              <w:t>should be diluted using the onboard automated</w:t>
            </w:r>
            <w:r w:rsidR="00655973">
              <w:rPr>
                <w:rFonts w:cs="Arial"/>
                <w:szCs w:val="20"/>
              </w:rPr>
              <w:t xml:space="preserve"> dilution of 1:5.</w:t>
            </w:r>
            <w:r>
              <w:rPr>
                <w:rFonts w:cs="Arial"/>
                <w:szCs w:val="20"/>
              </w:rPr>
              <w:t xml:space="preserve">  Release results without error messages following this dilution.</w:t>
            </w:r>
          </w:p>
          <w:p w14:paraId="1516BBCC" w14:textId="0738B932" w:rsidR="00EA580E" w:rsidRDefault="00F84C8E" w:rsidP="00F84C8E">
            <w:pPr>
              <w:numPr>
                <w:ilvl w:val="0"/>
                <w:numId w:val="40"/>
              </w:numPr>
              <w:rPr>
                <w:rFonts w:cs="Arial"/>
                <w:szCs w:val="20"/>
              </w:rPr>
            </w:pPr>
            <w:r>
              <w:rPr>
                <w:rFonts w:cs="Arial"/>
                <w:szCs w:val="20"/>
              </w:rPr>
              <w:t xml:space="preserve">Results &gt; </w:t>
            </w:r>
            <w:r w:rsidR="00655973">
              <w:rPr>
                <w:rFonts w:cs="Arial"/>
                <w:szCs w:val="20"/>
              </w:rPr>
              <w:t>22500</w:t>
            </w:r>
            <w:r w:rsidR="00E47DE5" w:rsidRPr="00A166AA">
              <w:rPr>
                <w:rFonts w:cs="Arial"/>
                <w:szCs w:val="20"/>
              </w:rPr>
              <w:t xml:space="preserve"> </w:t>
            </w:r>
            <w:r w:rsidRPr="00A166AA">
              <w:rPr>
                <w:rFonts w:cs="Arial"/>
                <w:szCs w:val="20"/>
              </w:rPr>
              <w:t>following automate</w:t>
            </w:r>
            <w:r>
              <w:rPr>
                <w:rFonts w:cs="Arial"/>
                <w:szCs w:val="20"/>
              </w:rPr>
              <w:t xml:space="preserve">d dilution are reported as &gt; </w:t>
            </w:r>
            <w:r w:rsidR="00655973">
              <w:rPr>
                <w:rFonts w:cs="Arial"/>
                <w:szCs w:val="20"/>
              </w:rPr>
              <w:t>22500</w:t>
            </w:r>
            <w:r w:rsidRPr="00A166AA">
              <w:rPr>
                <w:rFonts w:cs="Arial"/>
                <w:szCs w:val="20"/>
              </w:rPr>
              <w:t>.</w:t>
            </w:r>
          </w:p>
          <w:p w14:paraId="30EFAF55" w14:textId="77777777" w:rsidR="00CE7E87" w:rsidRDefault="00CE7E87" w:rsidP="00CE7E87">
            <w:pPr>
              <w:rPr>
                <w:rFonts w:cs="Arial"/>
                <w:szCs w:val="20"/>
              </w:rPr>
            </w:pPr>
          </w:p>
          <w:p w14:paraId="76261ABB" w14:textId="77777777" w:rsidR="00CE7E87" w:rsidRDefault="00CE7E87" w:rsidP="00CE7E87">
            <w:pPr>
              <w:rPr>
                <w:rFonts w:cs="Arial"/>
                <w:szCs w:val="20"/>
              </w:rPr>
            </w:pPr>
            <w:r>
              <w:rPr>
                <w:rFonts w:cs="Arial"/>
                <w:szCs w:val="20"/>
              </w:rPr>
              <w:t>Body Fluid LDH:</w:t>
            </w:r>
          </w:p>
          <w:p w14:paraId="2EDC6362" w14:textId="77777777" w:rsidR="00CE7E87" w:rsidRDefault="00CE7E87" w:rsidP="00CE7E87">
            <w:pPr>
              <w:pStyle w:val="ListParagraph"/>
              <w:numPr>
                <w:ilvl w:val="0"/>
                <w:numId w:val="42"/>
              </w:numPr>
              <w:rPr>
                <w:rFonts w:cs="Arial"/>
                <w:szCs w:val="20"/>
              </w:rPr>
            </w:pPr>
            <w:r>
              <w:rPr>
                <w:rFonts w:cs="Arial"/>
                <w:szCs w:val="20"/>
              </w:rPr>
              <w:t xml:space="preserve">Results between 30 and 1000 u/L are released.  </w:t>
            </w:r>
          </w:p>
          <w:p w14:paraId="27BF0E8A" w14:textId="540CC0C3" w:rsidR="00CE7E87" w:rsidRDefault="00CE7E87" w:rsidP="00CE7E87">
            <w:pPr>
              <w:pStyle w:val="ListParagraph"/>
              <w:numPr>
                <w:ilvl w:val="0"/>
                <w:numId w:val="42"/>
              </w:numPr>
              <w:rPr>
                <w:rFonts w:cs="Arial"/>
                <w:szCs w:val="20"/>
              </w:rPr>
            </w:pPr>
            <w:r>
              <w:rPr>
                <w:rFonts w:cs="Arial"/>
                <w:szCs w:val="20"/>
              </w:rPr>
              <w:t>Results &lt;30 should be reported as &lt;30 U/L.</w:t>
            </w:r>
          </w:p>
          <w:p w14:paraId="2383197C" w14:textId="084BDC59" w:rsidR="00CE7E87" w:rsidRPr="00CE7E87" w:rsidRDefault="00CE7E87" w:rsidP="00CE7E87">
            <w:pPr>
              <w:pStyle w:val="ListParagraph"/>
              <w:numPr>
                <w:ilvl w:val="0"/>
                <w:numId w:val="42"/>
              </w:numPr>
              <w:rPr>
                <w:rFonts w:cs="Arial"/>
                <w:szCs w:val="20"/>
              </w:rPr>
            </w:pPr>
            <w:r>
              <w:rPr>
                <w:rFonts w:cs="Arial"/>
                <w:szCs w:val="20"/>
              </w:rPr>
              <w:t>Results &gt;1000 U/L should be reported as &gt;1000 U/L.</w:t>
            </w:r>
          </w:p>
          <w:p w14:paraId="5CD0003C" w14:textId="77777777" w:rsidR="00F83DB0" w:rsidRPr="00DC7421" w:rsidRDefault="00F83DB0" w:rsidP="00655973">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77758083"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6150FE33" w14:textId="77777777" w:rsidR="00CE7E87" w:rsidRDefault="00CE7E87">
            <w:pPr>
              <w:pStyle w:val="Header"/>
              <w:tabs>
                <w:tab w:val="clear" w:pos="4320"/>
                <w:tab w:val="clear" w:pos="8640"/>
              </w:tabs>
              <w:rPr>
                <w:rFonts w:cs="Arial"/>
                <w:szCs w:val="20"/>
              </w:rPr>
            </w:pPr>
            <w:r>
              <w:rPr>
                <w:rFonts w:cs="Arial"/>
                <w:szCs w:val="20"/>
              </w:rPr>
              <w:t>Serum or Plasma:</w:t>
            </w:r>
          </w:p>
          <w:p w14:paraId="331EB328" w14:textId="77777777" w:rsidR="00E3253B"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00D54AC0">
              <w:rPr>
                <w:rFonts w:cs="Arial"/>
                <w:szCs w:val="20"/>
              </w:rPr>
              <w:t xml:space="preserve"> Samples are retained 14</w:t>
            </w:r>
            <w:r w:rsidRPr="00DC7421">
              <w:rPr>
                <w:rFonts w:cs="Arial"/>
                <w:szCs w:val="20"/>
              </w:rPr>
              <w:t xml:space="preserve"> d</w:t>
            </w:r>
            <w:r w:rsidR="00DC7421">
              <w:rPr>
                <w:rFonts w:cs="Arial"/>
                <w:szCs w:val="20"/>
              </w:rPr>
              <w:t>ays in specimen storage freezer.</w:t>
            </w:r>
          </w:p>
          <w:p w14:paraId="3BCBD76E" w14:textId="77777777" w:rsidR="00CE7E87" w:rsidRDefault="00CE7E87">
            <w:pPr>
              <w:pStyle w:val="Header"/>
              <w:tabs>
                <w:tab w:val="clear" w:pos="4320"/>
                <w:tab w:val="clear" w:pos="8640"/>
              </w:tabs>
              <w:rPr>
                <w:rFonts w:cs="Arial"/>
                <w:szCs w:val="20"/>
              </w:rPr>
            </w:pPr>
            <w:r>
              <w:rPr>
                <w:rFonts w:cs="Arial"/>
                <w:szCs w:val="20"/>
              </w:rPr>
              <w:t>Body Fluid:</w:t>
            </w:r>
          </w:p>
          <w:p w14:paraId="5CD0003F" w14:textId="0747DBEE" w:rsidR="00CE7E87" w:rsidRPr="00DC7421" w:rsidRDefault="00CE7E87">
            <w:pPr>
              <w:pStyle w:val="Header"/>
              <w:tabs>
                <w:tab w:val="clear" w:pos="4320"/>
                <w:tab w:val="clear" w:pos="8640"/>
              </w:tabs>
              <w:rPr>
                <w:rFonts w:cs="Arial"/>
                <w:szCs w:val="20"/>
              </w:rPr>
            </w:pPr>
            <w:r w:rsidRPr="00CE7E87">
              <w:rPr>
                <w:rFonts w:cs="Arial"/>
                <w:szCs w:val="20"/>
              </w:rPr>
              <w:t>Promptly stopper tested specimen and store upright in a specimen rack.  Every 8 hours remove specimens to refrigerator/freezer sto</w:t>
            </w:r>
            <w:r>
              <w:rPr>
                <w:rFonts w:cs="Arial"/>
                <w:szCs w:val="20"/>
              </w:rPr>
              <w:t>rage.  Samples are retained 7 days in specimen storage refrigerator.</w:t>
            </w:r>
          </w:p>
        </w:tc>
      </w:tr>
      <w:tr w:rsidR="00E3253B" w14:paraId="5CD00047" w14:textId="77777777" w:rsidTr="000704CC">
        <w:trPr>
          <w:tblHeader/>
        </w:trPr>
        <w:tc>
          <w:tcPr>
            <w:tcW w:w="1800" w:type="dxa"/>
            <w:tcBorders>
              <w:top w:val="nil"/>
              <w:left w:val="nil"/>
              <w:bottom w:val="nil"/>
              <w:right w:val="nil"/>
            </w:tcBorders>
          </w:tcPr>
          <w:p w14:paraId="5CD00041" w14:textId="16145EE5"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14:paraId="78224407" w14:textId="7AE8692C" w:rsidR="00655973" w:rsidRPr="00655973" w:rsidRDefault="00655973" w:rsidP="00655973">
            <w:pPr>
              <w:numPr>
                <w:ilvl w:val="0"/>
                <w:numId w:val="33"/>
              </w:numPr>
              <w:rPr>
                <w:rFonts w:cs="Arial"/>
                <w:szCs w:val="20"/>
              </w:rPr>
            </w:pPr>
            <w:r>
              <w:rPr>
                <w:rFonts w:cs="Arial"/>
                <w:szCs w:val="20"/>
              </w:rPr>
              <w:t>Abbott Alinity c Lactate Dehydrogenase</w:t>
            </w:r>
            <w:r w:rsidRPr="00655973">
              <w:rPr>
                <w:rFonts w:cs="Arial"/>
                <w:szCs w:val="20"/>
              </w:rPr>
              <w:t xml:space="preserve"> Reagent Kit Instructions for Use, Abbott Diagnostics Division, Abbott Park, IL USA.  Revised February 2018.</w:t>
            </w:r>
          </w:p>
          <w:p w14:paraId="5F1EBD08" w14:textId="77777777" w:rsidR="00655973" w:rsidRPr="00655973" w:rsidRDefault="00655973" w:rsidP="00655973">
            <w:pPr>
              <w:numPr>
                <w:ilvl w:val="0"/>
                <w:numId w:val="33"/>
              </w:numPr>
              <w:rPr>
                <w:rFonts w:cs="Arial"/>
                <w:szCs w:val="20"/>
              </w:rPr>
            </w:pPr>
            <w:r w:rsidRPr="00655973">
              <w:rPr>
                <w:rFonts w:cs="Arial"/>
                <w:szCs w:val="20"/>
              </w:rPr>
              <w:t>Bio-Rad Liquichek Multiqual 1</w:t>
            </w:r>
            <w:proofErr w:type="gramStart"/>
            <w:r w:rsidRPr="00655973">
              <w:rPr>
                <w:rFonts w:cs="Arial"/>
                <w:szCs w:val="20"/>
              </w:rPr>
              <w:t>,2,3</w:t>
            </w:r>
            <w:proofErr w:type="gramEnd"/>
            <w:r w:rsidRPr="00655973">
              <w:rPr>
                <w:rFonts w:cs="Arial"/>
                <w:szCs w:val="20"/>
              </w:rPr>
              <w:t>, Unassayed Control Package Insert, Bio-Rad Laboratories, Irvine CA, USA.</w:t>
            </w:r>
          </w:p>
          <w:p w14:paraId="5CD00046" w14:textId="3946B7C5" w:rsidR="00E3253B" w:rsidRPr="00DC7421" w:rsidRDefault="00655973" w:rsidP="00655973">
            <w:pPr>
              <w:numPr>
                <w:ilvl w:val="0"/>
                <w:numId w:val="33"/>
              </w:numPr>
              <w:rPr>
                <w:rFonts w:cs="Arial"/>
                <w:szCs w:val="20"/>
              </w:rPr>
            </w:pPr>
            <w:r w:rsidRPr="00655973">
              <w:rPr>
                <w:rFonts w:cs="Arial"/>
                <w:szCs w:val="20"/>
              </w:rPr>
              <w:t>CALIPER Reference Range Studies.  Accessed October 27, 2020.</w:t>
            </w:r>
          </w:p>
        </w:tc>
      </w:tr>
      <w:tr w:rsidR="00F50200" w14:paraId="5CD0004D" w14:textId="77777777" w:rsidTr="000704CC">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0704C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4117A5F6"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292C4757" w:rsidR="00F50200" w:rsidRPr="00DC7421" w:rsidRDefault="00873AEC">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21AE7B17" w:rsidR="00F50200" w:rsidRPr="00DC7421" w:rsidRDefault="00873AEC">
            <w:pPr>
              <w:rPr>
                <w:rFonts w:cs="Arial"/>
                <w:iCs/>
                <w:szCs w:val="20"/>
              </w:rPr>
            </w:pPr>
            <w:r>
              <w:rPr>
                <w:rFonts w:cs="Arial"/>
                <w:iCs/>
                <w:szCs w:val="20"/>
              </w:rPr>
              <w:t>April 21,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0704C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5B32D55" w:rsidR="00F50200" w:rsidRPr="00F84C8E" w:rsidRDefault="00655973" w:rsidP="00655973">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45DEB892" w:rsidR="00F50200" w:rsidRPr="00F84C8E" w:rsidRDefault="00655973">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0C5B96B4" w:rsidR="00F50200" w:rsidRPr="00F84C8E" w:rsidRDefault="00655973">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6C9575F4" w:rsidR="00F50200" w:rsidRPr="00F84C8E" w:rsidRDefault="00655973">
            <w:pPr>
              <w:rPr>
                <w:rFonts w:cs="Arial"/>
                <w:iCs/>
                <w:szCs w:val="20"/>
              </w:rPr>
            </w:pPr>
            <w:r>
              <w:rPr>
                <w:rFonts w:cs="Arial"/>
                <w:iCs/>
                <w:szCs w:val="20"/>
              </w:rPr>
              <w:t xml:space="preserve">Added AMR, dilutions, reference intervals, </w:t>
            </w:r>
            <w:r w:rsidR="000704CC">
              <w:rPr>
                <w:rFonts w:cs="Arial"/>
                <w:iCs/>
                <w:szCs w:val="20"/>
              </w:rPr>
              <w:t>references, interferences section, corrected Alinity in Mpls.</w:t>
            </w:r>
          </w:p>
        </w:tc>
      </w:tr>
    </w:tbl>
    <w:p w14:paraId="5CD0005A" w14:textId="77777777" w:rsidR="00E3253B" w:rsidRPr="00BC1DCC" w:rsidRDefault="00E3253B" w:rsidP="007132A9">
      <w:pPr>
        <w:rPr>
          <w:rFonts w:cs="Arial"/>
        </w:rPr>
      </w:pPr>
    </w:p>
    <w:sectPr w:rsidR="00E3253B" w:rsidRPr="00BC1DCC" w:rsidSect="008F2C66">
      <w:headerReference w:type="default" r:id="rId18"/>
      <w:footerReference w:type="defaul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panose1 w:val="00000000000000000000"/>
    <w:charset w:val="00"/>
    <w:family w:val="swiss"/>
    <w:notTrueType/>
    <w:pitch w:val="default"/>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29AD0323"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ED3600">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ED3600">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159D4159"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0E4084">
      <w:rPr>
        <w:rFonts w:cs="Arial"/>
      </w:rPr>
      <w:t>6.531</w:t>
    </w:r>
    <w:r w:rsidR="0085538B">
      <w:rPr>
        <w:rFonts w:cs="Arial"/>
      </w:rPr>
      <w:t xml:space="preserve"> </w:t>
    </w:r>
    <w:r w:rsidR="000E4084">
      <w:rPr>
        <w:rFonts w:cs="Arial"/>
      </w:rPr>
      <w:t>LDH (</w:t>
    </w:r>
    <w:r w:rsidR="0085538B" w:rsidRPr="0085538B">
      <w:rPr>
        <w:rFonts w:cs="Arial"/>
      </w:rPr>
      <w:t>Lactate Dehydrogenase</w:t>
    </w:r>
    <w:r w:rsidR="000E4084">
      <w:rPr>
        <w:rFonts w:cs="Arial"/>
      </w:rPr>
      <w:t>)</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40B2B386" w:rsidR="00B13C1A" w:rsidRDefault="00B13C1A">
    <w:pPr>
      <w:ind w:left="-1260" w:right="-1260"/>
      <w:rPr>
        <w:rFonts w:cs="Arial"/>
      </w:rPr>
    </w:pPr>
    <w:r>
      <w:rPr>
        <w:rFonts w:cs="Arial"/>
      </w:rPr>
      <w:t xml:space="preserve">Effective Date: </w:t>
    </w:r>
    <w:r w:rsidR="000E4084">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139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27229"/>
    <w:multiLevelType w:val="hybridMultilevel"/>
    <w:tmpl w:val="9E2E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6"/>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8"/>
  </w:num>
  <w:num w:numId="15">
    <w:abstractNumId w:val="19"/>
  </w:num>
  <w:num w:numId="16">
    <w:abstractNumId w:val="1"/>
  </w:num>
  <w:num w:numId="17">
    <w:abstractNumId w:val="41"/>
  </w:num>
  <w:num w:numId="18">
    <w:abstractNumId w:val="11"/>
  </w:num>
  <w:num w:numId="19">
    <w:abstractNumId w:val="18"/>
  </w:num>
  <w:num w:numId="20">
    <w:abstractNumId w:val="25"/>
  </w:num>
  <w:num w:numId="21">
    <w:abstractNumId w:val="33"/>
  </w:num>
  <w:num w:numId="22">
    <w:abstractNumId w:val="39"/>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7"/>
  </w:num>
  <w:num w:numId="35">
    <w:abstractNumId w:val="35"/>
  </w:num>
  <w:num w:numId="36">
    <w:abstractNumId w:val="15"/>
  </w:num>
  <w:num w:numId="37">
    <w:abstractNumId w:val="40"/>
  </w:num>
  <w:num w:numId="38">
    <w:abstractNumId w:val="0"/>
  </w:num>
  <w:num w:numId="39">
    <w:abstractNumId w:val="9"/>
  </w:num>
  <w:num w:numId="40">
    <w:abstractNumId w:val="24"/>
  </w:num>
  <w:num w:numId="41">
    <w:abstractNumId w:val="2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36379"/>
    <w:rsid w:val="00057192"/>
    <w:rsid w:val="00064AD2"/>
    <w:rsid w:val="000704CC"/>
    <w:rsid w:val="000A3E5A"/>
    <w:rsid w:val="000A59DC"/>
    <w:rsid w:val="000E4084"/>
    <w:rsid w:val="000E63E3"/>
    <w:rsid w:val="001102B2"/>
    <w:rsid w:val="00115DD6"/>
    <w:rsid w:val="001241E4"/>
    <w:rsid w:val="00152165"/>
    <w:rsid w:val="0017089C"/>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34A0C"/>
    <w:rsid w:val="00370B0F"/>
    <w:rsid w:val="00387FF5"/>
    <w:rsid w:val="0039587D"/>
    <w:rsid w:val="003A65AD"/>
    <w:rsid w:val="003C2130"/>
    <w:rsid w:val="003D5BD7"/>
    <w:rsid w:val="003D713F"/>
    <w:rsid w:val="003E0A08"/>
    <w:rsid w:val="003E168B"/>
    <w:rsid w:val="00416B6C"/>
    <w:rsid w:val="00420763"/>
    <w:rsid w:val="00422CB7"/>
    <w:rsid w:val="0042435C"/>
    <w:rsid w:val="00437425"/>
    <w:rsid w:val="00440E37"/>
    <w:rsid w:val="004735E9"/>
    <w:rsid w:val="00486653"/>
    <w:rsid w:val="004A698D"/>
    <w:rsid w:val="004B5D63"/>
    <w:rsid w:val="004C14CE"/>
    <w:rsid w:val="004C6A64"/>
    <w:rsid w:val="00504F3B"/>
    <w:rsid w:val="005125A4"/>
    <w:rsid w:val="005665A7"/>
    <w:rsid w:val="00575F3F"/>
    <w:rsid w:val="005827DA"/>
    <w:rsid w:val="005A7373"/>
    <w:rsid w:val="005B66A7"/>
    <w:rsid w:val="005C6F36"/>
    <w:rsid w:val="006200C0"/>
    <w:rsid w:val="00632B46"/>
    <w:rsid w:val="00646E63"/>
    <w:rsid w:val="00655973"/>
    <w:rsid w:val="00655B61"/>
    <w:rsid w:val="00685D61"/>
    <w:rsid w:val="00693888"/>
    <w:rsid w:val="006A26B2"/>
    <w:rsid w:val="006A2770"/>
    <w:rsid w:val="006A41B1"/>
    <w:rsid w:val="006A5A84"/>
    <w:rsid w:val="006B78CE"/>
    <w:rsid w:val="006C5661"/>
    <w:rsid w:val="006C7814"/>
    <w:rsid w:val="006E71F3"/>
    <w:rsid w:val="006E79EB"/>
    <w:rsid w:val="007132A9"/>
    <w:rsid w:val="00747868"/>
    <w:rsid w:val="00782B15"/>
    <w:rsid w:val="007B1809"/>
    <w:rsid w:val="007B2A3E"/>
    <w:rsid w:val="007B410A"/>
    <w:rsid w:val="007F5B07"/>
    <w:rsid w:val="008044BA"/>
    <w:rsid w:val="0081197E"/>
    <w:rsid w:val="0081598A"/>
    <w:rsid w:val="00824C10"/>
    <w:rsid w:val="0085538B"/>
    <w:rsid w:val="008703C3"/>
    <w:rsid w:val="00873AEC"/>
    <w:rsid w:val="008A71A5"/>
    <w:rsid w:val="008A7CDA"/>
    <w:rsid w:val="008B53E5"/>
    <w:rsid w:val="008D3369"/>
    <w:rsid w:val="008D7EF5"/>
    <w:rsid w:val="008F2C66"/>
    <w:rsid w:val="00914DEC"/>
    <w:rsid w:val="00915762"/>
    <w:rsid w:val="00944DFA"/>
    <w:rsid w:val="009475C8"/>
    <w:rsid w:val="00950E15"/>
    <w:rsid w:val="00952301"/>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E7D"/>
    <w:rsid w:val="00AB7F16"/>
    <w:rsid w:val="00AE2334"/>
    <w:rsid w:val="00AF1198"/>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D06C7"/>
    <w:rsid w:val="00CE07E8"/>
    <w:rsid w:val="00CE16FB"/>
    <w:rsid w:val="00CE7E87"/>
    <w:rsid w:val="00CF08A6"/>
    <w:rsid w:val="00D271B1"/>
    <w:rsid w:val="00D302B9"/>
    <w:rsid w:val="00D54AC0"/>
    <w:rsid w:val="00D63C07"/>
    <w:rsid w:val="00D75850"/>
    <w:rsid w:val="00D76D1A"/>
    <w:rsid w:val="00D955F6"/>
    <w:rsid w:val="00DC24D6"/>
    <w:rsid w:val="00DC7091"/>
    <w:rsid w:val="00DC7421"/>
    <w:rsid w:val="00DF5549"/>
    <w:rsid w:val="00DF6343"/>
    <w:rsid w:val="00E049CF"/>
    <w:rsid w:val="00E246BA"/>
    <w:rsid w:val="00E3253B"/>
    <w:rsid w:val="00E47DE5"/>
    <w:rsid w:val="00E55C7B"/>
    <w:rsid w:val="00E93074"/>
    <w:rsid w:val="00EA2B3F"/>
    <w:rsid w:val="00EA580E"/>
    <w:rsid w:val="00EB4B6C"/>
    <w:rsid w:val="00ED3600"/>
    <w:rsid w:val="00EE145B"/>
    <w:rsid w:val="00EF1741"/>
    <w:rsid w:val="00EF7068"/>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tarnet.childrenshc.org/References/labsop/chem/collect/ch-4.021-body-fluid-chemistry-testing.pdf" TargetMode="External"/><Relationship Id="rId17" Type="http://schemas.openxmlformats.org/officeDocument/2006/relationships/hyperlink" Target="https://starnet.childrenshc.org/References/labsop/chem/operator/alinity-ci-series-operations-manual.pdf" TargetMode="External"/><Relationship Id="rId2" Type="http://schemas.openxmlformats.org/officeDocument/2006/relationships/customXml" Target="../customXml/item2.xml"/><Relationship Id="rId16" Type="http://schemas.openxmlformats.org/officeDocument/2006/relationships/hyperlink" Target="https://starnet.childrenshc.org/References/labsop/chem/quality/ch-2.17-unity-real-time-qc-review-general-us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emergency-and-safet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088E5-01B6-45A3-B360-8B0A61C6A90A}">
  <ds:schemaRefs>
    <ds:schemaRef ds:uri="c1848e11-9cf6-4ce4-877e-6837d2c2fa23"/>
    <ds:schemaRef ds:uri="http://schemas.microsoft.com/sharepoint/v3"/>
    <ds:schemaRef ds:uri="http://www.w3.org/XML/1998/namespace"/>
    <ds:schemaRef ds:uri="http://purl.org/dc/terms/"/>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199f0838-75a6-4f0c-9be1-f2c07140bccc"/>
    <ds:schemaRef ds:uri="http://schemas.openxmlformats.org/package/2006/metadata/core-properties"/>
    <ds:schemaRef ds:uri="http://schemas.microsoft.com/sharepoint/v3/fields"/>
    <ds:schemaRef ds:uri="http://purl.org/dc/dcmitype/"/>
    <ds:schemaRef ds:uri="http://purl.org/dc/elements/1.1/"/>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746C8E96-D859-4F17-93D1-0F88A1B2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1726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11832</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2020-10-27T20:11:00Z</dcterms:created>
  <dcterms:modified xsi:type="dcterms:W3CDTF">2021-01-11T16:32:00Z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