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360"/>
      </w:tblGrid>
      <w:tr w:rsidR="00087C0C">
        <w:trPr>
          <w:cantSplit/>
          <w:tblHeader/>
        </w:trPr>
        <w:tc>
          <w:tcPr>
            <w:tcW w:w="11160" w:type="dxa"/>
            <w:gridSpan w:val="2"/>
          </w:tcPr>
          <w:p w:rsidR="00087C0C" w:rsidRDefault="00941D0A">
            <w:pPr>
              <w:pStyle w:val="Header"/>
              <w:tabs>
                <w:tab w:val="clear" w:pos="4320"/>
                <w:tab w:val="clear" w:pos="8640"/>
                <w:tab w:val="left" w:pos="11520"/>
              </w:tabs>
              <w:jc w:val="both"/>
              <w:rPr>
                <w:rFonts w:cs="Arial"/>
                <w:b/>
                <w:bCs/>
                <w:color w:val="0000FF"/>
                <w:sz w:val="36"/>
              </w:rPr>
            </w:pPr>
            <w:r>
              <w:rPr>
                <w:rFonts w:cs="Arial"/>
                <w:b/>
                <w:bCs/>
                <w:color w:val="0000FF"/>
                <w:sz w:val="36"/>
              </w:rPr>
              <w:t>Protein in CSF and Urine</w:t>
            </w:r>
          </w:p>
          <w:p w:rsidR="00087C0C" w:rsidRDefault="00087C0C">
            <w:pPr>
              <w:pStyle w:val="Header"/>
              <w:tabs>
                <w:tab w:val="clear" w:pos="4320"/>
                <w:tab w:val="clear" w:pos="8640"/>
                <w:tab w:val="left" w:pos="11520"/>
              </w:tabs>
              <w:jc w:val="both"/>
              <w:rPr>
                <w:rFonts w:cs="Arial"/>
                <w:color w:val="0000FF"/>
              </w:rPr>
            </w:pPr>
          </w:p>
        </w:tc>
      </w:tr>
      <w:tr w:rsidR="00087C0C" w:rsidTr="00F93C24">
        <w:trPr>
          <w:trHeight w:val="1142"/>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Purpose</w:t>
            </w:r>
          </w:p>
        </w:tc>
        <w:tc>
          <w:tcPr>
            <w:tcW w:w="9360" w:type="dxa"/>
            <w:tcBorders>
              <w:top w:val="single" w:sz="18" w:space="0" w:color="BFBFBF" w:themeColor="background1" w:themeShade="BF"/>
              <w:bottom w:val="single" w:sz="18" w:space="0" w:color="BFBFBF" w:themeColor="background1" w:themeShade="BF"/>
            </w:tcBorders>
            <w:vAlign w:val="center"/>
          </w:tcPr>
          <w:p w:rsidR="00087C0C" w:rsidRPr="00B138EF" w:rsidRDefault="00087C0C" w:rsidP="00B96877">
            <w:pPr>
              <w:rPr>
                <w:rFonts w:cs="Arial"/>
                <w:szCs w:val="20"/>
              </w:rPr>
            </w:pPr>
            <w:r w:rsidRPr="00B138EF">
              <w:rPr>
                <w:rFonts w:cs="Arial"/>
                <w:szCs w:val="20"/>
              </w:rPr>
              <w:t>This procedure provides instructi</w:t>
            </w:r>
            <w:r w:rsidR="00B96877">
              <w:rPr>
                <w:rFonts w:cs="Arial"/>
                <w:szCs w:val="20"/>
              </w:rPr>
              <w:t>ons for performing</w:t>
            </w:r>
            <w:r w:rsidRPr="00B138EF">
              <w:rPr>
                <w:rFonts w:cs="Arial"/>
                <w:szCs w:val="20"/>
              </w:rPr>
              <w:t xml:space="preserve"> </w:t>
            </w:r>
            <w:r w:rsidRPr="00B138EF">
              <w:rPr>
                <w:rFonts w:cs="Arial"/>
                <w:bCs/>
                <w:szCs w:val="20"/>
              </w:rPr>
              <w:t>CSF AND URINE PROTEIN</w:t>
            </w:r>
            <w:r w:rsidR="00B96877">
              <w:rPr>
                <w:rFonts w:cs="Arial"/>
                <w:bCs/>
                <w:szCs w:val="20"/>
              </w:rPr>
              <w:t xml:space="preserve"> on Abbott Instrumentation</w:t>
            </w:r>
            <w:r w:rsidRPr="00B138EF">
              <w:rPr>
                <w:rFonts w:cs="Arial"/>
                <w:szCs w:val="20"/>
              </w:rPr>
              <w:t>.</w:t>
            </w:r>
            <w:r w:rsidR="00B96877">
              <w:t xml:space="preserve"> </w:t>
            </w:r>
            <w:r w:rsidR="00B96877" w:rsidRPr="00B96877">
              <w:rPr>
                <w:rFonts w:cs="Arial"/>
                <w:szCs w:val="20"/>
              </w:rPr>
              <w:t>The Alinity c Urine/CSF Protein assay is used for the quantitation of</w:t>
            </w:r>
            <w:r w:rsidR="00B96877">
              <w:rPr>
                <w:rFonts w:cs="Arial"/>
                <w:szCs w:val="20"/>
              </w:rPr>
              <w:t xml:space="preserve"> </w:t>
            </w:r>
            <w:r w:rsidR="00B96877" w:rsidRPr="00B96877">
              <w:rPr>
                <w:rFonts w:cs="Arial"/>
                <w:szCs w:val="20"/>
              </w:rPr>
              <w:t>protein in human urine or cerebrospinal fluid (CSF) on the Alinity c</w:t>
            </w:r>
            <w:r w:rsidR="00B96877">
              <w:rPr>
                <w:rFonts w:cs="Arial"/>
                <w:szCs w:val="20"/>
              </w:rPr>
              <w:t xml:space="preserve"> </w:t>
            </w:r>
            <w:r w:rsidR="00B96877" w:rsidRPr="00B96877">
              <w:rPr>
                <w:rFonts w:cs="Arial"/>
                <w:szCs w:val="20"/>
              </w:rPr>
              <w:t>analyzer.</w:t>
            </w:r>
          </w:p>
          <w:p w:rsidR="00087C0C" w:rsidRPr="00B138EF" w:rsidRDefault="00087C0C" w:rsidP="00B138EF">
            <w:pPr>
              <w:autoSpaceDE w:val="0"/>
              <w:autoSpaceDN w:val="0"/>
              <w:adjustRightInd w:val="0"/>
              <w:jc w:val="both"/>
              <w:rPr>
                <w:rFonts w:cs="Arial"/>
                <w:szCs w:val="20"/>
              </w:rPr>
            </w:pPr>
          </w:p>
        </w:tc>
      </w:tr>
      <w:tr w:rsidR="00087C0C" w:rsidTr="00F93C24">
        <w:trPr>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Policy Statements</w:t>
            </w:r>
          </w:p>
        </w:tc>
        <w:tc>
          <w:tcPr>
            <w:tcW w:w="9360" w:type="dxa"/>
            <w:tcBorders>
              <w:top w:val="single" w:sz="18" w:space="0" w:color="BFBFBF" w:themeColor="background1" w:themeShade="BF"/>
              <w:bottom w:val="single" w:sz="18" w:space="0" w:color="BFBFBF" w:themeColor="background1" w:themeShade="BF"/>
            </w:tcBorders>
          </w:tcPr>
          <w:p w:rsidR="00087C0C" w:rsidRDefault="00087C0C" w:rsidP="00B96877">
            <w:pPr>
              <w:pStyle w:val="Footnotes"/>
            </w:pPr>
            <w:r>
              <w:rPr>
                <w:rFonts w:ascii="Arial" w:hAnsi="Arial" w:cs="Arial"/>
                <w:sz w:val="20"/>
              </w:rPr>
              <w:t>This procedure applies to all personnel who</w:t>
            </w:r>
            <w:r w:rsidR="003C1FFF">
              <w:rPr>
                <w:rFonts w:ascii="Arial" w:hAnsi="Arial" w:cs="Arial"/>
                <w:sz w:val="20"/>
              </w:rPr>
              <w:t xml:space="preserve"> run</w:t>
            </w:r>
            <w:r w:rsidR="00B96877">
              <w:rPr>
                <w:rFonts w:ascii="Arial" w:hAnsi="Arial" w:cs="Arial"/>
                <w:sz w:val="20"/>
              </w:rPr>
              <w:t xml:space="preserve"> the Abbott Alinity c in Saint </w:t>
            </w:r>
            <w:r w:rsidR="003C1FFF">
              <w:rPr>
                <w:rFonts w:ascii="Arial" w:hAnsi="Arial" w:cs="Arial"/>
                <w:sz w:val="20"/>
              </w:rPr>
              <w:t>Paul Laboratory or the Alinity ci in Minneapolis.</w:t>
            </w:r>
          </w:p>
        </w:tc>
      </w:tr>
      <w:tr w:rsidR="00087C0C" w:rsidTr="00F93C24">
        <w:trPr>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Principle</w:t>
            </w:r>
          </w:p>
          <w:p w:rsidR="00087C0C" w:rsidRDefault="00087C0C">
            <w:pPr>
              <w:rPr>
                <w:rFonts w:cs="Arial"/>
                <w:b/>
                <w:bCs/>
                <w:color w:val="0000FF"/>
              </w:rPr>
            </w:pPr>
          </w:p>
        </w:tc>
        <w:tc>
          <w:tcPr>
            <w:tcW w:w="9360" w:type="dxa"/>
            <w:tcBorders>
              <w:top w:val="single" w:sz="18" w:space="0" w:color="BFBFBF" w:themeColor="background1" w:themeShade="BF"/>
              <w:bottom w:val="single" w:sz="18" w:space="0" w:color="BFBFBF" w:themeColor="background1" w:themeShade="BF"/>
            </w:tcBorders>
          </w:tcPr>
          <w:p w:rsidR="003C1FFF" w:rsidRPr="003C1FFF" w:rsidRDefault="003C1FFF" w:rsidP="003C1FFF">
            <w:pPr>
              <w:pStyle w:val="BodyText"/>
              <w:jc w:val="both"/>
              <w:rPr>
                <w:rFonts w:cs="Arial"/>
              </w:rPr>
            </w:pPr>
            <w:r w:rsidRPr="003C1FFF">
              <w:rPr>
                <w:rFonts w:cs="Arial"/>
              </w:rPr>
              <w:t>The Alinity c Urine/CSF Protein assay is a turbidimetric procedure</w:t>
            </w:r>
            <w:r>
              <w:rPr>
                <w:rFonts w:cs="Arial"/>
              </w:rPr>
              <w:t xml:space="preserve"> </w:t>
            </w:r>
            <w:r w:rsidRPr="003C1FFF">
              <w:rPr>
                <w:rFonts w:cs="Arial"/>
              </w:rPr>
              <w:t xml:space="preserve">in which </w:t>
            </w:r>
            <w:proofErr w:type="spellStart"/>
            <w:r w:rsidRPr="003C1FFF">
              <w:rPr>
                <w:rFonts w:cs="Arial"/>
              </w:rPr>
              <w:t>benzethonium</w:t>
            </w:r>
            <w:proofErr w:type="spellEnd"/>
            <w:r w:rsidRPr="003C1FFF">
              <w:rPr>
                <w:rFonts w:cs="Arial"/>
              </w:rPr>
              <w:t xml:space="preserve"> chloride is</w:t>
            </w:r>
            <w:r>
              <w:rPr>
                <w:rFonts w:cs="Arial"/>
              </w:rPr>
              <w:t xml:space="preserve"> used as the protein denaturing </w:t>
            </w:r>
            <w:r w:rsidRPr="003C1FFF">
              <w:rPr>
                <w:rFonts w:cs="Arial"/>
              </w:rPr>
              <w:t>agent. Proteins present in th</w:t>
            </w:r>
            <w:r>
              <w:rPr>
                <w:rFonts w:cs="Arial"/>
              </w:rPr>
              <w:t xml:space="preserve">e urine or CSF are denatured by </w:t>
            </w:r>
            <w:proofErr w:type="spellStart"/>
            <w:r w:rsidRPr="003C1FFF">
              <w:rPr>
                <w:rFonts w:cs="Arial"/>
              </w:rPr>
              <w:t>benzethonium</w:t>
            </w:r>
            <w:proofErr w:type="spellEnd"/>
            <w:r w:rsidRPr="003C1FFF">
              <w:rPr>
                <w:rFonts w:cs="Arial"/>
              </w:rPr>
              <w:t xml:space="preserve"> chloride, resulting in the </w:t>
            </w:r>
            <w:r>
              <w:rPr>
                <w:rFonts w:cs="Arial"/>
              </w:rPr>
              <w:t xml:space="preserve">formation of a fine </w:t>
            </w:r>
            <w:r w:rsidRPr="003C1FFF">
              <w:rPr>
                <w:rFonts w:cs="Arial"/>
              </w:rPr>
              <w:t xml:space="preserve">suspension which is quantitated </w:t>
            </w:r>
            <w:proofErr w:type="spellStart"/>
            <w:r w:rsidRPr="003C1FFF">
              <w:rPr>
                <w:rFonts w:cs="Arial"/>
              </w:rPr>
              <w:t>turbidimetrically</w:t>
            </w:r>
            <w:proofErr w:type="spellEnd"/>
            <w:r w:rsidRPr="003C1FFF">
              <w:rPr>
                <w:rFonts w:cs="Arial"/>
              </w:rPr>
              <w:t xml:space="preserve"> at 404 nm.</w:t>
            </w:r>
          </w:p>
          <w:p w:rsidR="00087C0C" w:rsidRDefault="003C1FFF" w:rsidP="003C1FFF">
            <w:pPr>
              <w:pStyle w:val="BodyText"/>
              <w:spacing w:after="0"/>
              <w:jc w:val="both"/>
              <w:rPr>
                <w:rFonts w:cs="Arial"/>
              </w:rPr>
            </w:pPr>
            <w:r w:rsidRPr="00B96877">
              <w:rPr>
                <w:rFonts w:cs="Arial"/>
                <w:b/>
              </w:rPr>
              <w:t>Methodology</w:t>
            </w:r>
            <w:r w:rsidRPr="003C1FFF">
              <w:rPr>
                <w:rFonts w:cs="Arial"/>
              </w:rPr>
              <w:t xml:space="preserve">: </w:t>
            </w:r>
            <w:proofErr w:type="spellStart"/>
            <w:r w:rsidRPr="003C1FFF">
              <w:rPr>
                <w:rFonts w:cs="Arial"/>
              </w:rPr>
              <w:t>Benzethonium</w:t>
            </w:r>
            <w:proofErr w:type="spellEnd"/>
            <w:r w:rsidRPr="003C1FFF">
              <w:rPr>
                <w:rFonts w:cs="Arial"/>
              </w:rPr>
              <w:t xml:space="preserve"> Chloride </w:t>
            </w:r>
          </w:p>
          <w:p w:rsidR="00B96877" w:rsidRDefault="00B96877" w:rsidP="003C1FFF">
            <w:pPr>
              <w:pStyle w:val="BodyText"/>
              <w:spacing w:after="0"/>
              <w:jc w:val="both"/>
              <w:rPr>
                <w:rFonts w:cs="Arial"/>
              </w:rPr>
            </w:pPr>
          </w:p>
        </w:tc>
      </w:tr>
      <w:tr w:rsidR="00087C0C" w:rsidTr="00F93C24">
        <w:trPr>
          <w:trHeight w:val="2789"/>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Clinical Significance</w:t>
            </w:r>
          </w:p>
          <w:p w:rsidR="00087C0C" w:rsidRDefault="00087C0C">
            <w:pPr>
              <w:rPr>
                <w:rFonts w:cs="Arial"/>
                <w:b/>
                <w:bCs/>
                <w:color w:val="0000FF"/>
              </w:rPr>
            </w:pPr>
          </w:p>
        </w:tc>
        <w:tc>
          <w:tcPr>
            <w:tcW w:w="9360" w:type="dxa"/>
            <w:tcBorders>
              <w:top w:val="single" w:sz="18" w:space="0" w:color="BFBFBF" w:themeColor="background1" w:themeShade="BF"/>
              <w:bottom w:val="single" w:sz="4" w:space="0" w:color="auto"/>
            </w:tcBorders>
          </w:tcPr>
          <w:p w:rsidR="00087C0C" w:rsidRDefault="00087C0C" w:rsidP="00B138EF">
            <w:pPr>
              <w:autoSpaceDE w:val="0"/>
              <w:autoSpaceDN w:val="0"/>
              <w:adjustRightInd w:val="0"/>
              <w:jc w:val="both"/>
              <w:rPr>
                <w:rFonts w:ascii="HelenPro-Cond" w:hAnsi="HelenPro-Cond" w:cs="HelenPro-Cond"/>
                <w:sz w:val="15"/>
                <w:szCs w:val="15"/>
              </w:rPr>
            </w:pPr>
          </w:p>
          <w:p w:rsidR="00087C0C" w:rsidRDefault="003C1FFF" w:rsidP="003C1FFF">
            <w:pPr>
              <w:autoSpaceDE w:val="0"/>
              <w:autoSpaceDN w:val="0"/>
              <w:adjustRightInd w:val="0"/>
              <w:jc w:val="both"/>
              <w:rPr>
                <w:rFonts w:cs="Arial"/>
                <w:szCs w:val="20"/>
              </w:rPr>
            </w:pPr>
            <w:r w:rsidRPr="003C1FFF">
              <w:rPr>
                <w:rFonts w:cs="Arial"/>
                <w:szCs w:val="20"/>
              </w:rPr>
              <w:t>CSF protein measurements are used in the diagnosis and treatment</w:t>
            </w:r>
            <w:r>
              <w:rPr>
                <w:rFonts w:cs="Arial"/>
                <w:szCs w:val="20"/>
              </w:rPr>
              <w:t xml:space="preserve"> </w:t>
            </w:r>
            <w:r w:rsidRPr="003C1FFF">
              <w:rPr>
                <w:rFonts w:cs="Arial"/>
                <w:szCs w:val="20"/>
              </w:rPr>
              <w:t>of conditions such as meningitis, brain tumors, and infections of the</w:t>
            </w:r>
            <w:r>
              <w:rPr>
                <w:rFonts w:cs="Arial"/>
                <w:szCs w:val="20"/>
              </w:rPr>
              <w:t xml:space="preserve"> </w:t>
            </w:r>
            <w:r w:rsidRPr="003C1FFF">
              <w:rPr>
                <w:rFonts w:cs="Arial"/>
                <w:szCs w:val="20"/>
              </w:rPr>
              <w:t>central nervous system.</w:t>
            </w:r>
          </w:p>
          <w:p w:rsidR="00087C0C" w:rsidRDefault="00087C0C" w:rsidP="00B138EF">
            <w:pPr>
              <w:autoSpaceDE w:val="0"/>
              <w:autoSpaceDN w:val="0"/>
              <w:adjustRightInd w:val="0"/>
              <w:jc w:val="both"/>
              <w:rPr>
                <w:rFonts w:cs="Arial"/>
                <w:szCs w:val="20"/>
              </w:rPr>
            </w:pPr>
          </w:p>
          <w:p w:rsidR="003C1FFF" w:rsidRPr="003C1FFF" w:rsidRDefault="003C1FFF" w:rsidP="003C1FFF">
            <w:pPr>
              <w:autoSpaceDE w:val="0"/>
              <w:autoSpaceDN w:val="0"/>
              <w:adjustRightInd w:val="0"/>
              <w:jc w:val="both"/>
              <w:rPr>
                <w:rFonts w:cs="Arial"/>
                <w:szCs w:val="20"/>
              </w:rPr>
            </w:pPr>
            <w:r w:rsidRPr="003C1FFF">
              <w:rPr>
                <w:rFonts w:cs="Arial"/>
                <w:szCs w:val="20"/>
              </w:rPr>
              <w:t>The role of the renal system in the conservation of plasma proteins</w:t>
            </w:r>
            <w:r>
              <w:rPr>
                <w:rFonts w:cs="Arial"/>
                <w:szCs w:val="20"/>
              </w:rPr>
              <w:t xml:space="preserve"> </w:t>
            </w:r>
            <w:r w:rsidRPr="003C1FFF">
              <w:rPr>
                <w:rFonts w:cs="Arial"/>
                <w:szCs w:val="20"/>
              </w:rPr>
              <w:t>has been recognized for some time. Under normal physiological</w:t>
            </w:r>
            <w:r>
              <w:rPr>
                <w:rFonts w:cs="Arial"/>
                <w:szCs w:val="20"/>
              </w:rPr>
              <w:t xml:space="preserve"> </w:t>
            </w:r>
            <w:r w:rsidRPr="003C1FFF">
              <w:rPr>
                <w:rFonts w:cs="Arial"/>
                <w:szCs w:val="20"/>
              </w:rPr>
              <w:t>conditions small molecular weight proteins, such as insulin, pass</w:t>
            </w:r>
            <w:r>
              <w:rPr>
                <w:rFonts w:cs="Arial"/>
                <w:szCs w:val="20"/>
              </w:rPr>
              <w:t xml:space="preserve"> </w:t>
            </w:r>
            <w:r w:rsidRPr="003C1FFF">
              <w:rPr>
                <w:rFonts w:cs="Arial"/>
                <w:szCs w:val="20"/>
              </w:rPr>
              <w:t>through the glomeruli in relatively large amounts. Intermediate size</w:t>
            </w:r>
            <w:r>
              <w:rPr>
                <w:rFonts w:cs="Arial"/>
                <w:szCs w:val="20"/>
              </w:rPr>
              <w:t xml:space="preserve"> </w:t>
            </w:r>
            <w:r w:rsidRPr="003C1FFF">
              <w:rPr>
                <w:rFonts w:cs="Arial"/>
                <w:szCs w:val="20"/>
              </w:rPr>
              <w:t>proteins, such as transferrin and albumin, also pass through in</w:t>
            </w:r>
            <w:r>
              <w:rPr>
                <w:rFonts w:cs="Arial"/>
                <w:szCs w:val="20"/>
              </w:rPr>
              <w:t xml:space="preserve"> </w:t>
            </w:r>
            <w:r w:rsidRPr="003C1FFF">
              <w:rPr>
                <w:rFonts w:cs="Arial"/>
                <w:szCs w:val="20"/>
              </w:rPr>
              <w:t>relatively small amounts. Most of these proteins are reabsorbed in</w:t>
            </w:r>
            <w:r>
              <w:rPr>
                <w:rFonts w:cs="Arial"/>
                <w:szCs w:val="20"/>
              </w:rPr>
              <w:t xml:space="preserve"> </w:t>
            </w:r>
            <w:r w:rsidRPr="003C1FFF">
              <w:rPr>
                <w:rFonts w:cs="Arial"/>
                <w:szCs w:val="20"/>
              </w:rPr>
              <w:t>the renal tubules.</w:t>
            </w:r>
          </w:p>
          <w:p w:rsidR="00087C0C" w:rsidRPr="003C1FFF" w:rsidRDefault="003C1FFF" w:rsidP="003C1FFF">
            <w:pPr>
              <w:autoSpaceDE w:val="0"/>
              <w:autoSpaceDN w:val="0"/>
              <w:adjustRightInd w:val="0"/>
              <w:jc w:val="both"/>
              <w:rPr>
                <w:rFonts w:cs="Arial"/>
                <w:szCs w:val="20"/>
              </w:rPr>
            </w:pPr>
            <w:r w:rsidRPr="003C1FFF">
              <w:rPr>
                <w:rFonts w:cs="Arial"/>
                <w:szCs w:val="20"/>
              </w:rPr>
              <w:t>Most CSF protein originates by diffusion from plasma across the</w:t>
            </w:r>
            <w:r>
              <w:rPr>
                <w:rFonts w:cs="Arial"/>
                <w:szCs w:val="20"/>
              </w:rPr>
              <w:t xml:space="preserve"> </w:t>
            </w:r>
            <w:r w:rsidRPr="003C1FFF">
              <w:rPr>
                <w:rFonts w:cs="Arial"/>
                <w:szCs w:val="20"/>
              </w:rPr>
              <w:t>blood-CSF barrier. Elevated levels occur as a result of increased</w:t>
            </w:r>
            <w:r>
              <w:rPr>
                <w:rFonts w:cs="Arial"/>
                <w:szCs w:val="20"/>
              </w:rPr>
              <w:t xml:space="preserve"> </w:t>
            </w:r>
            <w:r w:rsidRPr="003C1FFF">
              <w:rPr>
                <w:rFonts w:cs="Arial"/>
                <w:szCs w:val="20"/>
              </w:rPr>
              <w:t>permeability of the blood-CSF barrier or with increased local</w:t>
            </w:r>
            <w:r>
              <w:rPr>
                <w:rFonts w:cs="Arial"/>
                <w:szCs w:val="20"/>
              </w:rPr>
              <w:t xml:space="preserve"> </w:t>
            </w:r>
            <w:r w:rsidRPr="003C1FFF">
              <w:rPr>
                <w:szCs w:val="20"/>
              </w:rPr>
              <w:t xml:space="preserve">synthesis of immunoglobulins. </w:t>
            </w:r>
          </w:p>
        </w:tc>
      </w:tr>
      <w:tr w:rsidR="00190C5E" w:rsidTr="0088249B">
        <w:trPr>
          <w:trHeight w:val="936"/>
          <w:tblHeader/>
        </w:trPr>
        <w:tc>
          <w:tcPr>
            <w:tcW w:w="1800" w:type="dxa"/>
          </w:tcPr>
          <w:p w:rsidR="00190C5E" w:rsidRDefault="00190C5E" w:rsidP="00190C5E">
            <w:pPr>
              <w:pStyle w:val="Header"/>
              <w:tabs>
                <w:tab w:val="clear" w:pos="4320"/>
                <w:tab w:val="clear" w:pos="8640"/>
              </w:tabs>
              <w:rPr>
                <w:b/>
                <w:bCs/>
                <w:color w:val="0000FF"/>
              </w:rPr>
            </w:pPr>
          </w:p>
          <w:p w:rsidR="00190C5E" w:rsidRDefault="00190C5E" w:rsidP="00190C5E">
            <w:pPr>
              <w:pStyle w:val="Header"/>
              <w:tabs>
                <w:tab w:val="clear" w:pos="4320"/>
                <w:tab w:val="clear" w:pos="8640"/>
              </w:tabs>
              <w:rPr>
                <w:b/>
                <w:bCs/>
                <w:color w:val="0000FF"/>
              </w:rPr>
            </w:pPr>
            <w:r>
              <w:rPr>
                <w:b/>
                <w:bCs/>
                <w:color w:val="0000FF"/>
              </w:rPr>
              <w:t>Analyzer</w:t>
            </w:r>
          </w:p>
          <w:p w:rsidR="00190C5E" w:rsidRDefault="00190C5E" w:rsidP="00190C5E">
            <w:pPr>
              <w:pStyle w:val="Header"/>
              <w:tabs>
                <w:tab w:val="clear" w:pos="4320"/>
                <w:tab w:val="clear" w:pos="8640"/>
              </w:tabs>
              <w:rPr>
                <w:b/>
                <w:bCs/>
                <w:color w:val="0000FF"/>
              </w:rPr>
            </w:pPr>
          </w:p>
        </w:tc>
        <w:tc>
          <w:tcPr>
            <w:tcW w:w="9360" w:type="dxa"/>
            <w:tcBorders>
              <w:top w:val="single" w:sz="18" w:space="0" w:color="D9D9D9"/>
              <w:bottom w:val="single" w:sz="18" w:space="0" w:color="BFBFBF" w:themeColor="background1" w:themeShade="BF"/>
            </w:tcBorders>
            <w:vAlign w:val="center"/>
          </w:tcPr>
          <w:p w:rsidR="00190C5E" w:rsidRPr="00A55968" w:rsidRDefault="00190C5E" w:rsidP="00B138EF">
            <w:pPr>
              <w:jc w:val="both"/>
              <w:rPr>
                <w:rFonts w:cs="Arial"/>
                <w:iCs/>
                <w:szCs w:val="20"/>
              </w:rPr>
            </w:pPr>
            <w:r w:rsidRPr="00B52D8C">
              <w:rPr>
                <w:rFonts w:cs="Arial"/>
                <w:b/>
                <w:color w:val="5F497A"/>
                <w:szCs w:val="20"/>
              </w:rPr>
              <w:t>PRIMARY METHOD:</w:t>
            </w:r>
            <w:r w:rsidRPr="00B52D8C">
              <w:rPr>
                <w:rFonts w:cs="Arial"/>
                <w:szCs w:val="20"/>
              </w:rPr>
              <w:t xml:space="preserve"> </w:t>
            </w:r>
            <w:r w:rsidR="003C1FFF">
              <w:rPr>
                <w:rFonts w:cs="Arial"/>
                <w:iCs/>
                <w:szCs w:val="20"/>
              </w:rPr>
              <w:t>Abbott Alinity ci in Minneapolis (Sunquest method code MACC) and Abbott Alinity c in Saint Paul (Sunquest method code SALIC)</w:t>
            </w:r>
          </w:p>
          <w:p w:rsidR="00190C5E" w:rsidRDefault="00190C5E" w:rsidP="00B138EF">
            <w:pPr>
              <w:autoSpaceDE w:val="0"/>
              <w:autoSpaceDN w:val="0"/>
              <w:adjustRightInd w:val="0"/>
              <w:jc w:val="both"/>
              <w:rPr>
                <w:rFonts w:cs="Arial"/>
                <w:b/>
                <w:bCs/>
                <w:sz w:val="18"/>
                <w:szCs w:val="15"/>
              </w:rPr>
            </w:pPr>
            <w:r w:rsidRPr="00B52D8C">
              <w:rPr>
                <w:rFonts w:cs="Arial"/>
                <w:b/>
                <w:color w:val="76923C"/>
                <w:szCs w:val="20"/>
              </w:rPr>
              <w:t>SECONDARY (BACKUP) METHOD:</w:t>
            </w:r>
            <w:r w:rsidRPr="00B52D8C">
              <w:rPr>
                <w:rFonts w:cs="Arial"/>
                <w:szCs w:val="20"/>
              </w:rPr>
              <w:t xml:space="preserve"> </w:t>
            </w:r>
            <w:r w:rsidR="003C1FFF">
              <w:rPr>
                <w:rFonts w:cs="Arial"/>
                <w:szCs w:val="20"/>
              </w:rPr>
              <w:t>Alinity on the opposite campus</w:t>
            </w:r>
          </w:p>
        </w:tc>
      </w:tr>
      <w:tr w:rsidR="00087C0C" w:rsidTr="0088249B">
        <w:trPr>
          <w:trHeight w:val="1659"/>
          <w:tblHeader/>
        </w:trPr>
        <w:tc>
          <w:tcPr>
            <w:tcW w:w="1800" w:type="dxa"/>
          </w:tcPr>
          <w:p w:rsidR="00087C0C" w:rsidRDefault="00087C0C">
            <w:pPr>
              <w:rPr>
                <w:rFonts w:cs="Arial"/>
                <w:b/>
                <w:bCs/>
                <w:color w:val="0000FF"/>
              </w:rPr>
            </w:pPr>
          </w:p>
          <w:p w:rsidR="00087C0C" w:rsidRDefault="00190C5E">
            <w:pPr>
              <w:rPr>
                <w:rFonts w:cs="Arial"/>
                <w:b/>
                <w:bCs/>
                <w:color w:val="0000FF"/>
              </w:rPr>
            </w:pPr>
            <w:r>
              <w:rPr>
                <w:rFonts w:cs="Arial"/>
                <w:b/>
                <w:bCs/>
                <w:color w:val="0000FF"/>
              </w:rPr>
              <w:t xml:space="preserve">Sunquest </w:t>
            </w:r>
            <w:r w:rsidR="00087C0C">
              <w:rPr>
                <w:rFonts w:cs="Arial"/>
                <w:b/>
                <w:bCs/>
                <w:color w:val="0000FF"/>
              </w:rPr>
              <w:t>Test Codes</w:t>
            </w:r>
          </w:p>
        </w:tc>
        <w:tc>
          <w:tcPr>
            <w:tcW w:w="9360" w:type="dxa"/>
            <w:tcBorders>
              <w:top w:val="single" w:sz="18" w:space="0" w:color="BFBFBF" w:themeColor="background1" w:themeShade="BF"/>
              <w:bottom w:val="single" w:sz="18" w:space="0" w:color="BFBFBF" w:themeColor="background1" w:themeShade="BF"/>
            </w:tcBorders>
          </w:tcPr>
          <w:p w:rsidR="00087C0C" w:rsidRDefault="00087C0C"/>
          <w:p w:rsidR="00087C0C" w:rsidRDefault="00087C0C">
            <w:pPr>
              <w:pStyle w:val="Header"/>
              <w:tabs>
                <w:tab w:val="clear" w:pos="4320"/>
                <w:tab w:val="clear" w:pos="8640"/>
              </w:tabs>
            </w:pPr>
            <w:r>
              <w:rPr>
                <w:b/>
                <w:bCs/>
              </w:rPr>
              <w:t>CTP:</w:t>
            </w:r>
            <w:r>
              <w:t xml:space="preserve"> CSF protein</w:t>
            </w:r>
          </w:p>
          <w:p w:rsidR="00087C0C" w:rsidRDefault="00087C0C"/>
          <w:p w:rsidR="00087C0C" w:rsidRDefault="00087C0C">
            <w:r>
              <w:rPr>
                <w:b/>
                <w:bCs/>
              </w:rPr>
              <w:t>UTPQ</w:t>
            </w:r>
            <w:r>
              <w:t>: Timed Urine protein, (mg/collection)</w:t>
            </w:r>
          </w:p>
          <w:p w:rsidR="00087C0C" w:rsidRDefault="00087C0C"/>
          <w:p w:rsidR="00087C0C" w:rsidRDefault="00087C0C">
            <w:r>
              <w:rPr>
                <w:b/>
                <w:bCs/>
              </w:rPr>
              <w:t>UTPR:</w:t>
            </w:r>
            <w:r>
              <w:t xml:space="preserve"> Urine protein, random, (mg/dL):</w:t>
            </w:r>
          </w:p>
          <w:p w:rsidR="00087C0C" w:rsidRDefault="00087C0C">
            <w:pPr>
              <w:pStyle w:val="Footnotes"/>
            </w:pPr>
          </w:p>
        </w:tc>
      </w:tr>
      <w:tr w:rsidR="00087C0C" w:rsidTr="0088249B">
        <w:trPr>
          <w:cantSplit/>
          <w:trHeight w:val="3964"/>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Specimens</w:t>
            </w:r>
          </w:p>
          <w:p w:rsidR="00087C0C" w:rsidRDefault="00087C0C">
            <w:pPr>
              <w:rPr>
                <w:rFonts w:cs="Arial"/>
                <w:b/>
                <w:bCs/>
                <w:color w:val="0000FF"/>
              </w:rPr>
            </w:pPr>
          </w:p>
        </w:tc>
        <w:tc>
          <w:tcPr>
            <w:tcW w:w="9360" w:type="dxa"/>
            <w:tcBorders>
              <w:top w:val="single" w:sz="18" w:space="0" w:color="BFBFBF" w:themeColor="background1" w:themeShade="BF"/>
              <w:bottom w:val="single" w:sz="18" w:space="0" w:color="BFBFBF" w:themeColor="background1" w:themeShade="BF"/>
            </w:tcBorders>
          </w:tcPr>
          <w:p w:rsidR="00087C0C" w:rsidRDefault="00087C0C">
            <w:pPr>
              <w:rPr>
                <w:rFonts w:cs="Arial"/>
              </w:rPr>
            </w:pPr>
          </w:p>
          <w:p w:rsidR="00087C0C" w:rsidRDefault="00087C0C">
            <w:pPr>
              <w:rPr>
                <w:rFonts w:cs="Arial"/>
              </w:rPr>
            </w:pPr>
            <w:r>
              <w:rPr>
                <w:rFonts w:cs="Arial"/>
              </w:rPr>
              <w:t xml:space="preserve">Refer to Specimen Collection procedures for collecting and storing urine and cerebrospinal fluid. </w:t>
            </w:r>
          </w:p>
          <w:p w:rsidR="00B138EF" w:rsidRDefault="00B138EF">
            <w:pPr>
              <w:rPr>
                <w:rFonts w:cs="Arial"/>
              </w:rPr>
            </w:pPr>
          </w:p>
          <w:p w:rsidR="00087C0C" w:rsidRDefault="00087C0C" w:rsidP="000A24B1">
            <w:pPr>
              <w:numPr>
                <w:ilvl w:val="0"/>
                <w:numId w:val="2"/>
              </w:numPr>
              <w:rPr>
                <w:rFonts w:cs="Arial"/>
              </w:rPr>
            </w:pPr>
            <w:r>
              <w:rPr>
                <w:rFonts w:cs="Arial"/>
                <w:b/>
                <w:bCs/>
              </w:rPr>
              <w:t>Urine:</w:t>
            </w:r>
            <w:r>
              <w:rPr>
                <w:rFonts w:cs="Arial"/>
              </w:rPr>
              <w:t xml:space="preserve"> Timed (24 hour) preferred or random collection; no preservative required during collection.</w:t>
            </w:r>
          </w:p>
          <w:p w:rsidR="00087C0C" w:rsidRDefault="00087C0C" w:rsidP="000A24B1">
            <w:pPr>
              <w:numPr>
                <w:ilvl w:val="0"/>
                <w:numId w:val="2"/>
              </w:numPr>
              <w:rPr>
                <w:rFonts w:cs="Arial"/>
              </w:rPr>
            </w:pPr>
            <w:r>
              <w:rPr>
                <w:rFonts w:cs="Arial"/>
                <w:b/>
              </w:rPr>
              <w:t>CSF</w:t>
            </w:r>
            <w:r>
              <w:rPr>
                <w:rFonts w:cs="Arial"/>
              </w:rPr>
              <w:t>: Cerebrospinal fluid specimens should be collected with care to avoid contamination with plasma proteins. Blood present in the cerebrospinal fluid invalidates the protein values since it reflects contamination with plasma proteins. Optimally, protein analysis should be performed on the same tube as the cell count.</w:t>
            </w:r>
          </w:p>
          <w:p w:rsidR="00087C0C" w:rsidRDefault="00087C0C">
            <w:pPr>
              <w:pStyle w:val="Header"/>
              <w:tabs>
                <w:tab w:val="clear" w:pos="4320"/>
                <w:tab w:val="clear" w:pos="8640"/>
                <w:tab w:val="left" w:pos="14693"/>
              </w:tabs>
              <w:rPr>
                <w:rFonts w:cs="Arial"/>
              </w:rPr>
            </w:pPr>
          </w:p>
          <w:p w:rsidR="00087C0C" w:rsidRDefault="00087C0C">
            <w:pPr>
              <w:tabs>
                <w:tab w:val="left" w:pos="3758"/>
                <w:tab w:val="left" w:pos="14693"/>
              </w:tabs>
              <w:ind w:left="113"/>
              <w:rPr>
                <w:rFonts w:cs="Arial"/>
              </w:rPr>
            </w:pPr>
            <w:r>
              <w:rPr>
                <w:rFonts w:cs="Arial"/>
                <w:b/>
                <w:bCs/>
              </w:rPr>
              <w:t>Minimum volume:</w:t>
            </w:r>
          </w:p>
          <w:p w:rsidR="00087C0C" w:rsidRDefault="00190C5E">
            <w:pPr>
              <w:tabs>
                <w:tab w:val="left" w:pos="3758"/>
                <w:tab w:val="left" w:pos="14693"/>
              </w:tabs>
              <w:ind w:left="113"/>
              <w:rPr>
                <w:rFonts w:cs="Arial"/>
              </w:rPr>
            </w:pPr>
            <w:r>
              <w:rPr>
                <w:rFonts w:cs="Arial"/>
              </w:rPr>
              <w:t>200 µ</w:t>
            </w:r>
            <w:r w:rsidR="00087C0C">
              <w:rPr>
                <w:rFonts w:cs="Arial"/>
              </w:rPr>
              <w:t>L cerebrospina</w:t>
            </w:r>
            <w:r w:rsidR="00B138EF">
              <w:rPr>
                <w:rFonts w:cs="Arial"/>
              </w:rPr>
              <w:t>l fluid</w:t>
            </w:r>
            <w:r w:rsidR="007A14BB">
              <w:rPr>
                <w:rFonts w:cs="Arial"/>
              </w:rPr>
              <w:t xml:space="preserve"> or urine, 125</w:t>
            </w:r>
            <w:r>
              <w:rPr>
                <w:rFonts w:cs="Arial"/>
              </w:rPr>
              <w:t xml:space="preserve"> µL min</w:t>
            </w:r>
            <w:r w:rsidR="007A14BB">
              <w:rPr>
                <w:rFonts w:cs="Arial"/>
              </w:rPr>
              <w:t xml:space="preserve">imum, </w:t>
            </w:r>
          </w:p>
          <w:p w:rsidR="00087C0C" w:rsidRDefault="00087C0C">
            <w:pPr>
              <w:tabs>
                <w:tab w:val="left" w:pos="3758"/>
                <w:tab w:val="left" w:pos="14693"/>
              </w:tabs>
              <w:ind w:left="113"/>
              <w:rPr>
                <w:rFonts w:cs="Arial"/>
              </w:rPr>
            </w:pPr>
          </w:p>
          <w:p w:rsidR="00087C0C" w:rsidRDefault="00087C0C">
            <w:pPr>
              <w:pStyle w:val="Header"/>
              <w:tabs>
                <w:tab w:val="clear" w:pos="4320"/>
                <w:tab w:val="clear" w:pos="8640"/>
                <w:tab w:val="right" w:pos="3758"/>
                <w:tab w:val="right" w:pos="14693"/>
              </w:tabs>
              <w:ind w:left="113"/>
              <w:rPr>
                <w:rFonts w:cs="Arial"/>
              </w:rPr>
            </w:pPr>
            <w:r>
              <w:rPr>
                <w:rFonts w:cs="Arial"/>
                <w:b/>
                <w:bCs/>
              </w:rPr>
              <w:t>Stability</w:t>
            </w:r>
            <w:r>
              <w:rPr>
                <w:rFonts w:cs="Arial"/>
              </w:rPr>
              <w:t>:</w:t>
            </w:r>
          </w:p>
          <w:p w:rsidR="00087C0C" w:rsidRDefault="00087C0C">
            <w:pPr>
              <w:pStyle w:val="BodyText"/>
              <w:ind w:left="113"/>
              <w:rPr>
                <w:rFonts w:cs="Arial"/>
              </w:rPr>
            </w:pPr>
            <w:r>
              <w:rPr>
                <w:rFonts w:cs="Arial"/>
              </w:rPr>
              <w:t xml:space="preserve">24-hr urine collection: No preservative is required. </w:t>
            </w:r>
          </w:p>
          <w:p w:rsidR="00087C0C" w:rsidRDefault="00087C0C">
            <w:pPr>
              <w:pStyle w:val="BodyText"/>
              <w:ind w:left="113"/>
              <w:rPr>
                <w:rFonts w:cs="Arial"/>
              </w:rPr>
            </w:pPr>
            <w:r>
              <w:rPr>
                <w:rFonts w:cs="Arial"/>
              </w:rPr>
              <w:t>Urine aliquots stable at 2 - 4°C for 3 days/ &lt;-20°C for up to one year.</w:t>
            </w:r>
          </w:p>
          <w:p w:rsidR="00087C0C" w:rsidRDefault="00087C0C">
            <w:pPr>
              <w:autoSpaceDE w:val="0"/>
              <w:autoSpaceDN w:val="0"/>
              <w:adjustRightInd w:val="0"/>
              <w:ind w:left="113"/>
              <w:rPr>
                <w:rFonts w:cs="Arial"/>
              </w:rPr>
            </w:pPr>
            <w:r>
              <w:rPr>
                <w:rFonts w:cs="Arial"/>
              </w:rPr>
              <w:t>Cerebrospinal fluid stable at 4°C for up to 3 days/&lt;-20°C for 6 months.</w:t>
            </w:r>
          </w:p>
          <w:p w:rsidR="00087C0C" w:rsidRDefault="00087C0C">
            <w:pPr>
              <w:pStyle w:val="Header"/>
              <w:tabs>
                <w:tab w:val="clear" w:pos="4320"/>
                <w:tab w:val="clear" w:pos="8640"/>
                <w:tab w:val="right" w:pos="3758"/>
                <w:tab w:val="right" w:pos="14693"/>
              </w:tabs>
              <w:ind w:left="113"/>
              <w:rPr>
                <w:rFonts w:cs="Arial"/>
                <w:szCs w:val="14"/>
              </w:rPr>
            </w:pPr>
          </w:p>
          <w:p w:rsidR="00087C0C" w:rsidRDefault="00087C0C">
            <w:pPr>
              <w:pStyle w:val="Header"/>
              <w:tabs>
                <w:tab w:val="clear" w:pos="4320"/>
                <w:tab w:val="clear" w:pos="8640"/>
                <w:tab w:val="right" w:pos="3758"/>
                <w:tab w:val="right" w:pos="14693"/>
              </w:tabs>
              <w:ind w:left="113"/>
              <w:rPr>
                <w:rFonts w:cs="Arial"/>
              </w:rPr>
            </w:pPr>
            <w:r>
              <w:rPr>
                <w:rFonts w:cs="Arial"/>
                <w:b/>
                <w:bCs/>
              </w:rPr>
              <w:t xml:space="preserve">Rejection criteria: </w:t>
            </w:r>
            <w:r>
              <w:rPr>
                <w:rFonts w:cs="Arial"/>
              </w:rPr>
              <w:tab/>
            </w:r>
            <w:r w:rsidR="007A14BB">
              <w:rPr>
                <w:rFonts w:cs="Arial"/>
              </w:rPr>
              <w:t>Unlabeled</w:t>
            </w:r>
            <w:r>
              <w:rPr>
                <w:rFonts w:cs="Arial"/>
              </w:rPr>
              <w:t xml:space="preserve"> specimens, clotted specimens, specimens other than CSF or urine</w:t>
            </w:r>
          </w:p>
          <w:p w:rsidR="00087C0C" w:rsidRDefault="00087C0C">
            <w:pPr>
              <w:pStyle w:val="Header"/>
              <w:tabs>
                <w:tab w:val="clear" w:pos="4320"/>
                <w:tab w:val="clear" w:pos="8640"/>
                <w:tab w:val="right" w:pos="3758"/>
                <w:tab w:val="right" w:pos="14693"/>
              </w:tabs>
              <w:ind w:left="113"/>
              <w:rPr>
                <w:rFonts w:cs="Arial"/>
              </w:rPr>
            </w:pPr>
          </w:p>
          <w:p w:rsidR="00087C0C" w:rsidRDefault="00087C0C">
            <w:pPr>
              <w:autoSpaceDE w:val="0"/>
              <w:autoSpaceDN w:val="0"/>
              <w:adjustRightInd w:val="0"/>
              <w:ind w:left="113"/>
              <w:rPr>
                <w:rFonts w:cs="Arial"/>
                <w:szCs w:val="14"/>
              </w:rPr>
            </w:pPr>
            <w:r>
              <w:rPr>
                <w:rFonts w:cs="Arial"/>
                <w:b/>
                <w:bCs/>
              </w:rPr>
              <w:t>Preparation</w:t>
            </w:r>
          </w:p>
          <w:p w:rsidR="00087C0C" w:rsidRDefault="00087C0C" w:rsidP="000A24B1">
            <w:pPr>
              <w:numPr>
                <w:ilvl w:val="0"/>
                <w:numId w:val="11"/>
              </w:numPr>
              <w:rPr>
                <w:rFonts w:cs="Arial"/>
              </w:rPr>
            </w:pPr>
            <w:r>
              <w:rPr>
                <w:rFonts w:cs="Arial"/>
              </w:rPr>
              <w:t>Timed urine collections are measured for total volume</w:t>
            </w:r>
            <w:r w:rsidR="001D0596">
              <w:rPr>
                <w:rFonts w:cs="Arial"/>
              </w:rPr>
              <w:t xml:space="preserve"> (TV)</w:t>
            </w:r>
            <w:r>
              <w:rPr>
                <w:rFonts w:cs="Arial"/>
              </w:rPr>
              <w:t xml:space="preserve">, and the collection date and time recorded for the start and end of the collection. Enter collection information into Sunquest by ordering the test PV on the same accession number. </w:t>
            </w:r>
          </w:p>
          <w:p w:rsidR="00087C0C" w:rsidRDefault="00087C0C" w:rsidP="000A24B1">
            <w:pPr>
              <w:pStyle w:val="BodyTextIndent3"/>
              <w:numPr>
                <w:ilvl w:val="0"/>
                <w:numId w:val="11"/>
              </w:numPr>
              <w:rPr>
                <w:rFonts w:cs="Arial"/>
              </w:rPr>
            </w:pPr>
            <w:r>
              <w:rPr>
                <w:rFonts w:cs="Arial"/>
              </w:rPr>
              <w:t xml:space="preserve">Split urine for </w:t>
            </w:r>
            <w:r>
              <w:rPr>
                <w:rFonts w:cs="Arial"/>
                <w:b/>
              </w:rPr>
              <w:t>day</w:t>
            </w:r>
            <w:r>
              <w:rPr>
                <w:rFonts w:cs="Arial"/>
              </w:rPr>
              <w:t xml:space="preserve"> and </w:t>
            </w:r>
            <w:r>
              <w:rPr>
                <w:rFonts w:cs="Arial"/>
                <w:b/>
              </w:rPr>
              <w:t xml:space="preserve">night </w:t>
            </w:r>
            <w:r>
              <w:rPr>
                <w:rFonts w:cs="Arial"/>
              </w:rPr>
              <w:t>urine proteins and a combined creatinine. Follow these instructions:</w:t>
            </w:r>
          </w:p>
          <w:p w:rsidR="00087C0C" w:rsidRDefault="00087C0C" w:rsidP="000A24B1">
            <w:pPr>
              <w:numPr>
                <w:ilvl w:val="1"/>
                <w:numId w:val="11"/>
              </w:numPr>
              <w:rPr>
                <w:rFonts w:cs="Arial"/>
              </w:rPr>
            </w:pPr>
            <w:r>
              <w:rPr>
                <w:rFonts w:cs="Arial"/>
              </w:rPr>
              <w:t xml:space="preserve">Measure </w:t>
            </w:r>
            <w:r>
              <w:rPr>
                <w:rFonts w:cs="Arial"/>
                <w:b/>
              </w:rPr>
              <w:t>Day</w:t>
            </w:r>
            <w:r w:rsidR="007A14BB">
              <w:rPr>
                <w:rFonts w:cs="Arial"/>
              </w:rPr>
              <w:t xml:space="preserve"> collection volume. Record TV</w:t>
            </w:r>
            <w:r>
              <w:rPr>
                <w:rFonts w:cs="Arial"/>
              </w:rPr>
              <w:t xml:space="preserve">, start time and end time. Pour off a 1 mL aliquot and run a quantitative </w:t>
            </w:r>
            <w:r>
              <w:rPr>
                <w:rFonts w:cs="Arial"/>
                <w:b/>
              </w:rPr>
              <w:t>urine protein</w:t>
            </w:r>
            <w:r>
              <w:rPr>
                <w:rFonts w:cs="Arial"/>
              </w:rPr>
              <w:t xml:space="preserve"> on the </w:t>
            </w:r>
            <w:r w:rsidR="007A14BB">
              <w:rPr>
                <w:rFonts w:cs="Arial"/>
              </w:rPr>
              <w:t>Abbott Alinity c</w:t>
            </w:r>
            <w:r>
              <w:rPr>
                <w:rFonts w:cs="Arial"/>
              </w:rPr>
              <w:t>.</w:t>
            </w:r>
          </w:p>
          <w:p w:rsidR="00087C0C" w:rsidRDefault="00087C0C" w:rsidP="000A24B1">
            <w:pPr>
              <w:numPr>
                <w:ilvl w:val="1"/>
                <w:numId w:val="11"/>
              </w:numPr>
              <w:rPr>
                <w:rFonts w:cs="Arial"/>
              </w:rPr>
            </w:pPr>
            <w:r>
              <w:rPr>
                <w:rFonts w:cs="Arial"/>
              </w:rPr>
              <w:t xml:space="preserve">Measure the </w:t>
            </w:r>
            <w:r>
              <w:rPr>
                <w:rFonts w:cs="Arial"/>
                <w:b/>
              </w:rPr>
              <w:t>Night</w:t>
            </w:r>
            <w:r>
              <w:rPr>
                <w:rFonts w:cs="Arial"/>
              </w:rPr>
              <w:t xml:space="preserve"> collection volume. Record TV, start time, and end time. Pour off a 1 mL aliquot and run a quantitative </w:t>
            </w:r>
            <w:r>
              <w:rPr>
                <w:rFonts w:cs="Arial"/>
                <w:b/>
              </w:rPr>
              <w:t>urine protein</w:t>
            </w:r>
            <w:r>
              <w:rPr>
                <w:rFonts w:cs="Arial"/>
              </w:rPr>
              <w:t xml:space="preserve"> on the </w:t>
            </w:r>
            <w:r w:rsidR="007A14BB">
              <w:rPr>
                <w:rFonts w:cs="Arial"/>
              </w:rPr>
              <w:t>Alinity c</w:t>
            </w:r>
            <w:r>
              <w:rPr>
                <w:rFonts w:cs="Arial"/>
              </w:rPr>
              <w:t>.</w:t>
            </w:r>
          </w:p>
          <w:p w:rsidR="00087C0C" w:rsidRDefault="00087C0C" w:rsidP="000A24B1">
            <w:pPr>
              <w:numPr>
                <w:ilvl w:val="1"/>
                <w:numId w:val="11"/>
              </w:numPr>
              <w:rPr>
                <w:rFonts w:cs="Arial"/>
              </w:rPr>
            </w:pPr>
            <w:r>
              <w:rPr>
                <w:rFonts w:cs="Arial"/>
              </w:rPr>
              <w:t xml:space="preserve">Combine the </w:t>
            </w:r>
            <w:r>
              <w:rPr>
                <w:rFonts w:cs="Arial"/>
                <w:b/>
              </w:rPr>
              <w:t>Day and Night</w:t>
            </w:r>
            <w:r>
              <w:rPr>
                <w:rFonts w:cs="Arial"/>
              </w:rPr>
              <w:t xml:space="preserve"> collections. Pour off an aliquot and run a </w:t>
            </w:r>
            <w:r>
              <w:rPr>
                <w:rFonts w:cs="Arial"/>
                <w:b/>
              </w:rPr>
              <w:t>creatinine</w:t>
            </w:r>
            <w:r>
              <w:rPr>
                <w:rFonts w:cs="Arial"/>
              </w:rPr>
              <w:t xml:space="preserve"> on the combined sample.</w:t>
            </w:r>
          </w:p>
          <w:p w:rsidR="001D0596" w:rsidRDefault="00087C0C" w:rsidP="000A24B1">
            <w:pPr>
              <w:numPr>
                <w:ilvl w:val="2"/>
                <w:numId w:val="11"/>
              </w:numPr>
              <w:rPr>
                <w:rFonts w:cs="Arial"/>
              </w:rPr>
            </w:pPr>
            <w:r>
              <w:rPr>
                <w:rFonts w:cs="Arial"/>
              </w:rPr>
              <w:t>Total volume = Day collection volume + Night collection volume.</w:t>
            </w:r>
          </w:p>
          <w:p w:rsidR="00087C0C" w:rsidRPr="001D0596" w:rsidRDefault="001D0596" w:rsidP="000A24B1">
            <w:pPr>
              <w:numPr>
                <w:ilvl w:val="2"/>
                <w:numId w:val="11"/>
              </w:numPr>
              <w:rPr>
                <w:rFonts w:cs="Arial"/>
              </w:rPr>
            </w:pPr>
            <w:r w:rsidRPr="001D0596">
              <w:rPr>
                <w:rFonts w:cs="Arial"/>
              </w:rPr>
              <w:t>Period</w:t>
            </w:r>
            <w:r w:rsidR="00087C0C" w:rsidRPr="001D0596">
              <w:rPr>
                <w:rFonts w:cs="Arial"/>
              </w:rPr>
              <w:t xml:space="preserve"> (time) = start time of first collection to end time of second collection.</w:t>
            </w:r>
          </w:p>
          <w:p w:rsidR="001D0596" w:rsidRDefault="00087C0C" w:rsidP="000A24B1">
            <w:pPr>
              <w:numPr>
                <w:ilvl w:val="0"/>
                <w:numId w:val="11"/>
              </w:numPr>
              <w:autoSpaceDE w:val="0"/>
              <w:autoSpaceDN w:val="0"/>
              <w:adjustRightInd w:val="0"/>
              <w:rPr>
                <w:rFonts w:cs="Arial"/>
                <w:szCs w:val="14"/>
              </w:rPr>
            </w:pPr>
            <w:r>
              <w:rPr>
                <w:rFonts w:cs="Arial"/>
                <w:szCs w:val="14"/>
              </w:rPr>
              <w:t>Urine and CSF specimens should be free of particulate matter, and centrifuged according to Specimen Processing procedures prior to analysis. See Processing Procedure Manual.</w:t>
            </w:r>
          </w:p>
          <w:p w:rsidR="00087C0C" w:rsidRPr="001D0596" w:rsidRDefault="00087C0C" w:rsidP="000A24B1">
            <w:pPr>
              <w:numPr>
                <w:ilvl w:val="0"/>
                <w:numId w:val="11"/>
              </w:numPr>
              <w:autoSpaceDE w:val="0"/>
              <w:autoSpaceDN w:val="0"/>
              <w:adjustRightInd w:val="0"/>
              <w:rPr>
                <w:rFonts w:cs="Arial"/>
                <w:szCs w:val="14"/>
              </w:rPr>
            </w:pPr>
            <w:r w:rsidRPr="001D0596">
              <w:rPr>
                <w:rFonts w:cs="Arial"/>
                <w:szCs w:val="14"/>
              </w:rPr>
              <w:t xml:space="preserve">Transfer </w:t>
            </w:r>
            <w:r w:rsidR="008F4609">
              <w:rPr>
                <w:rFonts w:cs="Arial"/>
                <w:szCs w:val="14"/>
              </w:rPr>
              <w:t xml:space="preserve">Urine or CSF </w:t>
            </w:r>
            <w:r w:rsidRPr="001D0596">
              <w:rPr>
                <w:rFonts w:cs="Arial"/>
                <w:szCs w:val="14"/>
              </w:rPr>
              <w:t>t</w:t>
            </w:r>
            <w:r w:rsidR="007A14BB">
              <w:rPr>
                <w:rFonts w:cs="Arial"/>
                <w:szCs w:val="14"/>
              </w:rPr>
              <w:t>o a pr</w:t>
            </w:r>
            <w:r w:rsidR="00B96877">
              <w:rPr>
                <w:rFonts w:cs="Arial"/>
                <w:szCs w:val="14"/>
              </w:rPr>
              <w:t>operly labeled pilot tube</w:t>
            </w:r>
            <w:r w:rsidRPr="001D0596">
              <w:rPr>
                <w:rFonts w:cs="Arial"/>
                <w:szCs w:val="14"/>
              </w:rPr>
              <w:t>. Minimum labeling inc</w:t>
            </w:r>
            <w:r w:rsidR="00B96877">
              <w:rPr>
                <w:rFonts w:cs="Arial"/>
                <w:szCs w:val="14"/>
              </w:rPr>
              <w:t>ludes sample accession ID, and/</w:t>
            </w:r>
            <w:r w:rsidRPr="001D0596">
              <w:rPr>
                <w:rFonts w:cs="Arial"/>
                <w:szCs w:val="14"/>
              </w:rPr>
              <w:t>or patient name, medical record number, collection date and time.</w:t>
            </w:r>
            <w:r w:rsidR="007A14BB">
              <w:rPr>
                <w:rFonts w:cs="Arial"/>
                <w:szCs w:val="14"/>
              </w:rPr>
              <w:t xml:space="preserve">  For small volumes, pipette the remaining sample into the bottom of the sendout tube when testing is completed and ensure the cap is tight.</w:t>
            </w:r>
          </w:p>
          <w:p w:rsidR="00087C0C" w:rsidRDefault="00087C0C" w:rsidP="00087C0C">
            <w:pPr>
              <w:tabs>
                <w:tab w:val="left" w:pos="14693"/>
              </w:tabs>
              <w:autoSpaceDE w:val="0"/>
              <w:autoSpaceDN w:val="0"/>
              <w:adjustRightInd w:val="0"/>
              <w:ind w:left="113"/>
              <w:jc w:val="both"/>
              <w:rPr>
                <w:rFonts w:cs="Arial"/>
              </w:rPr>
            </w:pPr>
          </w:p>
        </w:tc>
      </w:tr>
    </w:tbl>
    <w:p w:rsidR="00481025" w:rsidRDefault="00481025"/>
    <w:tbl>
      <w:tblPr>
        <w:tblW w:w="11285" w:type="dxa"/>
        <w:tblInd w:w="-1152" w:type="dxa"/>
        <w:tblLayout w:type="fixed"/>
        <w:tblLook w:val="0000" w:firstRow="0" w:lastRow="0" w:firstColumn="0" w:lastColumn="0" w:noHBand="0" w:noVBand="0"/>
      </w:tblPr>
      <w:tblGrid>
        <w:gridCol w:w="1800"/>
        <w:gridCol w:w="1080"/>
        <w:gridCol w:w="2250"/>
        <w:gridCol w:w="1620"/>
        <w:gridCol w:w="4410"/>
        <w:gridCol w:w="125"/>
      </w:tblGrid>
      <w:tr w:rsidR="00F93C24" w:rsidTr="007A14BB">
        <w:trPr>
          <w:gridAfter w:val="1"/>
          <w:wAfter w:w="125" w:type="dxa"/>
          <w:tblHeader/>
        </w:trPr>
        <w:tc>
          <w:tcPr>
            <w:tcW w:w="1800" w:type="dxa"/>
          </w:tcPr>
          <w:p w:rsidR="00F93C24" w:rsidRDefault="00F93C24">
            <w:pPr>
              <w:rPr>
                <w:rFonts w:cs="Arial"/>
                <w:b/>
                <w:bCs/>
                <w:color w:val="0000FF"/>
              </w:rPr>
            </w:pPr>
          </w:p>
          <w:p w:rsidR="00F93C24" w:rsidRDefault="00F93C24">
            <w:pPr>
              <w:rPr>
                <w:rFonts w:cs="Arial"/>
                <w:b/>
                <w:bCs/>
                <w:color w:val="0000FF"/>
              </w:rPr>
            </w:pPr>
            <w:r>
              <w:rPr>
                <w:rFonts w:cs="Arial"/>
                <w:b/>
                <w:bCs/>
                <w:color w:val="0000FF"/>
              </w:rPr>
              <w:t>Reagents</w:t>
            </w:r>
          </w:p>
          <w:p w:rsidR="00F93C24" w:rsidRDefault="00F93C24">
            <w:pPr>
              <w:pStyle w:val="Header"/>
              <w:tabs>
                <w:tab w:val="clear" w:pos="4320"/>
                <w:tab w:val="clear" w:pos="8640"/>
              </w:tabs>
              <w:rPr>
                <w:rFonts w:cs="Arial"/>
                <w:b/>
                <w:bCs/>
                <w:color w:val="0000FF"/>
              </w:rPr>
            </w:pPr>
          </w:p>
        </w:tc>
        <w:tc>
          <w:tcPr>
            <w:tcW w:w="9360" w:type="dxa"/>
            <w:gridSpan w:val="4"/>
            <w:vMerge w:val="restart"/>
            <w:tcBorders>
              <w:top w:val="single" w:sz="18" w:space="0" w:color="BFBFBF" w:themeColor="background1" w:themeShade="BF"/>
            </w:tcBorders>
          </w:tcPr>
          <w:p w:rsidR="00F93C24" w:rsidRDefault="00F93C24">
            <w:pPr>
              <w:pStyle w:val="Reagents"/>
              <w:rPr>
                <w:rFonts w:ascii="Arial" w:hAnsi="Arial" w:cs="Arial"/>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620"/>
              <w:gridCol w:w="4837"/>
            </w:tblGrid>
            <w:tr w:rsidR="00F93C24" w:rsidRPr="00DB1AC3" w:rsidTr="00087C0C">
              <w:tc>
                <w:tcPr>
                  <w:tcW w:w="2677" w:type="dxa"/>
                </w:tcPr>
                <w:p w:rsidR="00F93C24" w:rsidRPr="00DB1AC3" w:rsidRDefault="00F93C24" w:rsidP="00087C0C">
                  <w:pPr>
                    <w:jc w:val="center"/>
                    <w:rPr>
                      <w:rFonts w:cs="Arial"/>
                      <w:b/>
                      <w:bCs/>
                      <w:i/>
                      <w:szCs w:val="20"/>
                    </w:rPr>
                  </w:pPr>
                  <w:r w:rsidRPr="00DB1AC3">
                    <w:rPr>
                      <w:rFonts w:cs="Arial"/>
                      <w:b/>
                      <w:bCs/>
                      <w:i/>
                      <w:szCs w:val="20"/>
                    </w:rPr>
                    <w:t>Product Description</w:t>
                  </w:r>
                </w:p>
              </w:tc>
              <w:tc>
                <w:tcPr>
                  <w:tcW w:w="1620" w:type="dxa"/>
                </w:tcPr>
                <w:p w:rsidR="00F93C24" w:rsidRPr="00DB1AC3" w:rsidRDefault="00F93C24" w:rsidP="00087C0C">
                  <w:pPr>
                    <w:jc w:val="center"/>
                    <w:rPr>
                      <w:rFonts w:cs="Arial"/>
                      <w:b/>
                      <w:bCs/>
                      <w:i/>
                      <w:szCs w:val="20"/>
                    </w:rPr>
                  </w:pPr>
                  <w:r w:rsidRPr="00DB1AC3">
                    <w:rPr>
                      <w:rFonts w:cs="Arial"/>
                      <w:b/>
                      <w:bCs/>
                      <w:i/>
                      <w:szCs w:val="20"/>
                    </w:rPr>
                    <w:t>Product Code</w:t>
                  </w:r>
                </w:p>
              </w:tc>
              <w:tc>
                <w:tcPr>
                  <w:tcW w:w="4837" w:type="dxa"/>
                </w:tcPr>
                <w:p w:rsidR="00F93C24" w:rsidRPr="00DB1AC3" w:rsidRDefault="00F93C24" w:rsidP="00087C0C">
                  <w:pPr>
                    <w:jc w:val="center"/>
                    <w:rPr>
                      <w:rFonts w:cs="Arial"/>
                      <w:b/>
                      <w:bCs/>
                      <w:i/>
                      <w:szCs w:val="20"/>
                    </w:rPr>
                  </w:pPr>
                  <w:r w:rsidRPr="00DB1AC3">
                    <w:rPr>
                      <w:rFonts w:cs="Arial"/>
                      <w:b/>
                      <w:bCs/>
                      <w:i/>
                      <w:szCs w:val="20"/>
                    </w:rPr>
                    <w:t>Stability</w:t>
                  </w:r>
                </w:p>
              </w:tc>
            </w:tr>
            <w:tr w:rsidR="00F93C24" w:rsidRPr="00DB1AC3" w:rsidTr="00087C0C">
              <w:trPr>
                <w:trHeight w:val="836"/>
              </w:trPr>
              <w:tc>
                <w:tcPr>
                  <w:tcW w:w="2677" w:type="dxa"/>
                </w:tcPr>
                <w:p w:rsidR="00F93C24" w:rsidRPr="00DB1AC3" w:rsidRDefault="007A14BB" w:rsidP="00087C0C">
                  <w:pPr>
                    <w:autoSpaceDE w:val="0"/>
                    <w:autoSpaceDN w:val="0"/>
                    <w:adjustRightInd w:val="0"/>
                    <w:rPr>
                      <w:rFonts w:cs="Arial"/>
                      <w:szCs w:val="20"/>
                    </w:rPr>
                  </w:pPr>
                  <w:r>
                    <w:rPr>
                      <w:rFonts w:cs="Arial"/>
                      <w:szCs w:val="20"/>
                    </w:rPr>
                    <w:t xml:space="preserve">Abbott Alinity </w:t>
                  </w:r>
                  <w:r w:rsidR="00C43AEE">
                    <w:rPr>
                      <w:rFonts w:cs="Arial"/>
                      <w:szCs w:val="20"/>
                    </w:rPr>
                    <w:t xml:space="preserve">Urine/CSF </w:t>
                  </w:r>
                  <w:r>
                    <w:rPr>
                      <w:rFonts w:cs="Arial"/>
                      <w:szCs w:val="20"/>
                    </w:rPr>
                    <w:t>Protein</w:t>
                  </w:r>
                  <w:r w:rsidR="00C43AEE">
                    <w:rPr>
                      <w:rFonts w:cs="Arial"/>
                      <w:szCs w:val="20"/>
                    </w:rPr>
                    <w:t xml:space="preserve"> (</w:t>
                  </w:r>
                  <w:proofErr w:type="spellStart"/>
                  <w:r w:rsidR="00C43AEE">
                    <w:rPr>
                      <w:rFonts w:cs="Arial"/>
                      <w:szCs w:val="20"/>
                    </w:rPr>
                    <w:t>UPro</w:t>
                  </w:r>
                  <w:proofErr w:type="spellEnd"/>
                  <w:r w:rsidR="00C43AEE">
                    <w:rPr>
                      <w:rFonts w:cs="Arial"/>
                      <w:szCs w:val="20"/>
                    </w:rPr>
                    <w:t>)</w:t>
                  </w:r>
                  <w:r>
                    <w:rPr>
                      <w:rFonts w:cs="Arial"/>
                      <w:szCs w:val="20"/>
                    </w:rPr>
                    <w:t xml:space="preserve"> Reagent</w:t>
                  </w:r>
                </w:p>
              </w:tc>
              <w:tc>
                <w:tcPr>
                  <w:tcW w:w="1620" w:type="dxa"/>
                </w:tcPr>
                <w:p w:rsidR="007A14BB" w:rsidRPr="007A14BB" w:rsidRDefault="007A14BB" w:rsidP="007A14BB">
                  <w:pPr>
                    <w:autoSpaceDE w:val="0"/>
                    <w:autoSpaceDN w:val="0"/>
                    <w:adjustRightInd w:val="0"/>
                    <w:rPr>
                      <w:rFonts w:cs="Arial"/>
                      <w:szCs w:val="20"/>
                    </w:rPr>
                  </w:pPr>
                  <w:r w:rsidRPr="007A14BB">
                    <w:rPr>
                      <w:rFonts w:cs="Arial"/>
                      <w:szCs w:val="20"/>
                    </w:rPr>
                    <w:t>07P5920</w:t>
                  </w:r>
                </w:p>
                <w:p w:rsidR="00F93C24" w:rsidRPr="00DB1AC3" w:rsidRDefault="00F93C24" w:rsidP="00087C0C">
                  <w:pPr>
                    <w:autoSpaceDE w:val="0"/>
                    <w:autoSpaceDN w:val="0"/>
                    <w:adjustRightInd w:val="0"/>
                    <w:rPr>
                      <w:rFonts w:cs="Arial"/>
                      <w:szCs w:val="20"/>
                    </w:rPr>
                  </w:pPr>
                </w:p>
              </w:tc>
              <w:tc>
                <w:tcPr>
                  <w:tcW w:w="4837" w:type="dxa"/>
                </w:tcPr>
                <w:p w:rsidR="00F93C24" w:rsidRPr="00DB1AC3" w:rsidRDefault="00F93C24" w:rsidP="00087C0C">
                  <w:pPr>
                    <w:autoSpaceDE w:val="0"/>
                    <w:autoSpaceDN w:val="0"/>
                    <w:adjustRightInd w:val="0"/>
                    <w:spacing w:after="120"/>
                    <w:rPr>
                      <w:rFonts w:cs="Arial"/>
                      <w:szCs w:val="20"/>
                    </w:rPr>
                  </w:pPr>
                  <w:r w:rsidRPr="00DB1AC3">
                    <w:rPr>
                      <w:rFonts w:cs="Arial"/>
                      <w:b/>
                      <w:bCs/>
                      <w:szCs w:val="20"/>
                    </w:rPr>
                    <w:t xml:space="preserve">Store at: </w:t>
                  </w:r>
                  <w:r w:rsidR="007A14BB">
                    <w:rPr>
                      <w:rFonts w:cs="Arial"/>
                      <w:szCs w:val="20"/>
                    </w:rPr>
                    <w:t>15 - 25</w:t>
                  </w:r>
                  <w:r w:rsidRPr="00DB1AC3">
                    <w:rPr>
                      <w:rFonts w:cs="Arial"/>
                      <w:szCs w:val="20"/>
                    </w:rPr>
                    <w:t>°C.</w:t>
                  </w:r>
                </w:p>
                <w:p w:rsidR="00F93C24" w:rsidRPr="00DB1AC3" w:rsidRDefault="00F93C24" w:rsidP="00087C0C">
                  <w:pPr>
                    <w:autoSpaceDE w:val="0"/>
                    <w:autoSpaceDN w:val="0"/>
                    <w:adjustRightInd w:val="0"/>
                    <w:spacing w:after="120"/>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F93C24" w:rsidRDefault="00F93C24" w:rsidP="007A14BB">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007A14BB">
                    <w:rPr>
                      <w:rFonts w:cs="Arial"/>
                      <w:szCs w:val="20"/>
                    </w:rPr>
                    <w:t>41 days</w:t>
                  </w:r>
                </w:p>
                <w:p w:rsidR="00F93C24" w:rsidRPr="00087C0C" w:rsidRDefault="00F93C24" w:rsidP="00087C0C">
                  <w:pPr>
                    <w:tabs>
                      <w:tab w:val="left" w:pos="1872"/>
                    </w:tabs>
                    <w:autoSpaceDE w:val="0"/>
                    <w:autoSpaceDN w:val="0"/>
                    <w:adjustRightInd w:val="0"/>
                    <w:rPr>
                      <w:rFonts w:cs="Arial"/>
                      <w:szCs w:val="20"/>
                    </w:rPr>
                  </w:pPr>
                </w:p>
              </w:tc>
            </w:tr>
            <w:tr w:rsidR="00F93C24" w:rsidRPr="00DB1AC3" w:rsidTr="00481025">
              <w:trPr>
                <w:trHeight w:val="1727"/>
              </w:trPr>
              <w:tc>
                <w:tcPr>
                  <w:tcW w:w="2677" w:type="dxa"/>
                </w:tcPr>
                <w:p w:rsidR="00F93C24" w:rsidRPr="002C4F36" w:rsidRDefault="007A14BB" w:rsidP="00087C0C">
                  <w:pPr>
                    <w:autoSpaceDE w:val="0"/>
                    <w:autoSpaceDN w:val="0"/>
                    <w:adjustRightInd w:val="0"/>
                    <w:rPr>
                      <w:rFonts w:eastAsia="Arial Unicode MS" w:cs="Arial"/>
                      <w:szCs w:val="20"/>
                    </w:rPr>
                  </w:pPr>
                  <w:r>
                    <w:rPr>
                      <w:rFonts w:eastAsia="Arial Unicode MS" w:cs="Arial"/>
                      <w:szCs w:val="20"/>
                    </w:rPr>
                    <w:t>Abbott Alinity Urine/CSF Protein (</w:t>
                  </w:r>
                  <w:proofErr w:type="spellStart"/>
                  <w:r>
                    <w:rPr>
                      <w:rFonts w:eastAsia="Arial Unicode MS" w:cs="Arial"/>
                      <w:szCs w:val="20"/>
                    </w:rPr>
                    <w:t>UPro</w:t>
                  </w:r>
                  <w:proofErr w:type="spellEnd"/>
                  <w:r>
                    <w:rPr>
                      <w:rFonts w:eastAsia="Arial Unicode MS" w:cs="Arial"/>
                      <w:szCs w:val="20"/>
                    </w:rPr>
                    <w:t>) Calibrator</w:t>
                  </w:r>
                </w:p>
              </w:tc>
              <w:tc>
                <w:tcPr>
                  <w:tcW w:w="1620" w:type="dxa"/>
                </w:tcPr>
                <w:p w:rsidR="00F93C24" w:rsidRPr="00DB1AC3" w:rsidRDefault="007A14BB" w:rsidP="00087C0C">
                  <w:pPr>
                    <w:autoSpaceDE w:val="0"/>
                    <w:autoSpaceDN w:val="0"/>
                    <w:adjustRightInd w:val="0"/>
                    <w:rPr>
                      <w:rFonts w:eastAsia="Arial Unicode MS" w:cs="Arial"/>
                      <w:szCs w:val="20"/>
                    </w:rPr>
                  </w:pPr>
                  <w:r w:rsidRPr="007A14BB">
                    <w:rPr>
                      <w:rFonts w:eastAsia="Arial Unicode MS" w:cs="Arial"/>
                      <w:szCs w:val="20"/>
                    </w:rPr>
                    <w:t>08P7101</w:t>
                  </w:r>
                </w:p>
              </w:tc>
              <w:tc>
                <w:tcPr>
                  <w:tcW w:w="4837" w:type="dxa"/>
                </w:tcPr>
                <w:p w:rsidR="00F93C24" w:rsidRPr="00DB1AC3" w:rsidRDefault="00F93C24" w:rsidP="00087C0C">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F93C24" w:rsidRPr="007A14BB" w:rsidRDefault="00F93C24" w:rsidP="00087C0C">
                  <w:pPr>
                    <w:autoSpaceDE w:val="0"/>
                    <w:autoSpaceDN w:val="0"/>
                    <w:adjustRightInd w:val="0"/>
                    <w:spacing w:after="120"/>
                    <w:rPr>
                      <w:rFonts w:cs="Arial"/>
                      <w:b/>
                      <w:szCs w:val="20"/>
                    </w:rPr>
                  </w:pPr>
                  <w:r w:rsidRPr="00DB1AC3">
                    <w:rPr>
                      <w:rFonts w:cs="Arial"/>
                      <w:b/>
                      <w:bCs/>
                      <w:szCs w:val="20"/>
                    </w:rPr>
                    <w:t>Unopened:</w:t>
                  </w:r>
                  <w:r>
                    <w:rPr>
                      <w:rFonts w:cs="Arial"/>
                      <w:b/>
                      <w:bCs/>
                      <w:szCs w:val="20"/>
                    </w:rPr>
                    <w:t xml:space="preserve"> </w:t>
                  </w:r>
                  <w:r w:rsidRPr="00DB1AC3">
                    <w:rPr>
                      <w:rFonts w:cs="Arial"/>
                      <w:szCs w:val="20"/>
                    </w:rPr>
                    <w:t>Refer to carton for expiration date.</w:t>
                  </w:r>
                  <w:r w:rsidRPr="00DB1AC3">
                    <w:rPr>
                      <w:rFonts w:cs="Arial"/>
                      <w:b/>
                      <w:szCs w:val="20"/>
                    </w:rPr>
                    <w:t xml:space="preserve"> </w:t>
                  </w:r>
                </w:p>
                <w:p w:rsidR="00481025" w:rsidRPr="00DB1AC3" w:rsidRDefault="00481025" w:rsidP="00446AA8">
                  <w:pPr>
                    <w:autoSpaceDE w:val="0"/>
                    <w:autoSpaceDN w:val="0"/>
                    <w:adjustRightInd w:val="0"/>
                    <w:spacing w:after="120"/>
                    <w:rPr>
                      <w:rFonts w:cs="Arial"/>
                      <w:szCs w:val="20"/>
                    </w:rPr>
                  </w:pPr>
                  <w:r w:rsidRPr="00A12605">
                    <w:rPr>
                      <w:rFonts w:cs="Arial"/>
                      <w:b/>
                      <w:szCs w:val="20"/>
                    </w:rPr>
                    <w:t>Opened:</w:t>
                  </w:r>
                  <w:r w:rsidRPr="00A12605">
                    <w:rPr>
                      <w:rFonts w:cs="Arial"/>
                      <w:szCs w:val="20"/>
                    </w:rPr>
                    <w:t xml:space="preserve"> Once the cap is removed, the a</w:t>
                  </w:r>
                  <w:r>
                    <w:rPr>
                      <w:rFonts w:cs="Arial"/>
                      <w:szCs w:val="20"/>
                    </w:rPr>
                    <w:t xml:space="preserve">ssigned values are stable for </w:t>
                  </w:r>
                  <w:r w:rsidR="007A14BB">
                    <w:rPr>
                      <w:rFonts w:cs="Arial"/>
                      <w:szCs w:val="20"/>
                    </w:rPr>
                    <w:t>4</w:t>
                  </w:r>
                  <w:r w:rsidR="00446AA8">
                    <w:rPr>
                      <w:rFonts w:cs="Arial"/>
                      <w:szCs w:val="20"/>
                    </w:rPr>
                    <w:t>1</w:t>
                  </w:r>
                  <w:r w:rsidRPr="00A12605">
                    <w:rPr>
                      <w:rFonts w:cs="Arial"/>
                      <w:szCs w:val="20"/>
                    </w:rPr>
                    <w:t xml:space="preserve"> days when recapped and stored </w:t>
                  </w:r>
                  <w:r w:rsidR="007A14BB">
                    <w:rPr>
                      <w:rFonts w:cs="Arial"/>
                      <w:szCs w:val="20"/>
                    </w:rPr>
                    <w:t xml:space="preserve">at 2 - 8 °C. </w:t>
                  </w:r>
                </w:p>
              </w:tc>
            </w:tr>
          </w:tbl>
          <w:p w:rsidR="00F93C24" w:rsidRDefault="00F93C24" w:rsidP="00087C0C">
            <w:pPr>
              <w:pStyle w:val="Reagents"/>
              <w:rPr>
                <w:rFonts w:ascii="Arial" w:hAnsi="Arial" w:cs="Arial"/>
              </w:rPr>
            </w:pPr>
          </w:p>
        </w:tc>
      </w:tr>
      <w:tr w:rsidR="00F93C24" w:rsidTr="00C735D5">
        <w:trPr>
          <w:gridAfter w:val="1"/>
          <w:wAfter w:w="125" w:type="dxa"/>
          <w:trHeight w:val="792"/>
          <w:tblHeader/>
        </w:trPr>
        <w:tc>
          <w:tcPr>
            <w:tcW w:w="1800" w:type="dxa"/>
          </w:tcPr>
          <w:p w:rsidR="00F93C24" w:rsidRDefault="00F93C24" w:rsidP="00F93C24">
            <w:pPr>
              <w:pStyle w:val="Header"/>
              <w:rPr>
                <w:rFonts w:cs="Arial"/>
                <w:b/>
                <w:bCs/>
                <w:color w:val="0000FF"/>
              </w:rPr>
            </w:pPr>
          </w:p>
        </w:tc>
        <w:tc>
          <w:tcPr>
            <w:tcW w:w="9360" w:type="dxa"/>
            <w:gridSpan w:val="4"/>
            <w:vMerge/>
            <w:tcBorders>
              <w:bottom w:val="single" w:sz="4" w:space="0" w:color="auto"/>
            </w:tcBorders>
          </w:tcPr>
          <w:p w:rsidR="00F93C24" w:rsidRDefault="00F93C24">
            <w:pPr>
              <w:pStyle w:val="Reagents"/>
              <w:rPr>
                <w:rFonts w:ascii="Arial" w:hAnsi="Arial" w:cs="Arial"/>
              </w:rPr>
            </w:pPr>
          </w:p>
        </w:tc>
      </w:tr>
      <w:tr w:rsidR="00087C0C" w:rsidTr="00C735D5">
        <w:trPr>
          <w:gridAfter w:val="1"/>
          <w:wAfter w:w="125" w:type="dxa"/>
          <w:tblHeader/>
        </w:trPr>
        <w:tc>
          <w:tcPr>
            <w:tcW w:w="1800" w:type="dxa"/>
          </w:tcPr>
          <w:p w:rsidR="00087C0C" w:rsidRDefault="00087C0C">
            <w:pPr>
              <w:rPr>
                <w:rFonts w:cs="Arial"/>
                <w:b/>
                <w:bCs/>
                <w:color w:val="0000FF"/>
              </w:rPr>
            </w:pPr>
            <w:r>
              <w:rPr>
                <w:rFonts w:cs="Arial"/>
                <w:b/>
                <w:bCs/>
                <w:color w:val="0000FF"/>
              </w:rPr>
              <w:t>Safety</w:t>
            </w:r>
          </w:p>
        </w:tc>
        <w:tc>
          <w:tcPr>
            <w:tcW w:w="9360" w:type="dxa"/>
            <w:gridSpan w:val="4"/>
            <w:tcBorders>
              <w:top w:val="single" w:sz="18" w:space="0" w:color="BFBFBF" w:themeColor="background1" w:themeShade="BF"/>
              <w:bottom w:val="single" w:sz="18" w:space="0" w:color="BFBFBF" w:themeColor="background1" w:themeShade="BF"/>
            </w:tcBorders>
          </w:tcPr>
          <w:p w:rsidR="008F4609" w:rsidRDefault="008F4609">
            <w:pPr>
              <w:pStyle w:val="Reagents"/>
              <w:rPr>
                <w:rFonts w:ascii="Arial" w:hAnsi="Arial" w:cs="Arial"/>
                <w:color w:val="000000"/>
                <w:szCs w:val="15"/>
              </w:rPr>
            </w:pPr>
          </w:p>
          <w:p w:rsidR="00087C0C" w:rsidRDefault="00087C0C">
            <w:pPr>
              <w:pStyle w:val="Reagents"/>
              <w:rPr>
                <w:rFonts w:ascii="Arial" w:hAnsi="Arial" w:cs="Arial"/>
                <w:color w:val="000000"/>
                <w:szCs w:val="15"/>
              </w:rPr>
            </w:pPr>
            <w:r>
              <w:rPr>
                <w:rFonts w:ascii="Arial" w:hAnsi="Arial" w:cs="Arial"/>
                <w:color w:val="000000"/>
                <w:szCs w:val="15"/>
              </w:rPr>
              <w:t>Safety data</w:t>
            </w:r>
            <w:r w:rsidR="007A14BB">
              <w:rPr>
                <w:rFonts w:ascii="Arial" w:hAnsi="Arial" w:cs="Arial"/>
                <w:color w:val="000000"/>
                <w:szCs w:val="15"/>
              </w:rPr>
              <w:t xml:space="preserve"> sheets (MSDS/SDS) available on Children’s Starnet intranet</w:t>
            </w:r>
          </w:p>
          <w:p w:rsidR="00087C0C" w:rsidRDefault="00087C0C">
            <w:pPr>
              <w:pStyle w:val="Reagents"/>
              <w:rPr>
                <w:rFonts w:ascii="Arial" w:hAnsi="Arial" w:cs="Arial"/>
              </w:rPr>
            </w:pPr>
          </w:p>
        </w:tc>
      </w:tr>
      <w:tr w:rsidR="00087C0C" w:rsidTr="009E585C">
        <w:trPr>
          <w:gridAfter w:val="1"/>
          <w:wAfter w:w="125" w:type="dxa"/>
          <w:trHeight w:val="3429"/>
          <w:tblHeader/>
        </w:trPr>
        <w:tc>
          <w:tcPr>
            <w:tcW w:w="1800" w:type="dxa"/>
          </w:tcPr>
          <w:p w:rsidR="00087C0C" w:rsidRDefault="00087C0C">
            <w:pPr>
              <w:ind w:right="-108"/>
              <w:rPr>
                <w:rFonts w:cs="Arial"/>
                <w:b/>
                <w:bCs/>
                <w:color w:val="0000FF"/>
              </w:rPr>
            </w:pPr>
          </w:p>
          <w:p w:rsidR="00087C0C" w:rsidRDefault="00087C0C">
            <w:pPr>
              <w:ind w:right="-108"/>
              <w:rPr>
                <w:rFonts w:cs="Arial"/>
                <w:b/>
                <w:bCs/>
                <w:color w:val="0000FF"/>
              </w:rPr>
            </w:pPr>
            <w:r>
              <w:rPr>
                <w:rFonts w:cs="Arial"/>
                <w:b/>
                <w:bCs/>
                <w:color w:val="0000FF"/>
              </w:rPr>
              <w:t>Calibration</w:t>
            </w:r>
          </w:p>
          <w:p w:rsidR="00087C0C" w:rsidRDefault="00087C0C">
            <w:pPr>
              <w:ind w:right="-108"/>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087C0C" w:rsidTr="00C8373E">
              <w:tc>
                <w:tcPr>
                  <w:tcW w:w="2947" w:type="dxa"/>
                </w:tcPr>
                <w:p w:rsidR="00087C0C" w:rsidRPr="00117B94" w:rsidRDefault="00087C0C">
                  <w:pPr>
                    <w:pStyle w:val="BodyText"/>
                    <w:rPr>
                      <w:rFonts w:cs="Arial"/>
                      <w:szCs w:val="20"/>
                    </w:rPr>
                  </w:pPr>
                  <w:r w:rsidRPr="00117B94">
                    <w:rPr>
                      <w:rFonts w:cs="Arial"/>
                      <w:szCs w:val="20"/>
                    </w:rPr>
                    <w:t>Assay Range</w:t>
                  </w:r>
                  <w:r w:rsidR="00117B94" w:rsidRPr="00117B94">
                    <w:rPr>
                      <w:rFonts w:cs="Arial"/>
                      <w:szCs w:val="20"/>
                    </w:rPr>
                    <w:t>/AMR</w:t>
                  </w:r>
                  <w:r w:rsidRPr="00117B94">
                    <w:rPr>
                      <w:rFonts w:cs="Arial"/>
                      <w:szCs w:val="20"/>
                    </w:rPr>
                    <w:t xml:space="preserve">: </w:t>
                  </w:r>
                </w:p>
              </w:tc>
              <w:tc>
                <w:tcPr>
                  <w:tcW w:w="6269" w:type="dxa"/>
                </w:tcPr>
                <w:p w:rsidR="00087C0C" w:rsidRPr="00117B94" w:rsidRDefault="007A14BB" w:rsidP="00C8373E">
                  <w:pPr>
                    <w:pStyle w:val="Calibrationpara"/>
                    <w:tabs>
                      <w:tab w:val="clear" w:pos="1271"/>
                      <w:tab w:val="clear" w:pos="1800"/>
                      <w:tab w:val="left" w:pos="1980"/>
                      <w:tab w:val="left" w:pos="2520"/>
                    </w:tabs>
                    <w:spacing w:after="14" w:line="130" w:lineRule="atLeast"/>
                    <w:ind w:left="2520" w:hanging="2520"/>
                    <w:rPr>
                      <w:rFonts w:ascii="Arial" w:hAnsi="Arial" w:cs="Arial"/>
                      <w:sz w:val="20"/>
                      <w:szCs w:val="20"/>
                    </w:rPr>
                  </w:pPr>
                  <w:r>
                    <w:rPr>
                      <w:rFonts w:ascii="Arial" w:hAnsi="Arial" w:cs="Arial"/>
                      <w:sz w:val="20"/>
                      <w:szCs w:val="20"/>
                    </w:rPr>
                    <w:t>8 - 20</w:t>
                  </w:r>
                  <w:r w:rsidR="00087C0C" w:rsidRPr="00117B94">
                    <w:rPr>
                      <w:rFonts w:ascii="Arial" w:hAnsi="Arial" w:cs="Arial"/>
                      <w:sz w:val="20"/>
                      <w:szCs w:val="20"/>
                    </w:rPr>
                    <w:t>0 mg/dL</w:t>
                  </w:r>
                </w:p>
              </w:tc>
            </w:tr>
            <w:tr w:rsidR="00087C0C" w:rsidTr="00C8373E">
              <w:tc>
                <w:tcPr>
                  <w:tcW w:w="2947" w:type="dxa"/>
                </w:tcPr>
                <w:p w:rsidR="00087C0C" w:rsidRPr="00117B94" w:rsidRDefault="00087C0C">
                  <w:pPr>
                    <w:pStyle w:val="BodyText"/>
                    <w:rPr>
                      <w:rFonts w:cs="Arial"/>
                      <w:szCs w:val="20"/>
                    </w:rPr>
                  </w:pPr>
                  <w:r w:rsidRPr="00117B94">
                    <w:rPr>
                      <w:rFonts w:cs="Arial"/>
                      <w:szCs w:val="20"/>
                    </w:rPr>
                    <w:t xml:space="preserve">Reference Material: </w:t>
                  </w:r>
                </w:p>
              </w:tc>
              <w:tc>
                <w:tcPr>
                  <w:tcW w:w="6269" w:type="dxa"/>
                </w:tcPr>
                <w:p w:rsidR="00087C0C" w:rsidRPr="00117B94" w:rsidRDefault="007A14BB" w:rsidP="00C8373E">
                  <w:pPr>
                    <w:pStyle w:val="Pa9"/>
                    <w:rPr>
                      <w:rFonts w:ascii="Arial" w:hAnsi="Arial" w:cs="Arial"/>
                      <w:color w:val="000000"/>
                      <w:sz w:val="20"/>
                      <w:szCs w:val="20"/>
                    </w:rPr>
                  </w:pPr>
                  <w:proofErr w:type="spellStart"/>
                  <w:r>
                    <w:rPr>
                      <w:rFonts w:ascii="Arial" w:hAnsi="Arial" w:cs="Arial"/>
                      <w:color w:val="000000"/>
                      <w:sz w:val="20"/>
                      <w:szCs w:val="20"/>
                    </w:rPr>
                    <w:t>UPro</w:t>
                  </w:r>
                  <w:proofErr w:type="spellEnd"/>
                  <w:r>
                    <w:rPr>
                      <w:rFonts w:ascii="Arial" w:hAnsi="Arial" w:cs="Arial"/>
                      <w:color w:val="000000"/>
                      <w:sz w:val="20"/>
                      <w:szCs w:val="20"/>
                    </w:rPr>
                    <w:t xml:space="preserve"> Calibrators</w:t>
                  </w:r>
                </w:p>
              </w:tc>
            </w:tr>
            <w:tr w:rsidR="00087C0C" w:rsidTr="00C8373E">
              <w:tc>
                <w:tcPr>
                  <w:tcW w:w="2947" w:type="dxa"/>
                </w:tcPr>
                <w:p w:rsidR="00087C0C" w:rsidRPr="00117B94" w:rsidRDefault="00087C0C">
                  <w:pPr>
                    <w:pStyle w:val="BodyText"/>
                    <w:rPr>
                      <w:rFonts w:cs="Arial"/>
                      <w:szCs w:val="20"/>
                    </w:rPr>
                  </w:pPr>
                  <w:r w:rsidRPr="00117B94">
                    <w:rPr>
                      <w:rFonts w:cs="Arial"/>
                      <w:szCs w:val="20"/>
                    </w:rPr>
                    <w:t>Suggested Calibration Levels:</w:t>
                  </w:r>
                </w:p>
              </w:tc>
              <w:tc>
                <w:tcPr>
                  <w:tcW w:w="6269" w:type="dxa"/>
                </w:tcPr>
                <w:p w:rsidR="00C8373E" w:rsidRPr="002E3CF0" w:rsidRDefault="002E3CF0" w:rsidP="002E3CF0">
                  <w:pPr>
                    <w:pStyle w:val="BodyText"/>
                    <w:spacing w:after="0"/>
                    <w:rPr>
                      <w:rFonts w:cs="Arial"/>
                      <w:szCs w:val="20"/>
                    </w:rPr>
                  </w:pPr>
                  <w:r w:rsidRPr="002E3CF0">
                    <w:rPr>
                      <w:rFonts w:cs="Arial"/>
                      <w:szCs w:val="20"/>
                    </w:rPr>
                    <w:t xml:space="preserve"> </w:t>
                  </w:r>
                  <w:r w:rsidR="009E585C">
                    <w:rPr>
                      <w:rFonts w:cs="Arial"/>
                      <w:szCs w:val="20"/>
                    </w:rPr>
                    <w:t>10, 20,40, 80,200</w:t>
                  </w:r>
                </w:p>
              </w:tc>
            </w:tr>
            <w:tr w:rsidR="00087C0C" w:rsidTr="00C8373E">
              <w:tc>
                <w:tcPr>
                  <w:tcW w:w="2947" w:type="dxa"/>
                </w:tcPr>
                <w:p w:rsidR="00087C0C" w:rsidRPr="00117B94" w:rsidRDefault="00087C0C">
                  <w:pPr>
                    <w:pStyle w:val="BodyText"/>
                    <w:rPr>
                      <w:rFonts w:cs="Arial"/>
                      <w:szCs w:val="20"/>
                    </w:rPr>
                  </w:pPr>
                  <w:r w:rsidRPr="00117B94">
                    <w:rPr>
                      <w:rFonts w:cs="Arial"/>
                      <w:szCs w:val="20"/>
                    </w:rPr>
                    <w:t xml:space="preserve">Calibration Scheme: </w:t>
                  </w:r>
                </w:p>
              </w:tc>
              <w:tc>
                <w:tcPr>
                  <w:tcW w:w="6269" w:type="dxa"/>
                </w:tcPr>
                <w:p w:rsidR="00087C0C" w:rsidRPr="00117B94" w:rsidRDefault="00087C0C" w:rsidP="00C8373E">
                  <w:pPr>
                    <w:pStyle w:val="BodyText"/>
                    <w:rPr>
                      <w:rFonts w:cs="Arial"/>
                      <w:szCs w:val="20"/>
                    </w:rPr>
                  </w:pPr>
                  <w:r w:rsidRPr="00117B94">
                    <w:rPr>
                      <w:rFonts w:cs="Arial"/>
                      <w:szCs w:val="20"/>
                    </w:rPr>
                    <w:t>Five levels</w:t>
                  </w:r>
                  <w:r w:rsidR="00C8373E" w:rsidRPr="00117B94">
                    <w:rPr>
                      <w:rFonts w:cs="Arial"/>
                      <w:szCs w:val="20"/>
                    </w:rPr>
                    <w:t>, n=5</w:t>
                  </w:r>
                </w:p>
              </w:tc>
            </w:tr>
            <w:tr w:rsidR="00087C0C" w:rsidTr="00C8373E">
              <w:tc>
                <w:tcPr>
                  <w:tcW w:w="2947" w:type="dxa"/>
                </w:tcPr>
                <w:p w:rsidR="00087C0C" w:rsidRPr="00117B94" w:rsidRDefault="00087C0C">
                  <w:pPr>
                    <w:pStyle w:val="BodyText"/>
                    <w:rPr>
                      <w:rFonts w:cs="Arial"/>
                      <w:szCs w:val="20"/>
                    </w:rPr>
                  </w:pPr>
                  <w:r w:rsidRPr="00117B94">
                    <w:rPr>
                      <w:rFonts w:cs="Arial"/>
                      <w:szCs w:val="20"/>
                    </w:rPr>
                    <w:t xml:space="preserve">Calibration Frequency: </w:t>
                  </w:r>
                </w:p>
              </w:tc>
              <w:tc>
                <w:tcPr>
                  <w:tcW w:w="6269" w:type="dxa"/>
                </w:tcPr>
                <w:p w:rsidR="00C8373E" w:rsidRPr="00117B94" w:rsidRDefault="009E585C" w:rsidP="000A24B1">
                  <w:pPr>
                    <w:numPr>
                      <w:ilvl w:val="0"/>
                      <w:numId w:val="10"/>
                    </w:numPr>
                    <w:autoSpaceDE w:val="0"/>
                    <w:autoSpaceDN w:val="0"/>
                    <w:adjustRightInd w:val="0"/>
                    <w:rPr>
                      <w:rFonts w:cs="Arial"/>
                      <w:szCs w:val="20"/>
                    </w:rPr>
                  </w:pPr>
                  <w:r>
                    <w:rPr>
                      <w:rFonts w:cs="Arial"/>
                      <w:szCs w:val="20"/>
                    </w:rPr>
                    <w:t xml:space="preserve">For each new lot of </w:t>
                  </w:r>
                  <w:r w:rsidR="00C8373E" w:rsidRPr="00117B94">
                    <w:rPr>
                      <w:rFonts w:cs="Arial"/>
                      <w:szCs w:val="20"/>
                    </w:rPr>
                    <w:t>reagent cartridges</w:t>
                  </w:r>
                </w:p>
                <w:p w:rsidR="00C8373E" w:rsidRPr="00117B94" w:rsidRDefault="009E585C" w:rsidP="000A24B1">
                  <w:pPr>
                    <w:numPr>
                      <w:ilvl w:val="0"/>
                      <w:numId w:val="10"/>
                    </w:numPr>
                    <w:autoSpaceDE w:val="0"/>
                    <w:autoSpaceDN w:val="0"/>
                    <w:adjustRightInd w:val="0"/>
                    <w:rPr>
                      <w:rFonts w:cs="Arial"/>
                      <w:szCs w:val="20"/>
                    </w:rPr>
                  </w:pPr>
                  <w:r>
                    <w:rPr>
                      <w:rFonts w:cs="Arial"/>
                      <w:szCs w:val="20"/>
                    </w:rPr>
                    <w:t>Every 41 days</w:t>
                  </w:r>
                </w:p>
                <w:p w:rsidR="00C8373E" w:rsidRPr="00117B94" w:rsidRDefault="00C8373E" w:rsidP="000A24B1">
                  <w:pPr>
                    <w:numPr>
                      <w:ilvl w:val="0"/>
                      <w:numId w:val="10"/>
                    </w:numPr>
                    <w:autoSpaceDE w:val="0"/>
                    <w:autoSpaceDN w:val="0"/>
                    <w:adjustRightInd w:val="0"/>
                    <w:rPr>
                      <w:rFonts w:cs="Arial"/>
                      <w:szCs w:val="20"/>
                    </w:rPr>
                  </w:pPr>
                  <w:r w:rsidRPr="00117B94">
                    <w:rPr>
                      <w:rFonts w:cs="Arial"/>
                      <w:szCs w:val="20"/>
                    </w:rPr>
                    <w:t>After major maintenance or service, if indicated by QC results</w:t>
                  </w:r>
                </w:p>
                <w:p w:rsidR="00C8373E" w:rsidRPr="00117B94" w:rsidRDefault="00C8373E" w:rsidP="000A24B1">
                  <w:pPr>
                    <w:pStyle w:val="Header"/>
                    <w:numPr>
                      <w:ilvl w:val="0"/>
                      <w:numId w:val="10"/>
                    </w:numPr>
                    <w:tabs>
                      <w:tab w:val="clear" w:pos="4320"/>
                      <w:tab w:val="clear" w:pos="8640"/>
                    </w:tabs>
                    <w:autoSpaceDE w:val="0"/>
                    <w:autoSpaceDN w:val="0"/>
                    <w:adjustRightInd w:val="0"/>
                    <w:rPr>
                      <w:rFonts w:cs="Arial"/>
                      <w:szCs w:val="20"/>
                    </w:rPr>
                  </w:pPr>
                  <w:r w:rsidRPr="00117B94">
                    <w:rPr>
                      <w:rFonts w:cs="Arial"/>
                      <w:szCs w:val="20"/>
                    </w:rPr>
                    <w:t>As indicated in laboratory quality control procedures</w:t>
                  </w:r>
                </w:p>
                <w:p w:rsidR="00087C0C" w:rsidRPr="00117B94" w:rsidRDefault="00C8373E" w:rsidP="000A24B1">
                  <w:pPr>
                    <w:pStyle w:val="BodyText"/>
                    <w:numPr>
                      <w:ilvl w:val="0"/>
                      <w:numId w:val="10"/>
                    </w:numPr>
                    <w:rPr>
                      <w:rFonts w:cs="Arial"/>
                      <w:szCs w:val="20"/>
                    </w:rPr>
                  </w:pPr>
                  <w:r w:rsidRPr="00117B94">
                    <w:rPr>
                      <w:rFonts w:cs="Arial"/>
                      <w:szCs w:val="20"/>
                    </w:rPr>
                    <w:t>When required by government regulations</w:t>
                  </w:r>
                </w:p>
              </w:tc>
            </w:tr>
          </w:tbl>
          <w:p w:rsidR="00087C0C" w:rsidRDefault="00087C0C">
            <w:pPr>
              <w:rPr>
                <w:rFonts w:cs="Arial"/>
              </w:rPr>
            </w:pPr>
          </w:p>
        </w:tc>
      </w:tr>
      <w:tr w:rsidR="00087C0C" w:rsidTr="00C735D5">
        <w:trPr>
          <w:gridAfter w:val="1"/>
          <w:wAfter w:w="125" w:type="dxa"/>
          <w:cantSplit/>
          <w:trHeight w:val="989"/>
          <w:tblHeader/>
        </w:trPr>
        <w:tc>
          <w:tcPr>
            <w:tcW w:w="1800" w:type="dxa"/>
            <w:vAlign w:val="center"/>
          </w:tcPr>
          <w:p w:rsidR="00087C0C" w:rsidRDefault="00087C0C" w:rsidP="001D0596">
            <w:pPr>
              <w:rPr>
                <w:rFonts w:cs="Arial"/>
                <w:b/>
                <w:bCs/>
                <w:color w:val="0000FF"/>
              </w:rPr>
            </w:pPr>
            <w:r>
              <w:rPr>
                <w:rFonts w:cs="Arial"/>
                <w:b/>
                <w:bCs/>
                <w:color w:val="0000FF"/>
              </w:rPr>
              <w:t>Analytical Measuring Range (AMR)</w:t>
            </w:r>
          </w:p>
        </w:tc>
        <w:tc>
          <w:tcPr>
            <w:tcW w:w="9360" w:type="dxa"/>
            <w:gridSpan w:val="4"/>
            <w:tcBorders>
              <w:top w:val="single" w:sz="18" w:space="0" w:color="BFBFBF" w:themeColor="background1" w:themeShade="BF"/>
              <w:bottom w:val="single" w:sz="18" w:space="0" w:color="BFBFBF" w:themeColor="background1" w:themeShade="BF"/>
            </w:tcBorders>
            <w:vAlign w:val="center"/>
          </w:tcPr>
          <w:p w:rsidR="00087C0C" w:rsidRDefault="002E3CF0" w:rsidP="001D0596">
            <w:pPr>
              <w:pStyle w:val="Header"/>
              <w:tabs>
                <w:tab w:val="clear" w:pos="4320"/>
                <w:tab w:val="clear" w:pos="8640"/>
              </w:tabs>
              <w:rPr>
                <w:rFonts w:cs="Arial"/>
              </w:rPr>
            </w:pPr>
            <w:r w:rsidRPr="00935DC2">
              <w:rPr>
                <w:rFonts w:cs="Arial"/>
                <w:szCs w:val="20"/>
              </w:rPr>
              <w:t xml:space="preserve">Cal Verification and AMR verification </w:t>
            </w:r>
            <w:r>
              <w:rPr>
                <w:rFonts w:cs="Arial"/>
                <w:szCs w:val="20"/>
              </w:rPr>
              <w:t>meet regulatory requirements with each calibration using 5 calibrators that span the full measuring range.</w:t>
            </w:r>
          </w:p>
        </w:tc>
      </w:tr>
      <w:tr w:rsidR="00F93C24" w:rsidTr="00C735D5">
        <w:trPr>
          <w:gridAfter w:val="1"/>
          <w:wAfter w:w="125" w:type="dxa"/>
          <w:cantSplit/>
          <w:trHeight w:val="5353"/>
          <w:tblHeader/>
        </w:trPr>
        <w:tc>
          <w:tcPr>
            <w:tcW w:w="1800" w:type="dxa"/>
          </w:tcPr>
          <w:p w:rsidR="00F93C24" w:rsidRDefault="00F93C24">
            <w:pPr>
              <w:ind w:right="-108"/>
              <w:rPr>
                <w:rFonts w:cs="Arial"/>
                <w:b/>
                <w:bCs/>
                <w:color w:val="0000FF"/>
              </w:rPr>
            </w:pPr>
          </w:p>
          <w:p w:rsidR="00F93C24" w:rsidRDefault="00F93C24">
            <w:pPr>
              <w:ind w:right="-108"/>
              <w:rPr>
                <w:rFonts w:cs="Arial"/>
                <w:b/>
                <w:bCs/>
                <w:color w:val="0000FF"/>
              </w:rPr>
            </w:pPr>
            <w:r>
              <w:rPr>
                <w:rFonts w:cs="Arial"/>
                <w:b/>
                <w:bCs/>
                <w:color w:val="0000FF"/>
              </w:rPr>
              <w:t>Quality Control</w:t>
            </w:r>
          </w:p>
          <w:p w:rsidR="00F93C24" w:rsidRDefault="00F93C24">
            <w:pPr>
              <w:ind w:right="-108"/>
              <w:rPr>
                <w:rFonts w:cs="Arial"/>
                <w:b/>
                <w:bCs/>
                <w:color w:val="0000FF"/>
              </w:rPr>
            </w:pPr>
            <w:r>
              <w:rPr>
                <w:rFonts w:cs="Arial"/>
                <w:b/>
                <w:bCs/>
                <w:color w:val="0000FF"/>
              </w:rPr>
              <w:t>(CSF)</w:t>
            </w:r>
          </w:p>
          <w:p w:rsidR="00F93C24" w:rsidRDefault="00F93C24">
            <w:pPr>
              <w:ind w:right="-108"/>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F93C24" w:rsidRPr="001D0596" w:rsidRDefault="00F93C24">
            <w:pPr>
              <w:pStyle w:val="Header"/>
              <w:tabs>
                <w:tab w:val="left" w:pos="720"/>
              </w:tabs>
              <w:rPr>
                <w:rFonts w:cs="Arial"/>
                <w:szCs w:val="20"/>
              </w:rPr>
            </w:pPr>
          </w:p>
          <w:p w:rsidR="00F93C24" w:rsidRPr="001D0596" w:rsidRDefault="00F93C24">
            <w:pPr>
              <w:spacing w:after="120"/>
              <w:rPr>
                <w:rFonts w:cs="Arial"/>
                <w:bCs/>
                <w:szCs w:val="20"/>
              </w:rPr>
            </w:pPr>
            <w:r w:rsidRPr="001D0596">
              <w:rPr>
                <w:rFonts w:cs="Arial"/>
                <w:szCs w:val="20"/>
              </w:rPr>
              <w:t>Biorad Liquichek</w:t>
            </w:r>
            <w:r w:rsidRPr="001D0596">
              <w:rPr>
                <w:rFonts w:cs="Arial"/>
                <w:szCs w:val="20"/>
              </w:rPr>
              <w:sym w:font="Symbol" w:char="F0D4"/>
            </w:r>
            <w:r w:rsidRPr="001D0596">
              <w:rPr>
                <w:rFonts w:cs="Arial"/>
                <w:szCs w:val="20"/>
              </w:rPr>
              <w:t xml:space="preserve"> </w:t>
            </w:r>
            <w:r w:rsidRPr="001D0596">
              <w:rPr>
                <w:rFonts w:cs="Arial"/>
                <w:b/>
                <w:bCs/>
                <w:szCs w:val="20"/>
              </w:rPr>
              <w:t>Spinal Fluid</w:t>
            </w:r>
            <w:r w:rsidRPr="001D0596">
              <w:rPr>
                <w:rFonts w:cs="Arial"/>
                <w:szCs w:val="20"/>
              </w:rPr>
              <w:t xml:space="preserve"> Control Levels 1 &amp; 2 for use with body fluid samples, contained in Vista Vials.</w:t>
            </w:r>
          </w:p>
          <w:p w:rsidR="00F93C24" w:rsidRPr="001D0596" w:rsidRDefault="00F93C24">
            <w:pPr>
              <w:spacing w:after="120"/>
              <w:rPr>
                <w:rFonts w:cs="Arial"/>
                <w:szCs w:val="20"/>
              </w:rPr>
            </w:pPr>
            <w:r w:rsidRPr="001D0596">
              <w:rPr>
                <w:rFonts w:cs="Arial"/>
                <w:b/>
                <w:bCs/>
                <w:szCs w:val="20"/>
              </w:rPr>
              <w:t>Frequency:</w:t>
            </w:r>
            <w:r w:rsidRPr="001D0596">
              <w:rPr>
                <w:rFonts w:cs="Arial"/>
                <w:szCs w:val="20"/>
              </w:rPr>
              <w:t xml:space="preserve"> </w:t>
            </w:r>
            <w:r w:rsidR="00C43AEE">
              <w:rPr>
                <w:rFonts w:cs="Arial"/>
                <w:szCs w:val="20"/>
              </w:rPr>
              <w:t>Two levels daily</w:t>
            </w:r>
          </w:p>
          <w:p w:rsidR="00F93C24" w:rsidRDefault="00F93C24" w:rsidP="006D2F24">
            <w:pPr>
              <w:spacing w:after="120"/>
              <w:rPr>
                <w:rFonts w:eastAsia="HelveticaNeueLTPro-Cn" w:cs="Arial"/>
                <w:szCs w:val="20"/>
              </w:rPr>
            </w:pPr>
            <w:r w:rsidRPr="001D0596">
              <w:rPr>
                <w:rFonts w:cs="Arial"/>
                <w:b/>
                <w:bCs/>
                <w:szCs w:val="20"/>
              </w:rPr>
              <w:t>Stability:</w:t>
            </w:r>
            <w:r w:rsidRPr="001D0596">
              <w:rPr>
                <w:rFonts w:cs="Arial"/>
                <w:szCs w:val="20"/>
              </w:rPr>
              <w:t xml:space="preserve"> </w:t>
            </w:r>
            <w:r>
              <w:rPr>
                <w:rFonts w:cs="Arial"/>
                <w:szCs w:val="20"/>
              </w:rPr>
              <w:t>E</w:t>
            </w:r>
            <w:r w:rsidRPr="001D0596">
              <w:rPr>
                <w:rFonts w:eastAsia="HelveticaNeueLTPro-Cn" w:cs="Arial"/>
                <w:szCs w:val="20"/>
              </w:rPr>
              <w:t xml:space="preserve">xpiration date </w:t>
            </w:r>
            <w:r>
              <w:rPr>
                <w:rFonts w:eastAsia="HelveticaNeueLTPro-Cn" w:cs="Arial"/>
                <w:szCs w:val="20"/>
              </w:rPr>
              <w:t xml:space="preserve">on vial </w:t>
            </w:r>
            <w:r w:rsidRPr="001D0596">
              <w:rPr>
                <w:rFonts w:eastAsia="HelveticaNeueLTPro-Cn" w:cs="Arial"/>
                <w:szCs w:val="20"/>
              </w:rPr>
              <w:t>when stored unopened at 2 to 8°C and the stopper not punctured.</w:t>
            </w:r>
            <w:r w:rsidR="006D2F24">
              <w:rPr>
                <w:rFonts w:eastAsia="HelveticaNeueLTPro-Cn" w:cs="Arial"/>
                <w:szCs w:val="20"/>
              </w:rPr>
              <w:t xml:space="preserve"> </w:t>
            </w:r>
            <w:r w:rsidRPr="001D0596">
              <w:rPr>
                <w:rFonts w:eastAsia="HelveticaNeueLTPro-Cn" w:cs="Arial"/>
                <w:szCs w:val="20"/>
              </w:rPr>
              <w:t>Once the product stopper is punctured or opened, all analytes will be</w:t>
            </w:r>
            <w:r w:rsidR="00C43AEE">
              <w:rPr>
                <w:rFonts w:eastAsia="HelveticaNeueLTPro-Cn" w:cs="Arial"/>
                <w:szCs w:val="20"/>
              </w:rPr>
              <w:t xml:space="preserve"> stable for 30 days</w:t>
            </w:r>
          </w:p>
          <w:p w:rsidR="00F93C24" w:rsidRPr="001D0596" w:rsidRDefault="00F93C24" w:rsidP="001D0596">
            <w:pPr>
              <w:autoSpaceDE w:val="0"/>
              <w:autoSpaceDN w:val="0"/>
              <w:adjustRightInd w:val="0"/>
              <w:rPr>
                <w:rFonts w:eastAsia="HelveticaNeueLTPro-Cn" w:cs="Arial"/>
                <w:szCs w:val="20"/>
              </w:rPr>
            </w:pPr>
          </w:p>
          <w:p w:rsidR="00F93C24" w:rsidRPr="001D0596" w:rsidRDefault="00F93C24" w:rsidP="001D0596">
            <w:pPr>
              <w:spacing w:after="120"/>
              <w:rPr>
                <w:rFonts w:cs="Arial"/>
                <w:szCs w:val="20"/>
              </w:rPr>
            </w:pPr>
            <w:r w:rsidRPr="001D0596">
              <w:rPr>
                <w:rFonts w:eastAsia="HelveticaNeueLTPro-Cn" w:cs="Arial"/>
                <w:szCs w:val="20"/>
              </w:rPr>
              <w:t>Before loading vials onto the instrument, swi</w:t>
            </w:r>
            <w:r w:rsidR="00C43AEE">
              <w:rPr>
                <w:rFonts w:eastAsia="HelveticaNeueLTPro-Cn" w:cs="Arial"/>
                <w:szCs w:val="20"/>
              </w:rPr>
              <w:t>rl gently to ensure homogeneity and minimize exposure to room temperature daily.</w:t>
            </w:r>
          </w:p>
          <w:p w:rsidR="000A24B1" w:rsidRDefault="000A24B1" w:rsidP="000A24B1">
            <w:pPr>
              <w:jc w:val="both"/>
              <w:rPr>
                <w:rFonts w:cs="Arial"/>
              </w:rPr>
            </w:pPr>
            <w:r>
              <w:rPr>
                <w:rFonts w:cs="Arial"/>
                <w:b/>
                <w:bCs/>
              </w:rPr>
              <w:t>Acceptable ranges:</w:t>
            </w:r>
            <w:r>
              <w:rPr>
                <w:rFonts w:cs="Arial"/>
              </w:rPr>
              <w:t xml:space="preserve"> </w:t>
            </w:r>
          </w:p>
          <w:p w:rsidR="000A24B1" w:rsidRDefault="000A24B1" w:rsidP="000A24B1">
            <w:pPr>
              <w:pStyle w:val="ListParagraph"/>
              <w:numPr>
                <w:ilvl w:val="0"/>
                <w:numId w:val="14"/>
              </w:numPr>
              <w:jc w:val="both"/>
              <w:rPr>
                <w:rFonts w:cs="Arial"/>
              </w:rPr>
            </w:pPr>
            <w:r>
              <w:rPr>
                <w:rFonts w:cs="Arial"/>
              </w:rPr>
              <w:t xml:space="preserve">Non-Bio-Rad controls will utilize manufacturer ranges and 2 SD Westgard rules.  </w:t>
            </w:r>
          </w:p>
          <w:p w:rsidR="000A24B1" w:rsidRDefault="000A24B1" w:rsidP="000A24B1">
            <w:pPr>
              <w:pStyle w:val="ListParagraph"/>
              <w:numPr>
                <w:ilvl w:val="0"/>
                <w:numId w:val="14"/>
              </w:numPr>
              <w:jc w:val="both"/>
              <w:rPr>
                <w:rFonts w:cs="Arial"/>
              </w:rPr>
            </w:pPr>
            <w:r>
              <w:rPr>
                <w:rFonts w:cs="Arial"/>
              </w:rPr>
              <w:t xml:space="preserve">New lots of Bio-Rad controls should be run for 20 days in parallel with the current lot whenever possible prior to switching to the new lot.  </w:t>
            </w:r>
          </w:p>
          <w:p w:rsidR="000A24B1" w:rsidRPr="00AD2383" w:rsidRDefault="000A24B1" w:rsidP="000A24B1">
            <w:pPr>
              <w:pStyle w:val="ListParagraph"/>
              <w:numPr>
                <w:ilvl w:val="0"/>
                <w:numId w:val="14"/>
              </w:numPr>
              <w:jc w:val="both"/>
              <w:rPr>
                <w:rFonts w:cs="Arial"/>
              </w:rPr>
            </w:pPr>
            <w:r>
              <w:rPr>
                <w:rFonts w:cs="Arial"/>
              </w:rPr>
              <w:t xml:space="preserve">Refer to the </w:t>
            </w:r>
            <w:hyperlink r:id="rId8" w:history="1">
              <w:r w:rsidRPr="008D768B">
                <w:rPr>
                  <w:rStyle w:val="Hyperlink"/>
                  <w:rFonts w:cs="Arial"/>
                </w:rPr>
                <w:t>Westgard Rules in Chemistry procedure</w:t>
              </w:r>
            </w:hyperlink>
            <w:r>
              <w:rPr>
                <w:rFonts w:cs="Arial"/>
              </w:rPr>
              <w:t xml:space="preserve"> for current Westgard rules in place for each analyte.  </w:t>
            </w:r>
          </w:p>
          <w:p w:rsidR="000A24B1" w:rsidRDefault="000A24B1" w:rsidP="000A24B1">
            <w:pPr>
              <w:numPr>
                <w:ilvl w:val="0"/>
                <w:numId w:val="14"/>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0A24B1" w:rsidRDefault="000A24B1" w:rsidP="000A24B1">
            <w:pPr>
              <w:numPr>
                <w:ilvl w:val="0"/>
                <w:numId w:val="14"/>
              </w:numPr>
              <w:autoSpaceDE w:val="0"/>
              <w:autoSpaceDN w:val="0"/>
              <w:adjustRightInd w:val="0"/>
              <w:jc w:val="both"/>
              <w:rPr>
                <w:rFonts w:cs="Arial"/>
                <w:color w:val="000000"/>
                <w:szCs w:val="20"/>
              </w:rPr>
            </w:pPr>
            <w:r>
              <w:rPr>
                <w:rFonts w:cs="Arial"/>
                <w:szCs w:val="20"/>
              </w:rPr>
              <w:t xml:space="preserve">In the event of a QC failure, refer to the </w:t>
            </w:r>
            <w:hyperlink r:id="rId9" w:history="1">
              <w:r w:rsidRPr="00AD2383">
                <w:rPr>
                  <w:rStyle w:val="Hyperlink"/>
                  <w:rFonts w:cs="Arial"/>
                  <w:szCs w:val="20"/>
                </w:rPr>
                <w:t>Unity Real Time QC Review, General User</w:t>
              </w:r>
            </w:hyperlink>
            <w:r>
              <w:rPr>
                <w:rFonts w:cs="Arial"/>
                <w:szCs w:val="20"/>
              </w:rPr>
              <w:t xml:space="preserve"> and navigate to the QC Troubleshooting section.</w:t>
            </w:r>
          </w:p>
          <w:p w:rsidR="000A24B1" w:rsidRPr="00AD2383" w:rsidRDefault="000A24B1" w:rsidP="000A24B1">
            <w:pPr>
              <w:numPr>
                <w:ilvl w:val="0"/>
                <w:numId w:val="14"/>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rsidR="00F93C24" w:rsidRPr="001D0596" w:rsidRDefault="00F93C24">
            <w:pPr>
              <w:spacing w:after="120"/>
              <w:rPr>
                <w:rFonts w:cs="Arial"/>
                <w:szCs w:val="20"/>
              </w:rPr>
            </w:pPr>
          </w:p>
        </w:tc>
      </w:tr>
      <w:tr w:rsidR="00087C0C" w:rsidTr="00C735D5">
        <w:trPr>
          <w:gridAfter w:val="1"/>
          <w:wAfter w:w="125" w:type="dxa"/>
          <w:cantSplit/>
          <w:trHeight w:val="5021"/>
          <w:tblHeader/>
        </w:trPr>
        <w:tc>
          <w:tcPr>
            <w:tcW w:w="1800" w:type="dxa"/>
            <w:tcBorders>
              <w:bottom w:val="nil"/>
            </w:tcBorders>
          </w:tcPr>
          <w:p w:rsidR="00087C0C" w:rsidRDefault="00087C0C">
            <w:pPr>
              <w:ind w:right="-108"/>
              <w:rPr>
                <w:rFonts w:cs="Arial"/>
                <w:b/>
                <w:bCs/>
                <w:color w:val="0000FF"/>
              </w:rPr>
            </w:pPr>
          </w:p>
          <w:p w:rsidR="00087C0C" w:rsidRDefault="00087C0C">
            <w:pPr>
              <w:ind w:right="-108"/>
              <w:rPr>
                <w:rFonts w:cs="Arial"/>
                <w:b/>
                <w:bCs/>
                <w:color w:val="0000FF"/>
              </w:rPr>
            </w:pPr>
            <w:r>
              <w:rPr>
                <w:rFonts w:cs="Arial"/>
                <w:b/>
                <w:bCs/>
                <w:color w:val="0000FF"/>
              </w:rPr>
              <w:t>Quality Control (Urine)</w:t>
            </w:r>
          </w:p>
          <w:p w:rsidR="00087C0C" w:rsidRDefault="00087C0C">
            <w:pPr>
              <w:pStyle w:val="BodyText3"/>
            </w:pPr>
          </w:p>
          <w:p w:rsidR="00087C0C" w:rsidRDefault="00087C0C">
            <w:pPr>
              <w:ind w:right="-108"/>
              <w:rPr>
                <w:rFonts w:cs="Arial"/>
                <w:b/>
                <w:bCs/>
                <w:color w:val="0000FF"/>
              </w:rPr>
            </w:pPr>
          </w:p>
          <w:p w:rsidR="00087C0C" w:rsidRDefault="00087C0C">
            <w:pPr>
              <w:ind w:right="-108"/>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vAlign w:val="center"/>
          </w:tcPr>
          <w:p w:rsidR="00087C0C" w:rsidRPr="00433294" w:rsidRDefault="00087C0C" w:rsidP="00231441">
            <w:pPr>
              <w:pStyle w:val="Header"/>
              <w:tabs>
                <w:tab w:val="left" w:pos="720"/>
              </w:tabs>
              <w:spacing w:after="120"/>
              <w:rPr>
                <w:rFonts w:cs="Arial"/>
                <w:szCs w:val="20"/>
              </w:rPr>
            </w:pPr>
            <w:r w:rsidRPr="00433294">
              <w:rPr>
                <w:rFonts w:cs="Arial"/>
                <w:szCs w:val="20"/>
              </w:rPr>
              <w:t>Biorad Liquichek</w:t>
            </w:r>
            <w:r w:rsidRPr="00433294">
              <w:rPr>
                <w:rFonts w:cs="Arial"/>
                <w:szCs w:val="20"/>
              </w:rPr>
              <w:sym w:font="Symbol" w:char="00D2"/>
            </w:r>
            <w:r w:rsidRPr="00433294">
              <w:rPr>
                <w:rFonts w:cs="Arial"/>
                <w:szCs w:val="20"/>
              </w:rPr>
              <w:t xml:space="preserve"> </w:t>
            </w:r>
            <w:r w:rsidRPr="00433294">
              <w:rPr>
                <w:rFonts w:cs="Arial"/>
                <w:b/>
                <w:bCs/>
                <w:szCs w:val="20"/>
              </w:rPr>
              <w:t>Urine Chemistry</w:t>
            </w:r>
            <w:r w:rsidRPr="00433294">
              <w:rPr>
                <w:rFonts w:cs="Arial"/>
                <w:szCs w:val="20"/>
              </w:rPr>
              <w:t xml:space="preserve"> Control Levels 1 &amp; 2 for use with urine samples</w:t>
            </w:r>
          </w:p>
          <w:p w:rsidR="00087C0C" w:rsidRPr="00433294" w:rsidRDefault="00087C0C" w:rsidP="00231441">
            <w:pPr>
              <w:spacing w:after="120"/>
              <w:ind w:right="-108"/>
              <w:rPr>
                <w:rFonts w:cs="Arial"/>
                <w:szCs w:val="20"/>
              </w:rPr>
            </w:pPr>
            <w:r w:rsidRPr="00433294">
              <w:rPr>
                <w:rFonts w:cs="Arial"/>
                <w:b/>
                <w:bCs/>
                <w:szCs w:val="20"/>
              </w:rPr>
              <w:t>Frequency</w:t>
            </w:r>
            <w:r w:rsidR="00C8373E" w:rsidRPr="00433294">
              <w:rPr>
                <w:rFonts w:cs="Arial"/>
                <w:b/>
                <w:bCs/>
                <w:szCs w:val="20"/>
              </w:rPr>
              <w:t>:</w:t>
            </w:r>
            <w:r w:rsidRPr="00433294">
              <w:rPr>
                <w:rFonts w:cs="Arial"/>
                <w:szCs w:val="20"/>
              </w:rPr>
              <w:t xml:space="preserve"> </w:t>
            </w:r>
            <w:r w:rsidR="00C43AEE">
              <w:rPr>
                <w:rFonts w:cs="Arial"/>
                <w:szCs w:val="20"/>
              </w:rPr>
              <w:t>Two levels daily</w:t>
            </w:r>
          </w:p>
          <w:p w:rsidR="00C43AEE" w:rsidRDefault="00087C0C" w:rsidP="00C43AEE">
            <w:pPr>
              <w:autoSpaceDE w:val="0"/>
              <w:autoSpaceDN w:val="0"/>
              <w:adjustRightInd w:val="0"/>
              <w:rPr>
                <w:rFonts w:eastAsia="HelveticaNeueLTPro-Cn" w:cs="Arial"/>
                <w:szCs w:val="20"/>
              </w:rPr>
            </w:pPr>
            <w:r w:rsidRPr="00433294">
              <w:rPr>
                <w:rFonts w:cs="Arial"/>
                <w:b/>
                <w:bCs/>
                <w:szCs w:val="20"/>
              </w:rPr>
              <w:t>Stability</w:t>
            </w:r>
            <w:r w:rsidR="00C8373E" w:rsidRPr="00433294">
              <w:rPr>
                <w:rFonts w:cs="Arial"/>
                <w:b/>
                <w:bCs/>
                <w:szCs w:val="20"/>
              </w:rPr>
              <w:t>:</w:t>
            </w:r>
            <w:r w:rsidRPr="00433294">
              <w:rPr>
                <w:rFonts w:cs="Arial"/>
                <w:szCs w:val="20"/>
              </w:rPr>
              <w:t xml:space="preserve"> </w:t>
            </w:r>
            <w:r w:rsidR="001E1163">
              <w:rPr>
                <w:rFonts w:eastAsia="HelveticaNeueLTPro-Cn" w:cs="Arial"/>
                <w:szCs w:val="20"/>
              </w:rPr>
              <w:t>E</w:t>
            </w:r>
            <w:r w:rsidR="00C867A2" w:rsidRPr="00433294">
              <w:rPr>
                <w:rFonts w:eastAsia="HelveticaNeueLTPro-Cn" w:cs="Arial"/>
                <w:szCs w:val="20"/>
              </w:rPr>
              <w:t xml:space="preserve">xpiration date </w:t>
            </w:r>
            <w:r w:rsidR="00433294">
              <w:rPr>
                <w:rFonts w:eastAsia="HelveticaNeueLTPro-Cn" w:cs="Arial"/>
                <w:szCs w:val="20"/>
              </w:rPr>
              <w:t xml:space="preserve">on vial </w:t>
            </w:r>
            <w:r w:rsidR="00C867A2" w:rsidRPr="00433294">
              <w:rPr>
                <w:rFonts w:eastAsia="HelveticaNeueLTPro-Cn" w:cs="Arial"/>
                <w:szCs w:val="20"/>
              </w:rPr>
              <w:t>when stored unopened at 2 to 8°C.</w:t>
            </w:r>
            <w:r w:rsidR="006D2F24">
              <w:rPr>
                <w:rFonts w:eastAsia="HelveticaNeueLTPro-Cn" w:cs="Arial"/>
                <w:szCs w:val="20"/>
              </w:rPr>
              <w:t xml:space="preserve">  </w:t>
            </w:r>
            <w:r w:rsidR="00C867A2" w:rsidRPr="00433294">
              <w:rPr>
                <w:rFonts w:eastAsia="HelveticaNeueLTPro-Cn" w:cs="Arial"/>
                <w:szCs w:val="20"/>
              </w:rPr>
              <w:t>Once the product stopper is punctured, all analytes will be stable for 30 days</w:t>
            </w:r>
            <w:r w:rsidR="00C43AEE">
              <w:rPr>
                <w:rFonts w:eastAsia="HelveticaNeueLTPro-Cn" w:cs="Arial"/>
                <w:szCs w:val="20"/>
              </w:rPr>
              <w:t>.</w:t>
            </w:r>
          </w:p>
          <w:p w:rsidR="00C43AEE" w:rsidRDefault="00C43AEE" w:rsidP="00C43AEE">
            <w:pPr>
              <w:autoSpaceDE w:val="0"/>
              <w:autoSpaceDN w:val="0"/>
              <w:adjustRightInd w:val="0"/>
              <w:rPr>
                <w:rFonts w:eastAsia="HelveticaNeueLTPro-Cn" w:cs="Arial"/>
                <w:szCs w:val="20"/>
              </w:rPr>
            </w:pPr>
          </w:p>
          <w:p w:rsidR="00C43AEE" w:rsidRDefault="00C43AEE" w:rsidP="00C43AEE">
            <w:pPr>
              <w:autoSpaceDE w:val="0"/>
              <w:autoSpaceDN w:val="0"/>
              <w:adjustRightInd w:val="0"/>
              <w:rPr>
                <w:rFonts w:eastAsia="HelveticaNeueLTPro-Cn" w:cs="Arial"/>
                <w:szCs w:val="20"/>
              </w:rPr>
            </w:pPr>
            <w:r>
              <w:rPr>
                <w:rFonts w:eastAsia="HelveticaNeueLTPro-Cn" w:cs="Arial"/>
                <w:szCs w:val="20"/>
              </w:rPr>
              <w:t>Swirl gently before aliquoting and minimize time at room temperature.</w:t>
            </w:r>
          </w:p>
          <w:p w:rsidR="00433294" w:rsidRPr="00C43AEE" w:rsidRDefault="00C867A2" w:rsidP="00C43AEE">
            <w:pPr>
              <w:autoSpaceDE w:val="0"/>
              <w:autoSpaceDN w:val="0"/>
              <w:adjustRightInd w:val="0"/>
              <w:rPr>
                <w:rFonts w:eastAsia="HelveticaNeueLTPro-Cn" w:cs="Arial"/>
                <w:szCs w:val="20"/>
              </w:rPr>
            </w:pPr>
            <w:r w:rsidRPr="00433294">
              <w:rPr>
                <w:rFonts w:eastAsia="HelveticaNeueLTPro-Cn" w:cs="Arial"/>
                <w:szCs w:val="20"/>
              </w:rPr>
              <w:t xml:space="preserve"> </w:t>
            </w:r>
          </w:p>
          <w:p w:rsidR="000A24B1" w:rsidRDefault="000A24B1" w:rsidP="000A24B1">
            <w:pPr>
              <w:jc w:val="both"/>
              <w:rPr>
                <w:rFonts w:cs="Arial"/>
              </w:rPr>
            </w:pPr>
            <w:r>
              <w:rPr>
                <w:rFonts w:cs="Arial"/>
                <w:b/>
                <w:bCs/>
              </w:rPr>
              <w:t>Acceptable ranges:</w:t>
            </w:r>
            <w:r>
              <w:rPr>
                <w:rFonts w:cs="Arial"/>
              </w:rPr>
              <w:t xml:space="preserve"> </w:t>
            </w:r>
          </w:p>
          <w:p w:rsidR="000A24B1" w:rsidRDefault="000A24B1" w:rsidP="000A24B1">
            <w:pPr>
              <w:pStyle w:val="ListParagraph"/>
              <w:numPr>
                <w:ilvl w:val="0"/>
                <w:numId w:val="9"/>
              </w:numPr>
              <w:jc w:val="both"/>
              <w:rPr>
                <w:rFonts w:cs="Arial"/>
              </w:rPr>
            </w:pPr>
            <w:r>
              <w:rPr>
                <w:rFonts w:cs="Arial"/>
              </w:rPr>
              <w:t xml:space="preserve">Non-Bio-Rad controls will utilize manufacturer ranges and 2 SD Westgard rules.  </w:t>
            </w:r>
          </w:p>
          <w:p w:rsidR="000A24B1" w:rsidRDefault="000A24B1" w:rsidP="000A24B1">
            <w:pPr>
              <w:pStyle w:val="ListParagraph"/>
              <w:numPr>
                <w:ilvl w:val="0"/>
                <w:numId w:val="9"/>
              </w:numPr>
              <w:jc w:val="both"/>
              <w:rPr>
                <w:rFonts w:cs="Arial"/>
              </w:rPr>
            </w:pPr>
            <w:r>
              <w:rPr>
                <w:rFonts w:cs="Arial"/>
              </w:rPr>
              <w:t xml:space="preserve">New lots of Bio-Rad controls should be run for 20 days in parallel with the current lot whenever possible prior to switching to the new lot.  </w:t>
            </w:r>
          </w:p>
          <w:p w:rsidR="000A24B1" w:rsidRPr="00AD2383" w:rsidRDefault="000A24B1" w:rsidP="000A24B1">
            <w:pPr>
              <w:pStyle w:val="ListParagraph"/>
              <w:numPr>
                <w:ilvl w:val="0"/>
                <w:numId w:val="9"/>
              </w:numPr>
              <w:jc w:val="both"/>
              <w:rPr>
                <w:rFonts w:cs="Arial"/>
              </w:rPr>
            </w:pPr>
            <w:r>
              <w:rPr>
                <w:rFonts w:cs="Arial"/>
              </w:rPr>
              <w:t xml:space="preserve">Refer to the </w:t>
            </w:r>
            <w:hyperlink r:id="rId10" w:history="1">
              <w:r w:rsidRPr="008D768B">
                <w:rPr>
                  <w:rStyle w:val="Hyperlink"/>
                  <w:rFonts w:cs="Arial"/>
                </w:rPr>
                <w:t>Westgard Rules in Chemistry procedure</w:t>
              </w:r>
            </w:hyperlink>
            <w:r>
              <w:rPr>
                <w:rFonts w:cs="Arial"/>
              </w:rPr>
              <w:t xml:space="preserve"> for current Westgard rules in place for each analyte.  </w:t>
            </w:r>
          </w:p>
          <w:p w:rsidR="000A24B1" w:rsidRDefault="000A24B1" w:rsidP="000A24B1">
            <w:pPr>
              <w:numPr>
                <w:ilvl w:val="0"/>
                <w:numId w:val="9"/>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0A24B1" w:rsidRDefault="000A24B1" w:rsidP="000A24B1">
            <w:pPr>
              <w:numPr>
                <w:ilvl w:val="0"/>
                <w:numId w:val="9"/>
              </w:numPr>
              <w:autoSpaceDE w:val="0"/>
              <w:autoSpaceDN w:val="0"/>
              <w:adjustRightInd w:val="0"/>
              <w:jc w:val="both"/>
              <w:rPr>
                <w:rFonts w:cs="Arial"/>
                <w:color w:val="000000"/>
                <w:szCs w:val="20"/>
              </w:rPr>
            </w:pPr>
            <w:r>
              <w:rPr>
                <w:rFonts w:cs="Arial"/>
                <w:szCs w:val="20"/>
              </w:rPr>
              <w:t xml:space="preserve">In the event of a QC failure, refer to the </w:t>
            </w:r>
            <w:hyperlink r:id="rId11" w:history="1">
              <w:r w:rsidRPr="00AD2383">
                <w:rPr>
                  <w:rStyle w:val="Hyperlink"/>
                  <w:rFonts w:cs="Arial"/>
                  <w:szCs w:val="20"/>
                </w:rPr>
                <w:t>Unity Real Time QC Review, General User</w:t>
              </w:r>
            </w:hyperlink>
            <w:r>
              <w:rPr>
                <w:rFonts w:cs="Arial"/>
                <w:szCs w:val="20"/>
              </w:rPr>
              <w:t xml:space="preserve"> and navigate to the QC Troubleshooting section.</w:t>
            </w:r>
          </w:p>
          <w:p w:rsidR="000A24B1" w:rsidRPr="00AD2383" w:rsidRDefault="000A24B1" w:rsidP="000A24B1">
            <w:pPr>
              <w:numPr>
                <w:ilvl w:val="0"/>
                <w:numId w:val="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rsidR="00C8373E" w:rsidRPr="00231441" w:rsidRDefault="00C8373E" w:rsidP="000A24B1">
            <w:pPr>
              <w:ind w:left="360"/>
              <w:rPr>
                <w:rFonts w:cs="Arial"/>
                <w:iCs/>
                <w:szCs w:val="20"/>
              </w:rPr>
            </w:pPr>
          </w:p>
        </w:tc>
      </w:tr>
      <w:tr w:rsidR="00087C0C" w:rsidTr="00C735D5">
        <w:trPr>
          <w:gridAfter w:val="1"/>
          <w:wAfter w:w="125" w:type="dxa"/>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Calculations</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pStyle w:val="Header"/>
              <w:tabs>
                <w:tab w:val="clear" w:pos="4320"/>
                <w:tab w:val="clear" w:pos="8640"/>
              </w:tabs>
              <w:rPr>
                <w:rFonts w:cs="Arial"/>
              </w:rPr>
            </w:pPr>
          </w:p>
          <w:p w:rsidR="00087C0C" w:rsidRDefault="00087C0C">
            <w:pPr>
              <w:rPr>
                <w:rFonts w:cs="Arial"/>
                <w:u w:val="single"/>
              </w:rPr>
            </w:pPr>
            <w:r>
              <w:rPr>
                <w:rFonts w:cs="Arial"/>
              </w:rPr>
              <w:t xml:space="preserve">24 HR urine protein (UTP) = </w:t>
            </w:r>
            <w:proofErr w:type="spellStart"/>
            <w:r w:rsidR="00C43AEE">
              <w:rPr>
                <w:rFonts w:cs="Arial"/>
                <w:u w:val="single"/>
              </w:rPr>
              <w:t>UPro</w:t>
            </w:r>
            <w:proofErr w:type="spellEnd"/>
            <w:r>
              <w:rPr>
                <w:rFonts w:cs="Arial"/>
                <w:u w:val="single"/>
              </w:rPr>
              <w:t xml:space="preserve"> (mg/dL) x mL urine collected in 24 hours</w:t>
            </w:r>
            <w:r>
              <w:rPr>
                <w:rFonts w:cs="Arial"/>
              </w:rPr>
              <w:t xml:space="preserve"> = mg/collection</w:t>
            </w:r>
          </w:p>
          <w:p w:rsidR="00087C0C" w:rsidRDefault="00C8373E">
            <w:pPr>
              <w:pStyle w:val="Header"/>
              <w:tabs>
                <w:tab w:val="clear" w:pos="4320"/>
                <w:tab w:val="clear" w:pos="8640"/>
              </w:tabs>
              <w:ind w:left="720"/>
              <w:rPr>
                <w:rFonts w:cs="Arial"/>
              </w:rPr>
            </w:pPr>
            <w:r>
              <w:rPr>
                <w:rFonts w:cs="Arial"/>
                <w:snapToGrid w:val="0"/>
              </w:rPr>
              <w:tab/>
            </w:r>
            <w:r>
              <w:rPr>
                <w:rFonts w:cs="Arial"/>
                <w:snapToGrid w:val="0"/>
              </w:rPr>
              <w:tab/>
            </w:r>
            <w:r>
              <w:rPr>
                <w:rFonts w:cs="Arial"/>
                <w:snapToGrid w:val="0"/>
              </w:rPr>
              <w:tab/>
            </w:r>
            <w:r>
              <w:rPr>
                <w:rFonts w:cs="Arial"/>
                <w:snapToGrid w:val="0"/>
              </w:rPr>
              <w:tab/>
            </w:r>
            <w:r>
              <w:rPr>
                <w:rFonts w:cs="Arial"/>
                <w:snapToGrid w:val="0"/>
              </w:rPr>
              <w:tab/>
            </w:r>
            <w:r w:rsidR="00087C0C">
              <w:rPr>
                <w:rFonts w:cs="Arial"/>
                <w:snapToGrid w:val="0"/>
              </w:rPr>
              <w:t>100</w:t>
            </w:r>
          </w:p>
          <w:p w:rsidR="00087C0C" w:rsidRDefault="00087C0C">
            <w:pPr>
              <w:pStyle w:val="Header"/>
              <w:tabs>
                <w:tab w:val="clear" w:pos="4320"/>
                <w:tab w:val="clear" w:pos="8640"/>
              </w:tabs>
              <w:rPr>
                <w:rFonts w:cs="Arial"/>
              </w:rPr>
            </w:pPr>
          </w:p>
          <w:p w:rsidR="00574821" w:rsidRDefault="00574821">
            <w:pPr>
              <w:pStyle w:val="Header"/>
              <w:tabs>
                <w:tab w:val="clear" w:pos="4320"/>
                <w:tab w:val="clear" w:pos="8640"/>
              </w:tabs>
              <w:rPr>
                <w:rFonts w:cs="Arial"/>
              </w:rPr>
            </w:pPr>
            <w:r w:rsidRPr="00050F69">
              <w:rPr>
                <w:rFonts w:cs="Arial"/>
                <w:b/>
                <w:szCs w:val="20"/>
              </w:rPr>
              <w:t>UPCR</w:t>
            </w:r>
            <w:r>
              <w:rPr>
                <w:rFonts w:cs="Arial"/>
                <w:szCs w:val="20"/>
              </w:rPr>
              <w:t xml:space="preserve"> =  U</w:t>
            </w:r>
            <w:r w:rsidRPr="00050F69">
              <w:rPr>
                <w:rFonts w:cs="Arial"/>
                <w:szCs w:val="20"/>
              </w:rPr>
              <w:t>rin</w:t>
            </w:r>
            <w:r>
              <w:rPr>
                <w:rFonts w:cs="Arial"/>
                <w:szCs w:val="20"/>
              </w:rPr>
              <w:t>e P</w:t>
            </w:r>
            <w:r>
              <w:rPr>
                <w:rFonts w:cs="Arial"/>
                <w:szCs w:val="20"/>
              </w:rPr>
              <w:t>rotein</w:t>
            </w:r>
            <w:r>
              <w:rPr>
                <w:rFonts w:cs="Arial"/>
                <w:szCs w:val="20"/>
              </w:rPr>
              <w:t>/C</w:t>
            </w:r>
            <w:bookmarkStart w:id="0" w:name="_GoBack"/>
            <w:bookmarkEnd w:id="0"/>
            <w:r>
              <w:rPr>
                <w:rFonts w:cs="Arial"/>
                <w:szCs w:val="20"/>
              </w:rPr>
              <w:t>reatinine</w:t>
            </w:r>
            <w:r>
              <w:rPr>
                <w:rFonts w:cs="Arial"/>
                <w:szCs w:val="20"/>
              </w:rPr>
              <w:t xml:space="preserve"> ratio= </w:t>
            </w:r>
            <w:r w:rsidRPr="00050F69">
              <w:rPr>
                <w:rFonts w:cs="Arial"/>
                <w:szCs w:val="20"/>
              </w:rPr>
              <w:t xml:space="preserve">Urine Protein (mg/dL)/Urine Creatinine (mg/dL)                                 </w:t>
            </w:r>
          </w:p>
        </w:tc>
      </w:tr>
      <w:tr w:rsidR="00087C0C" w:rsidTr="00C735D5">
        <w:trPr>
          <w:gridAfter w:val="1"/>
          <w:wAfter w:w="125" w:type="dxa"/>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Interferences</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autoSpaceDE w:val="0"/>
              <w:autoSpaceDN w:val="0"/>
              <w:adjustRightInd w:val="0"/>
              <w:rPr>
                <w:rFonts w:ascii="HelenPro-Cond" w:hAnsi="HelenPro-Cond"/>
                <w:sz w:val="14"/>
                <w:szCs w:val="14"/>
              </w:rPr>
            </w:pPr>
          </w:p>
          <w:p w:rsidR="00C8373E" w:rsidRDefault="00C8373E" w:rsidP="00C8373E">
            <w:pPr>
              <w:pStyle w:val="TableText"/>
              <w:adjustRightInd w:val="0"/>
              <w:spacing w:after="120"/>
              <w:rPr>
                <w:rFonts w:ascii="Arial" w:hAnsi="Arial" w:cs="Arial"/>
                <w:szCs w:val="12"/>
              </w:rPr>
            </w:pPr>
            <w:r>
              <w:rPr>
                <w:rFonts w:ascii="Arial" w:hAnsi="Arial"/>
              </w:rPr>
              <w:t>Hemolysis, Icterus &amp; Lipemia (HIL) Index Values</w:t>
            </w:r>
            <w:r>
              <w:rPr>
                <w:rFonts w:ascii="Arial" w:hAnsi="Arial" w:cs="Arial"/>
                <w:szCs w:val="1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450"/>
              <w:gridCol w:w="450"/>
            </w:tblGrid>
            <w:tr w:rsidR="00C8373E" w:rsidRPr="00173A10" w:rsidTr="00C8373E">
              <w:tc>
                <w:tcPr>
                  <w:tcW w:w="517" w:type="dxa"/>
                </w:tcPr>
                <w:p w:rsidR="00C8373E" w:rsidRPr="00173A10" w:rsidRDefault="00C8373E" w:rsidP="00C8373E">
                  <w:pPr>
                    <w:autoSpaceDE w:val="0"/>
                    <w:autoSpaceDN w:val="0"/>
                    <w:adjustRightInd w:val="0"/>
                    <w:jc w:val="center"/>
                    <w:rPr>
                      <w:rFonts w:cs="Arial"/>
                      <w:b/>
                      <w:szCs w:val="12"/>
                    </w:rPr>
                  </w:pPr>
                  <w:r w:rsidRPr="00173A10">
                    <w:rPr>
                      <w:rFonts w:cs="Arial"/>
                      <w:b/>
                      <w:szCs w:val="12"/>
                    </w:rPr>
                    <w:t>H</w:t>
                  </w:r>
                </w:p>
              </w:tc>
              <w:tc>
                <w:tcPr>
                  <w:tcW w:w="450" w:type="dxa"/>
                </w:tcPr>
                <w:p w:rsidR="00C8373E" w:rsidRPr="00173A10" w:rsidRDefault="00C8373E" w:rsidP="00C8373E">
                  <w:pPr>
                    <w:autoSpaceDE w:val="0"/>
                    <w:autoSpaceDN w:val="0"/>
                    <w:adjustRightInd w:val="0"/>
                    <w:jc w:val="center"/>
                    <w:rPr>
                      <w:rFonts w:cs="Arial"/>
                      <w:b/>
                      <w:szCs w:val="12"/>
                    </w:rPr>
                  </w:pPr>
                  <w:r w:rsidRPr="00173A10">
                    <w:rPr>
                      <w:rFonts w:cs="Arial"/>
                      <w:b/>
                      <w:szCs w:val="12"/>
                    </w:rPr>
                    <w:t>I</w:t>
                  </w:r>
                </w:p>
              </w:tc>
              <w:tc>
                <w:tcPr>
                  <w:tcW w:w="450" w:type="dxa"/>
                </w:tcPr>
                <w:p w:rsidR="00C8373E" w:rsidRPr="00173A10" w:rsidRDefault="00C8373E" w:rsidP="00C8373E">
                  <w:pPr>
                    <w:autoSpaceDE w:val="0"/>
                    <w:autoSpaceDN w:val="0"/>
                    <w:adjustRightInd w:val="0"/>
                    <w:jc w:val="center"/>
                    <w:rPr>
                      <w:rFonts w:cs="Arial"/>
                      <w:b/>
                      <w:szCs w:val="12"/>
                    </w:rPr>
                  </w:pPr>
                  <w:r w:rsidRPr="00173A10">
                    <w:rPr>
                      <w:rFonts w:cs="Arial"/>
                      <w:b/>
                      <w:szCs w:val="12"/>
                    </w:rPr>
                    <w:t>L</w:t>
                  </w:r>
                </w:p>
              </w:tc>
            </w:tr>
            <w:tr w:rsidR="00C8373E" w:rsidRPr="00173A10" w:rsidTr="00C8373E">
              <w:tc>
                <w:tcPr>
                  <w:tcW w:w="517" w:type="dxa"/>
                </w:tcPr>
                <w:p w:rsidR="00C8373E" w:rsidRPr="00173A10" w:rsidRDefault="00C8373E" w:rsidP="00C8373E">
                  <w:pPr>
                    <w:autoSpaceDE w:val="0"/>
                    <w:autoSpaceDN w:val="0"/>
                    <w:adjustRightInd w:val="0"/>
                    <w:jc w:val="center"/>
                    <w:rPr>
                      <w:rFonts w:cs="Arial"/>
                      <w:szCs w:val="12"/>
                    </w:rPr>
                  </w:pPr>
                  <w:r>
                    <w:rPr>
                      <w:rFonts w:cs="Arial"/>
                      <w:szCs w:val="12"/>
                    </w:rPr>
                    <w:t>-</w:t>
                  </w:r>
                </w:p>
              </w:tc>
              <w:tc>
                <w:tcPr>
                  <w:tcW w:w="450" w:type="dxa"/>
                </w:tcPr>
                <w:p w:rsidR="00C8373E" w:rsidRPr="00173A10" w:rsidRDefault="00C8373E" w:rsidP="00C8373E">
                  <w:pPr>
                    <w:autoSpaceDE w:val="0"/>
                    <w:autoSpaceDN w:val="0"/>
                    <w:adjustRightInd w:val="0"/>
                    <w:jc w:val="center"/>
                    <w:rPr>
                      <w:rFonts w:cs="Arial"/>
                      <w:szCs w:val="12"/>
                    </w:rPr>
                  </w:pPr>
                  <w:r>
                    <w:rPr>
                      <w:rFonts w:cs="Arial"/>
                      <w:szCs w:val="12"/>
                    </w:rPr>
                    <w:t>-</w:t>
                  </w:r>
                </w:p>
              </w:tc>
              <w:tc>
                <w:tcPr>
                  <w:tcW w:w="450" w:type="dxa"/>
                </w:tcPr>
                <w:p w:rsidR="00C8373E" w:rsidRPr="00173A10" w:rsidRDefault="00C8373E" w:rsidP="00C8373E">
                  <w:pPr>
                    <w:autoSpaceDE w:val="0"/>
                    <w:autoSpaceDN w:val="0"/>
                    <w:adjustRightInd w:val="0"/>
                    <w:jc w:val="center"/>
                    <w:rPr>
                      <w:rFonts w:cs="Arial"/>
                      <w:szCs w:val="12"/>
                    </w:rPr>
                  </w:pPr>
                  <w:r>
                    <w:rPr>
                      <w:rFonts w:cs="Arial"/>
                      <w:szCs w:val="12"/>
                    </w:rPr>
                    <w:t>-</w:t>
                  </w:r>
                </w:p>
              </w:tc>
            </w:tr>
          </w:tbl>
          <w:p w:rsidR="00C8373E" w:rsidRDefault="00C8373E" w:rsidP="00C8373E">
            <w:pPr>
              <w:autoSpaceDE w:val="0"/>
              <w:autoSpaceDN w:val="0"/>
              <w:adjustRightInd w:val="0"/>
              <w:rPr>
                <w:rFonts w:cs="Arial"/>
                <w:szCs w:val="12"/>
              </w:rPr>
            </w:pPr>
          </w:p>
          <w:p w:rsidR="00C8373E" w:rsidRPr="00C8373E" w:rsidRDefault="00C8373E" w:rsidP="000A24B1">
            <w:pPr>
              <w:numPr>
                <w:ilvl w:val="0"/>
                <w:numId w:val="8"/>
              </w:numPr>
              <w:autoSpaceDE w:val="0"/>
              <w:autoSpaceDN w:val="0"/>
              <w:adjustRightInd w:val="0"/>
              <w:rPr>
                <w:rFonts w:cs="Arial"/>
                <w:szCs w:val="20"/>
              </w:rPr>
            </w:pPr>
            <w:r w:rsidRPr="00C8373E">
              <w:rPr>
                <w:rFonts w:cs="Arial"/>
                <w:szCs w:val="20"/>
              </w:rPr>
              <w:t>Hemolyzed samples should be avoide</w:t>
            </w:r>
            <w:r w:rsidR="00C43AEE">
              <w:rPr>
                <w:rFonts w:cs="Arial"/>
                <w:szCs w:val="20"/>
              </w:rPr>
              <w:t xml:space="preserve">d since hemolysis increases </w:t>
            </w:r>
            <w:proofErr w:type="spellStart"/>
            <w:r w:rsidR="00C43AEE">
              <w:rPr>
                <w:rFonts w:cs="Arial"/>
                <w:szCs w:val="20"/>
              </w:rPr>
              <w:t>UPro</w:t>
            </w:r>
            <w:proofErr w:type="spellEnd"/>
            <w:r w:rsidRPr="00C8373E">
              <w:rPr>
                <w:rFonts w:cs="Arial"/>
                <w:szCs w:val="20"/>
              </w:rPr>
              <w:t xml:space="preserve"> results. Hemoglobin at 10 mg/dL incr</w:t>
            </w:r>
            <w:r w:rsidR="00C43AEE">
              <w:rPr>
                <w:rFonts w:cs="Arial"/>
                <w:szCs w:val="20"/>
              </w:rPr>
              <w:t xml:space="preserve">eases </w:t>
            </w:r>
            <w:proofErr w:type="spellStart"/>
            <w:r w:rsidR="00C43AEE">
              <w:rPr>
                <w:rFonts w:cs="Arial"/>
                <w:szCs w:val="20"/>
              </w:rPr>
              <w:t>UPro</w:t>
            </w:r>
            <w:proofErr w:type="spellEnd"/>
            <w:r w:rsidR="00C43AEE">
              <w:rPr>
                <w:rFonts w:cs="Arial"/>
                <w:szCs w:val="20"/>
              </w:rPr>
              <w:t xml:space="preserve"> result by 22% at </w:t>
            </w:r>
            <w:proofErr w:type="spellStart"/>
            <w:r w:rsidR="00C43AEE">
              <w:rPr>
                <w:rFonts w:cs="Arial"/>
                <w:szCs w:val="20"/>
              </w:rPr>
              <w:t>UPro</w:t>
            </w:r>
            <w:proofErr w:type="spellEnd"/>
            <w:r w:rsidRPr="00C8373E">
              <w:rPr>
                <w:rFonts w:cs="Arial"/>
                <w:szCs w:val="20"/>
              </w:rPr>
              <w:t xml:space="preserve"> l</w:t>
            </w:r>
            <w:r w:rsidR="008C08C2">
              <w:rPr>
                <w:rFonts w:cs="Arial"/>
                <w:szCs w:val="20"/>
              </w:rPr>
              <w:t>evel of 48 mg/dL</w:t>
            </w:r>
            <w:r w:rsidRPr="00C8373E">
              <w:rPr>
                <w:rFonts w:cs="Arial"/>
                <w:szCs w:val="20"/>
              </w:rPr>
              <w:t>.</w:t>
            </w:r>
          </w:p>
          <w:p w:rsidR="00C43AEE" w:rsidRPr="00C43AEE" w:rsidRDefault="00C43AEE" w:rsidP="00C43AEE">
            <w:pPr>
              <w:numPr>
                <w:ilvl w:val="0"/>
                <w:numId w:val="8"/>
              </w:numPr>
              <w:autoSpaceDE w:val="0"/>
              <w:autoSpaceDN w:val="0"/>
              <w:adjustRightInd w:val="0"/>
              <w:rPr>
                <w:rFonts w:cs="Arial"/>
                <w:szCs w:val="20"/>
              </w:rPr>
            </w:pPr>
            <w:proofErr w:type="spellStart"/>
            <w:r w:rsidRPr="00C43AEE">
              <w:rPr>
                <w:rFonts w:cs="Arial"/>
                <w:szCs w:val="20"/>
              </w:rPr>
              <w:t>Homogentisic</w:t>
            </w:r>
            <w:proofErr w:type="spellEnd"/>
            <w:r w:rsidRPr="00C43AEE">
              <w:rPr>
                <w:rFonts w:cs="Arial"/>
                <w:szCs w:val="20"/>
              </w:rPr>
              <w:t xml:space="preserve"> acid in urine samples at concentrations above 0.37 g/L</w:t>
            </w:r>
          </w:p>
          <w:p w:rsidR="00C8373E" w:rsidRPr="008C08C2" w:rsidRDefault="00C43AEE" w:rsidP="00C43AEE">
            <w:pPr>
              <w:autoSpaceDE w:val="0"/>
              <w:autoSpaceDN w:val="0"/>
              <w:adjustRightInd w:val="0"/>
              <w:ind w:left="473"/>
              <w:rPr>
                <w:rFonts w:cs="Arial"/>
                <w:szCs w:val="20"/>
              </w:rPr>
            </w:pPr>
            <w:r w:rsidRPr="00C43AEE">
              <w:rPr>
                <w:rFonts w:cs="Arial"/>
                <w:szCs w:val="20"/>
              </w:rPr>
              <w:t xml:space="preserve">(2.2 mmol/L) can cause incorrect results. </w:t>
            </w:r>
          </w:p>
          <w:p w:rsidR="00087C0C" w:rsidRPr="00C43AEE" w:rsidRDefault="00087C0C" w:rsidP="000A24B1">
            <w:pPr>
              <w:pStyle w:val="BodyText"/>
              <w:numPr>
                <w:ilvl w:val="0"/>
                <w:numId w:val="8"/>
              </w:numPr>
            </w:pPr>
            <w:proofErr w:type="spellStart"/>
            <w:r w:rsidRPr="008C08C2">
              <w:rPr>
                <w:rFonts w:cs="Arial"/>
                <w:szCs w:val="20"/>
              </w:rPr>
              <w:t>Xanthochromic</w:t>
            </w:r>
            <w:proofErr w:type="spellEnd"/>
            <w:r w:rsidRPr="008C08C2">
              <w:rPr>
                <w:rFonts w:cs="Arial"/>
                <w:szCs w:val="20"/>
              </w:rPr>
              <w:t xml:space="preserve"> specimens may falsely depress results</w:t>
            </w:r>
            <w:r>
              <w:rPr>
                <w:rFonts w:cs="Arial"/>
                <w:szCs w:val="20"/>
              </w:rPr>
              <w:t>.</w:t>
            </w:r>
          </w:p>
          <w:p w:rsidR="00C43AEE" w:rsidRDefault="00C43AEE" w:rsidP="00C43AEE">
            <w:pPr>
              <w:pStyle w:val="BodyText"/>
              <w:numPr>
                <w:ilvl w:val="0"/>
                <w:numId w:val="8"/>
              </w:numPr>
            </w:pPr>
            <w:r>
              <w:t>Samples for urinary/CSF protein should be collected before fluorescein is given or at least 24 hours later.</w:t>
            </w:r>
          </w:p>
          <w:p w:rsidR="00087C0C" w:rsidRPr="00433294" w:rsidRDefault="00C43AEE" w:rsidP="00433294">
            <w:pPr>
              <w:pStyle w:val="BodyText"/>
            </w:pPr>
            <w:r>
              <w:t>Refer to the Abbott</w:t>
            </w:r>
            <w:r w:rsidR="008C08C2">
              <w:t xml:space="preserve"> IFU for a list of non-interfering substances.</w:t>
            </w:r>
          </w:p>
        </w:tc>
      </w:tr>
      <w:tr w:rsidR="00087C0C" w:rsidTr="00C735D5">
        <w:trPr>
          <w:gridAfter w:val="1"/>
          <w:wAfter w:w="125" w:type="dxa"/>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Reference Ranges (Urine)</w:t>
            </w: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autoSpaceDE w:val="0"/>
              <w:autoSpaceDN w:val="0"/>
              <w:adjustRightInd w:val="0"/>
              <w:rPr>
                <w:rFonts w:ascii="HelenPro-Cond" w:hAnsi="HelenPro-Cond"/>
                <w:sz w:val="14"/>
                <w:szCs w:val="14"/>
              </w:rPr>
            </w:pPr>
          </w:p>
          <w:p w:rsidR="00087C0C" w:rsidRDefault="00087C0C" w:rsidP="000A24B1">
            <w:pPr>
              <w:numPr>
                <w:ilvl w:val="0"/>
                <w:numId w:val="3"/>
              </w:numPr>
            </w:pPr>
            <w:r>
              <w:rPr>
                <w:b/>
                <w:bCs/>
              </w:rPr>
              <w:t>Urine, random</w:t>
            </w:r>
            <w:r w:rsidR="00C43AEE">
              <w:t>: 1-14</w:t>
            </w:r>
            <w:r>
              <w:t xml:space="preserve"> mg/dL.</w:t>
            </w:r>
          </w:p>
          <w:p w:rsidR="00087C0C" w:rsidRDefault="00087C0C" w:rsidP="000A24B1">
            <w:pPr>
              <w:numPr>
                <w:ilvl w:val="0"/>
                <w:numId w:val="4"/>
              </w:numPr>
              <w:ind w:left="360"/>
              <w:rPr>
                <w:b/>
              </w:rPr>
            </w:pPr>
            <w:r>
              <w:rPr>
                <w:b/>
                <w:bCs/>
              </w:rPr>
              <w:t>Urine, timed</w:t>
            </w:r>
            <w:r>
              <w:t xml:space="preserve">: 0-99 mg/collection. </w:t>
            </w:r>
            <w:r>
              <w:rPr>
                <w:i/>
                <w:iCs/>
              </w:rPr>
              <w:t>The reference range is for a 24-hour collection. Collections for other than 24 hours do not have reference ranges established.</w:t>
            </w:r>
          </w:p>
          <w:p w:rsidR="00087C0C" w:rsidRDefault="00087C0C">
            <w:pPr>
              <w:autoSpaceDE w:val="0"/>
              <w:autoSpaceDN w:val="0"/>
              <w:adjustRightInd w:val="0"/>
              <w:rPr>
                <w:rFonts w:ascii="HelenPro-Cond" w:hAnsi="HelenPro-Cond"/>
                <w:sz w:val="14"/>
                <w:szCs w:val="14"/>
              </w:rPr>
            </w:pPr>
          </w:p>
        </w:tc>
      </w:tr>
      <w:tr w:rsidR="00087C0C" w:rsidTr="00C735D5">
        <w:trPr>
          <w:gridAfter w:val="1"/>
          <w:wAfter w:w="125" w:type="dxa"/>
          <w:trHeight w:val="1367"/>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Reference Ranges (CSF)</w:t>
            </w:r>
          </w:p>
        </w:tc>
        <w:tc>
          <w:tcPr>
            <w:tcW w:w="9360" w:type="dxa"/>
            <w:gridSpan w:val="4"/>
            <w:tcBorders>
              <w:top w:val="single" w:sz="18" w:space="0" w:color="BFBFBF" w:themeColor="background1" w:themeShade="BF"/>
              <w:bottom w:val="single" w:sz="18" w:space="0" w:color="BFBFBF" w:themeColor="background1" w:themeShade="BF"/>
            </w:tcBorders>
          </w:tcPr>
          <w:p w:rsidR="008C08C2" w:rsidRDefault="008C08C2"/>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tblGrid>
            <w:tr w:rsidR="00087C0C">
              <w:tc>
                <w:tcPr>
                  <w:tcW w:w="2160" w:type="dxa"/>
                </w:tcPr>
                <w:p w:rsidR="00087C0C" w:rsidRDefault="00087C0C">
                  <w:r>
                    <w:t>Age</w:t>
                  </w:r>
                </w:p>
              </w:tc>
              <w:tc>
                <w:tcPr>
                  <w:tcW w:w="2340" w:type="dxa"/>
                </w:tcPr>
                <w:p w:rsidR="00087C0C" w:rsidRDefault="00087C0C">
                  <w:r>
                    <w:rPr>
                      <w:b/>
                      <w:bCs/>
                    </w:rPr>
                    <w:t>CSF</w:t>
                  </w:r>
                  <w:r>
                    <w:t>: Spinal Fluid</w:t>
                  </w:r>
                </w:p>
              </w:tc>
            </w:tr>
            <w:tr w:rsidR="00087C0C">
              <w:tc>
                <w:tcPr>
                  <w:tcW w:w="2160" w:type="dxa"/>
                </w:tcPr>
                <w:p w:rsidR="00087C0C" w:rsidRDefault="00087C0C">
                  <w:r>
                    <w:t>0 - 2 days</w:t>
                  </w:r>
                </w:p>
              </w:tc>
              <w:tc>
                <w:tcPr>
                  <w:tcW w:w="2340" w:type="dxa"/>
                </w:tcPr>
                <w:p w:rsidR="00087C0C" w:rsidRDefault="00087C0C">
                  <w:r>
                    <w:t xml:space="preserve">40-120 mg/dL </w:t>
                  </w:r>
                </w:p>
              </w:tc>
            </w:tr>
            <w:tr w:rsidR="00087C0C">
              <w:tc>
                <w:tcPr>
                  <w:tcW w:w="2160" w:type="dxa"/>
                </w:tcPr>
                <w:p w:rsidR="00087C0C" w:rsidRDefault="00C43AEE">
                  <w:r>
                    <w:t xml:space="preserve">3 </w:t>
                  </w:r>
                  <w:r w:rsidR="00087C0C">
                    <w:t>days-1 month</w:t>
                  </w:r>
                </w:p>
              </w:tc>
              <w:tc>
                <w:tcPr>
                  <w:tcW w:w="2340" w:type="dxa"/>
                </w:tcPr>
                <w:p w:rsidR="00087C0C" w:rsidRDefault="00087C0C">
                  <w:r>
                    <w:t>20 - 80 mg/dL</w:t>
                  </w:r>
                </w:p>
              </w:tc>
            </w:tr>
            <w:tr w:rsidR="00087C0C">
              <w:tc>
                <w:tcPr>
                  <w:tcW w:w="2160" w:type="dxa"/>
                </w:tcPr>
                <w:p w:rsidR="00087C0C" w:rsidRDefault="00087C0C">
                  <w:pPr>
                    <w:pStyle w:val="Header"/>
                    <w:tabs>
                      <w:tab w:val="clear" w:pos="4320"/>
                      <w:tab w:val="clear" w:pos="8640"/>
                    </w:tabs>
                    <w:rPr>
                      <w:rFonts w:cs="Arial"/>
                    </w:rPr>
                  </w:pPr>
                  <w:r>
                    <w:t>&gt;1 month</w:t>
                  </w:r>
                </w:p>
              </w:tc>
              <w:tc>
                <w:tcPr>
                  <w:tcW w:w="2340" w:type="dxa"/>
                </w:tcPr>
                <w:p w:rsidR="00087C0C" w:rsidRDefault="00087C0C">
                  <w:r>
                    <w:t>15 – 40</w:t>
                  </w:r>
                </w:p>
              </w:tc>
            </w:tr>
          </w:tbl>
          <w:p w:rsidR="00087C0C" w:rsidRDefault="00087C0C">
            <w:pPr>
              <w:rPr>
                <w:rFonts w:cs="Arial"/>
              </w:rPr>
            </w:pPr>
          </w:p>
        </w:tc>
      </w:tr>
      <w:tr w:rsidR="00F93C24" w:rsidTr="00C735D5">
        <w:trPr>
          <w:gridAfter w:val="1"/>
          <w:wAfter w:w="125" w:type="dxa"/>
          <w:trHeight w:val="689"/>
          <w:tblHeader/>
        </w:trPr>
        <w:tc>
          <w:tcPr>
            <w:tcW w:w="1800" w:type="dxa"/>
          </w:tcPr>
          <w:p w:rsidR="00F93C24" w:rsidRDefault="00F93C24">
            <w:pPr>
              <w:rPr>
                <w:rFonts w:cs="Arial"/>
                <w:b/>
                <w:bCs/>
                <w:color w:val="0000FF"/>
              </w:rPr>
            </w:pPr>
          </w:p>
          <w:p w:rsidR="00F93C24" w:rsidRDefault="00F93C24">
            <w:pPr>
              <w:rPr>
                <w:rFonts w:cs="Arial"/>
                <w:b/>
                <w:bCs/>
                <w:color w:val="0000FF"/>
              </w:rPr>
            </w:pPr>
            <w:r>
              <w:rPr>
                <w:rFonts w:cs="Arial"/>
                <w:b/>
                <w:bCs/>
                <w:color w:val="0000FF"/>
              </w:rPr>
              <w:t>Critical Values</w:t>
            </w:r>
          </w:p>
          <w:p w:rsidR="00F93C24" w:rsidRDefault="00F93C24">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F93C24" w:rsidRDefault="00F93C24">
            <w:pPr>
              <w:rPr>
                <w:rFonts w:cs="Arial"/>
              </w:rPr>
            </w:pPr>
          </w:p>
          <w:p w:rsidR="00F93C24" w:rsidRDefault="00F93C24">
            <w:pPr>
              <w:rPr>
                <w:rFonts w:cs="Arial"/>
              </w:rPr>
            </w:pPr>
            <w:r w:rsidRPr="008C08C2">
              <w:rPr>
                <w:rFonts w:cs="Arial"/>
                <w:b/>
              </w:rPr>
              <w:t>CSF:</w:t>
            </w:r>
            <w:r>
              <w:rPr>
                <w:rFonts w:cs="Arial"/>
              </w:rPr>
              <w:t xml:space="preserve"> &gt; 150 mg/dL. Call result according to Critical Results Reporting Policy</w:t>
            </w:r>
          </w:p>
        </w:tc>
      </w:tr>
      <w:tr w:rsidR="00087C0C" w:rsidTr="00C735D5">
        <w:trPr>
          <w:gridAfter w:val="1"/>
          <w:wAfter w:w="125" w:type="dxa"/>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Limitations</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rPr>
                <w:rFonts w:cs="Arial"/>
                <w:szCs w:val="12"/>
              </w:rPr>
            </w:pPr>
          </w:p>
          <w:p w:rsidR="00087C0C" w:rsidRDefault="008C08C2">
            <w:pPr>
              <w:pStyle w:val="Calibrationpara"/>
              <w:tabs>
                <w:tab w:val="clear" w:pos="1271"/>
                <w:tab w:val="clear" w:pos="1800"/>
                <w:tab w:val="left" w:pos="1980"/>
                <w:tab w:val="left" w:pos="2520"/>
              </w:tabs>
              <w:spacing w:after="14" w:line="130" w:lineRule="atLeast"/>
              <w:ind w:left="2520" w:hanging="2520"/>
              <w:rPr>
                <w:rFonts w:ascii="Arial" w:hAnsi="Arial" w:cs="Arial"/>
                <w:sz w:val="20"/>
              </w:rPr>
            </w:pPr>
            <w:r>
              <w:rPr>
                <w:rFonts w:ascii="Arial" w:hAnsi="Arial" w:cs="Arial"/>
                <w:sz w:val="20"/>
              </w:rPr>
              <w:t>Linear</w:t>
            </w:r>
            <w:r w:rsidR="00C43AEE">
              <w:rPr>
                <w:rFonts w:ascii="Arial" w:hAnsi="Arial" w:cs="Arial"/>
                <w:sz w:val="20"/>
              </w:rPr>
              <w:t xml:space="preserve"> range of detection:  8 - 20</w:t>
            </w:r>
            <w:r w:rsidR="00087C0C">
              <w:rPr>
                <w:rFonts w:ascii="Arial" w:hAnsi="Arial" w:cs="Arial"/>
                <w:sz w:val="20"/>
              </w:rPr>
              <w:t>0 mg/dL</w:t>
            </w:r>
          </w:p>
          <w:p w:rsidR="008C08C2" w:rsidRDefault="008C08C2">
            <w:pPr>
              <w:pStyle w:val="Calibrationpara"/>
              <w:tabs>
                <w:tab w:val="clear" w:pos="1271"/>
                <w:tab w:val="clear" w:pos="1800"/>
                <w:tab w:val="left" w:pos="1980"/>
                <w:tab w:val="left" w:pos="2520"/>
              </w:tabs>
              <w:spacing w:after="14" w:line="130" w:lineRule="atLeast"/>
              <w:ind w:left="2520" w:hanging="2520"/>
              <w:rPr>
                <w:rFonts w:ascii="Arial" w:hAnsi="Arial" w:cs="Arial"/>
                <w:sz w:val="20"/>
                <w:szCs w:val="20"/>
              </w:rPr>
            </w:pPr>
          </w:p>
          <w:p w:rsidR="00087C0C" w:rsidRDefault="008C08C2" w:rsidP="008C08C2">
            <w:pPr>
              <w:autoSpaceDE w:val="0"/>
              <w:autoSpaceDN w:val="0"/>
              <w:adjustRightInd w:val="0"/>
              <w:rPr>
                <w:rFonts w:cs="Arial"/>
                <w:szCs w:val="20"/>
              </w:rPr>
            </w:pPr>
            <w:r w:rsidRPr="008C08C2">
              <w:rPr>
                <w:rFonts w:cs="Arial"/>
                <w:szCs w:val="20"/>
              </w:rPr>
              <w:t>The instrument reporting system contains flags and comments to provide the user with information regarding instrument processing errors, instrument status informat</w:t>
            </w:r>
            <w:r w:rsidR="00C43AEE">
              <w:rPr>
                <w:rFonts w:cs="Arial"/>
                <w:szCs w:val="20"/>
              </w:rPr>
              <w:t xml:space="preserve">ion and potential errors in </w:t>
            </w:r>
            <w:proofErr w:type="spellStart"/>
            <w:r w:rsidR="00C43AEE">
              <w:rPr>
                <w:rFonts w:cs="Arial"/>
                <w:szCs w:val="20"/>
              </w:rPr>
              <w:t>UPro</w:t>
            </w:r>
            <w:proofErr w:type="spellEnd"/>
            <w:r w:rsidRPr="008C08C2">
              <w:rPr>
                <w:rFonts w:cs="Arial"/>
                <w:szCs w:val="20"/>
              </w:rPr>
              <w:t xml:space="preserve"> results. Refer to your </w:t>
            </w:r>
            <w:r w:rsidR="00C43AEE">
              <w:rPr>
                <w:rFonts w:cs="Arial"/>
                <w:szCs w:val="20"/>
              </w:rPr>
              <w:t>Alinity</w:t>
            </w:r>
            <w:r w:rsidRPr="008C08C2">
              <w:rPr>
                <w:rFonts w:cs="Arial"/>
                <w:szCs w:val="20"/>
              </w:rPr>
              <w:t xml:space="preserve"> Operator’s Guide for the meaning of report flags and comments. Any report containing flags and/or comments should be addressed and not reported.</w:t>
            </w:r>
          </w:p>
          <w:p w:rsidR="008C08C2" w:rsidRPr="008C08C2" w:rsidRDefault="008C08C2" w:rsidP="008C08C2">
            <w:pPr>
              <w:autoSpaceDE w:val="0"/>
              <w:autoSpaceDN w:val="0"/>
              <w:adjustRightInd w:val="0"/>
              <w:rPr>
                <w:rFonts w:cs="Arial"/>
                <w:szCs w:val="20"/>
              </w:rPr>
            </w:pPr>
          </w:p>
        </w:tc>
      </w:tr>
      <w:tr w:rsidR="00087C0C" w:rsidTr="00C735D5">
        <w:trPr>
          <w:gridAfter w:val="1"/>
          <w:wAfter w:w="125" w:type="dxa"/>
          <w:trHeight w:val="4806"/>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Dilutions</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rPr>
                <w:rFonts w:cs="Arial"/>
              </w:rPr>
            </w:pPr>
          </w:p>
          <w:tbl>
            <w:tblP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5"/>
              <w:gridCol w:w="7029"/>
            </w:tblGrid>
            <w:tr w:rsidR="008C08C2" w:rsidRPr="007A579D" w:rsidTr="00C43AEE">
              <w:tc>
                <w:tcPr>
                  <w:tcW w:w="2115" w:type="dxa"/>
                </w:tcPr>
                <w:p w:rsidR="008C08C2" w:rsidRPr="007A579D" w:rsidRDefault="008C08C2" w:rsidP="008C08C2">
                  <w:pPr>
                    <w:pStyle w:val="BodyText"/>
                    <w:rPr>
                      <w:rFonts w:cs="Arial"/>
                    </w:rPr>
                  </w:pPr>
                  <w:r w:rsidRPr="007A579D">
                    <w:rPr>
                      <w:rFonts w:cs="Arial"/>
                    </w:rPr>
                    <w:t xml:space="preserve">Initial </w:t>
                  </w:r>
                  <w:r>
                    <w:rPr>
                      <w:rFonts w:cs="Arial"/>
                    </w:rPr>
                    <w:t xml:space="preserve">Vista </w:t>
                  </w:r>
                  <w:r w:rsidRPr="007A579D">
                    <w:rPr>
                      <w:rFonts w:cs="Arial"/>
                    </w:rPr>
                    <w:t>Dilution</w:t>
                  </w:r>
                  <w:r>
                    <w:rPr>
                      <w:rFonts w:cs="Arial"/>
                    </w:rPr>
                    <w:t>:</w:t>
                  </w:r>
                </w:p>
              </w:tc>
              <w:tc>
                <w:tcPr>
                  <w:tcW w:w="7029" w:type="dxa"/>
                </w:tcPr>
                <w:p w:rsidR="008C08C2" w:rsidRPr="007A579D" w:rsidRDefault="008C08C2" w:rsidP="008C08C2">
                  <w:pPr>
                    <w:pStyle w:val="BodyText"/>
                    <w:rPr>
                      <w:rFonts w:cs="Arial"/>
                    </w:rPr>
                  </w:pPr>
                  <w:r>
                    <w:rPr>
                      <w:rFonts w:cs="Arial"/>
                    </w:rPr>
                    <w:t>None</w:t>
                  </w:r>
                </w:p>
              </w:tc>
            </w:tr>
            <w:tr w:rsidR="008C08C2" w:rsidTr="00C43AEE">
              <w:tc>
                <w:tcPr>
                  <w:tcW w:w="2115" w:type="dxa"/>
                </w:tcPr>
                <w:p w:rsidR="008C08C2" w:rsidRPr="007A579D" w:rsidRDefault="00C43AEE" w:rsidP="00C43AEE">
                  <w:pPr>
                    <w:pStyle w:val="BodyText"/>
                    <w:rPr>
                      <w:rFonts w:cs="Arial"/>
                    </w:rPr>
                  </w:pPr>
                  <w:r>
                    <w:rPr>
                      <w:rFonts w:cs="Arial"/>
                    </w:rPr>
                    <w:t xml:space="preserve">Automated </w:t>
                  </w:r>
                  <w:r w:rsidR="008C08C2">
                    <w:rPr>
                      <w:rFonts w:cs="Arial"/>
                    </w:rPr>
                    <w:t>Dilution:</w:t>
                  </w:r>
                </w:p>
              </w:tc>
              <w:tc>
                <w:tcPr>
                  <w:tcW w:w="7029" w:type="dxa"/>
                </w:tcPr>
                <w:p w:rsidR="008C08C2" w:rsidRDefault="00C43AEE" w:rsidP="008C08C2">
                  <w:pPr>
                    <w:pStyle w:val="BodyText"/>
                    <w:rPr>
                      <w:rFonts w:cs="Arial"/>
                    </w:rPr>
                  </w:pPr>
                  <w:r>
                    <w:rPr>
                      <w:rFonts w:cs="Arial"/>
                    </w:rPr>
                    <w:t>1:2 and 1:10 maximum</w:t>
                  </w:r>
                </w:p>
              </w:tc>
            </w:tr>
            <w:tr w:rsidR="008C08C2" w:rsidRPr="0090549B" w:rsidTr="00C43AEE">
              <w:trPr>
                <w:trHeight w:val="458"/>
              </w:trPr>
              <w:tc>
                <w:tcPr>
                  <w:tcW w:w="2115" w:type="dxa"/>
                </w:tcPr>
                <w:p w:rsidR="008C08C2" w:rsidRPr="007A579D" w:rsidRDefault="008C08C2" w:rsidP="008C08C2">
                  <w:pPr>
                    <w:pStyle w:val="BodyText"/>
                    <w:rPr>
                      <w:rFonts w:cs="Arial"/>
                    </w:rPr>
                  </w:pPr>
                  <w:r>
                    <w:rPr>
                      <w:rFonts w:cs="Arial"/>
                    </w:rPr>
                    <w:t>Manual Dilution:</w:t>
                  </w:r>
                </w:p>
              </w:tc>
              <w:tc>
                <w:tcPr>
                  <w:tcW w:w="7029" w:type="dxa"/>
                </w:tcPr>
                <w:p w:rsidR="008C08C2" w:rsidRPr="008C08C2" w:rsidRDefault="00C43AEE" w:rsidP="000A24B1">
                  <w:pPr>
                    <w:pStyle w:val="CalVerTable"/>
                    <w:numPr>
                      <w:ilvl w:val="0"/>
                      <w:numId w:val="1"/>
                    </w:numPr>
                    <w:rPr>
                      <w:rFonts w:ascii="Arial" w:hAnsi="Arial" w:cs="Arial"/>
                    </w:rPr>
                  </w:pPr>
                  <w:r>
                    <w:rPr>
                      <w:rFonts w:ascii="Arial" w:hAnsi="Arial" w:cs="Arial"/>
                    </w:rPr>
                    <w:t>Do not manually dilute</w:t>
                  </w:r>
                </w:p>
              </w:tc>
            </w:tr>
          </w:tbl>
          <w:p w:rsidR="00087C0C" w:rsidRDefault="00087C0C" w:rsidP="008C08C2">
            <w:pPr>
              <w:pStyle w:val="CalVerTable"/>
              <w:ind w:left="0" w:firstLine="0"/>
              <w:rPr>
                <w:rFonts w:ascii="Arial" w:hAnsi="Arial" w:cs="Arial"/>
              </w:rPr>
            </w:pPr>
          </w:p>
        </w:tc>
      </w:tr>
      <w:tr w:rsidR="00087C0C" w:rsidTr="00C735D5">
        <w:trPr>
          <w:gridAfter w:val="1"/>
          <w:wAfter w:w="125" w:type="dxa"/>
          <w:tblHeader/>
        </w:trPr>
        <w:tc>
          <w:tcPr>
            <w:tcW w:w="1800" w:type="dxa"/>
          </w:tcPr>
          <w:p w:rsidR="00087C0C" w:rsidRDefault="00087C0C">
            <w:pPr>
              <w:pStyle w:val="Header"/>
              <w:tabs>
                <w:tab w:val="clear" w:pos="4320"/>
                <w:tab w:val="clear" w:pos="8640"/>
              </w:tabs>
              <w:rPr>
                <w:rFonts w:cs="Arial"/>
                <w:b/>
                <w:bCs/>
                <w:color w:val="0000FF"/>
              </w:rPr>
            </w:pPr>
          </w:p>
          <w:p w:rsidR="00087C0C" w:rsidRDefault="00087C0C">
            <w:pPr>
              <w:pStyle w:val="Header"/>
              <w:tabs>
                <w:tab w:val="clear" w:pos="4320"/>
                <w:tab w:val="clear" w:pos="8640"/>
              </w:tabs>
              <w:rPr>
                <w:rFonts w:cs="Arial"/>
                <w:b/>
                <w:bCs/>
                <w:color w:val="0000FF"/>
              </w:rPr>
            </w:pPr>
            <w:r>
              <w:rPr>
                <w:rFonts w:cs="Arial"/>
                <w:b/>
                <w:bCs/>
                <w:color w:val="0000FF"/>
              </w:rPr>
              <w:t>Result Reporting</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pStyle w:val="Header"/>
              <w:tabs>
                <w:tab w:val="clear" w:pos="4320"/>
                <w:tab w:val="clear" w:pos="8640"/>
              </w:tabs>
              <w:rPr>
                <w:rFonts w:cs="Arial"/>
              </w:rPr>
            </w:pPr>
          </w:p>
          <w:p w:rsidR="00087C0C" w:rsidRDefault="00087C0C" w:rsidP="000A24B1">
            <w:pPr>
              <w:pStyle w:val="Header"/>
              <w:numPr>
                <w:ilvl w:val="0"/>
                <w:numId w:val="5"/>
              </w:numPr>
              <w:rPr>
                <w:rFonts w:cs="Arial"/>
              </w:rPr>
            </w:pPr>
            <w:r>
              <w:rPr>
                <w:rFonts w:cs="Arial"/>
              </w:rPr>
              <w:t xml:space="preserve">Results between </w:t>
            </w:r>
            <w:r w:rsidR="00C43AEE">
              <w:rPr>
                <w:rFonts w:cs="Arial"/>
              </w:rPr>
              <w:t>8 - 20</w:t>
            </w:r>
            <w:r>
              <w:rPr>
                <w:rFonts w:cs="Arial"/>
              </w:rPr>
              <w:t xml:space="preserve">0 </w:t>
            </w:r>
            <w:r>
              <w:t>mg/dL</w:t>
            </w:r>
            <w:r>
              <w:rPr>
                <w:rFonts w:cs="Arial"/>
              </w:rPr>
              <w:t xml:space="preserve"> without error messages are released</w:t>
            </w:r>
          </w:p>
          <w:p w:rsidR="00087C0C" w:rsidRDefault="00087C0C" w:rsidP="000A24B1">
            <w:pPr>
              <w:numPr>
                <w:ilvl w:val="0"/>
                <w:numId w:val="5"/>
              </w:numPr>
              <w:rPr>
                <w:rFonts w:cs="Arial"/>
              </w:rPr>
            </w:pPr>
            <w:r>
              <w:rPr>
                <w:rFonts w:cs="Arial"/>
              </w:rPr>
              <w:t xml:space="preserve">Results below </w:t>
            </w:r>
            <w:r w:rsidR="00C43AEE">
              <w:rPr>
                <w:rFonts w:cs="Arial"/>
                <w:szCs w:val="12"/>
              </w:rPr>
              <w:t>8</w:t>
            </w:r>
            <w:r>
              <w:rPr>
                <w:rFonts w:cs="Arial"/>
                <w:szCs w:val="12"/>
              </w:rPr>
              <w:t xml:space="preserve"> mg/dL</w:t>
            </w:r>
            <w:r>
              <w:rPr>
                <w:rFonts w:cs="Arial"/>
              </w:rPr>
              <w:t xml:space="preserve">: report as less than (&lt;) </w:t>
            </w:r>
            <w:r w:rsidR="00C43AEE">
              <w:rPr>
                <w:rFonts w:cs="Arial"/>
                <w:szCs w:val="12"/>
              </w:rPr>
              <w:t xml:space="preserve">8 </w:t>
            </w:r>
            <w:r>
              <w:rPr>
                <w:rFonts w:cs="Arial"/>
                <w:szCs w:val="12"/>
              </w:rPr>
              <w:t>mg/dL.</w:t>
            </w:r>
          </w:p>
          <w:p w:rsidR="00087C0C" w:rsidRDefault="00C43AEE" w:rsidP="000A24B1">
            <w:pPr>
              <w:numPr>
                <w:ilvl w:val="0"/>
                <w:numId w:val="5"/>
              </w:numPr>
            </w:pPr>
            <w:r>
              <w:t>Results &gt;20</w:t>
            </w:r>
            <w:r w:rsidR="00087C0C">
              <w:t>0 mg/dL</w:t>
            </w:r>
            <w:r w:rsidR="00087C0C">
              <w:rPr>
                <w:rFonts w:cs="Arial"/>
              </w:rPr>
              <w:t xml:space="preserve"> without error messages </w:t>
            </w:r>
            <w:r w:rsidR="00087C0C">
              <w:t>are reported following a maximum dilution of 1:</w:t>
            </w:r>
            <w:r>
              <w:t>1</w:t>
            </w:r>
            <w:r w:rsidR="008C08C2">
              <w:t>0</w:t>
            </w:r>
          </w:p>
          <w:p w:rsidR="00446AA8" w:rsidRDefault="00446AA8" w:rsidP="000A24B1">
            <w:pPr>
              <w:numPr>
                <w:ilvl w:val="0"/>
                <w:numId w:val="5"/>
              </w:numPr>
            </w:pPr>
            <w:r>
              <w:t>Results with above as</w:t>
            </w:r>
            <w:r w:rsidR="00C43AEE">
              <w:t>say range errors following a 1:10 dilution: Report as &gt;2</w:t>
            </w:r>
            <w:r>
              <w:t>000 mg/dL</w:t>
            </w:r>
          </w:p>
          <w:p w:rsidR="00087C0C" w:rsidRDefault="00087C0C" w:rsidP="000A24B1">
            <w:pPr>
              <w:numPr>
                <w:ilvl w:val="0"/>
                <w:numId w:val="5"/>
              </w:numPr>
            </w:pPr>
            <w:r>
              <w:t>Samples with hemolysis should have a comment code appended to the result.</w:t>
            </w:r>
          </w:p>
          <w:p w:rsidR="00087C0C" w:rsidRDefault="008C08C2">
            <w:pPr>
              <w:pStyle w:val="BodyTextIndent2"/>
              <w:widowControl/>
              <w:snapToGrid/>
              <w:rPr>
                <w:szCs w:val="24"/>
              </w:rPr>
            </w:pPr>
            <w:r>
              <w:rPr>
                <w:szCs w:val="24"/>
              </w:rPr>
              <w:t>HP</w:t>
            </w:r>
            <w:r w:rsidR="00087C0C">
              <w:rPr>
                <w:szCs w:val="24"/>
              </w:rPr>
              <w:t xml:space="preserve"> = hemolysis </w:t>
            </w:r>
            <w:r>
              <w:rPr>
                <w:szCs w:val="24"/>
              </w:rPr>
              <w:t>present, may affect results</w:t>
            </w:r>
          </w:p>
          <w:p w:rsidR="00087C0C" w:rsidRDefault="00087C0C" w:rsidP="000A24B1">
            <w:pPr>
              <w:numPr>
                <w:ilvl w:val="0"/>
                <w:numId w:val="7"/>
              </w:numPr>
              <w:rPr>
                <w:rFonts w:cs="Arial"/>
              </w:rPr>
            </w:pPr>
            <w:r>
              <w:t>Urine results</w:t>
            </w:r>
            <w:r>
              <w:rPr>
                <w:rFonts w:cs="Arial"/>
              </w:rPr>
              <w:t>: The Laboratory Information System calculates urine protein on timed collections when all necessary information is present. Report the numerical value.</w:t>
            </w:r>
          </w:p>
          <w:p w:rsidR="00087C0C" w:rsidRDefault="00087C0C">
            <w:pPr>
              <w:pStyle w:val="Header"/>
              <w:tabs>
                <w:tab w:val="clear" w:pos="4320"/>
                <w:tab w:val="clear" w:pos="8640"/>
              </w:tabs>
              <w:rPr>
                <w:rFonts w:cs="Arial"/>
              </w:rPr>
            </w:pPr>
          </w:p>
        </w:tc>
      </w:tr>
      <w:tr w:rsidR="00087C0C" w:rsidTr="00C735D5">
        <w:trPr>
          <w:gridAfter w:val="1"/>
          <w:wAfter w:w="125" w:type="dxa"/>
          <w:tblHeader/>
        </w:trPr>
        <w:tc>
          <w:tcPr>
            <w:tcW w:w="1800" w:type="dxa"/>
          </w:tcPr>
          <w:p w:rsidR="00087C0C" w:rsidRDefault="00087C0C">
            <w:pPr>
              <w:rPr>
                <w:rFonts w:cs="Arial"/>
                <w:b/>
                <w:bCs/>
                <w:color w:val="0000FF"/>
              </w:rPr>
            </w:pPr>
          </w:p>
          <w:p w:rsidR="00087C0C" w:rsidRDefault="00087C0C">
            <w:pPr>
              <w:rPr>
                <w:rFonts w:cs="Arial"/>
                <w:b/>
                <w:bCs/>
                <w:color w:val="0000FF"/>
              </w:rPr>
            </w:pPr>
            <w:r>
              <w:rPr>
                <w:rFonts w:cs="Arial"/>
                <w:b/>
                <w:bCs/>
                <w:color w:val="0000FF"/>
              </w:rPr>
              <w:t>Specimen Storage</w:t>
            </w:r>
          </w:p>
          <w:p w:rsidR="00087C0C" w:rsidRDefault="00087C0C">
            <w:pPr>
              <w:rPr>
                <w:rFonts w:cs="Arial"/>
                <w:b/>
                <w:bCs/>
                <w:color w:val="0000FF"/>
              </w:rPr>
            </w:pPr>
          </w:p>
        </w:tc>
        <w:tc>
          <w:tcPr>
            <w:tcW w:w="9360" w:type="dxa"/>
            <w:gridSpan w:val="4"/>
            <w:tcBorders>
              <w:top w:val="single" w:sz="18" w:space="0" w:color="BFBFBF" w:themeColor="background1" w:themeShade="BF"/>
              <w:bottom w:val="single" w:sz="18" w:space="0" w:color="BFBFBF" w:themeColor="background1" w:themeShade="BF"/>
            </w:tcBorders>
          </w:tcPr>
          <w:p w:rsidR="00087C0C" w:rsidRDefault="00087C0C">
            <w:pPr>
              <w:pStyle w:val="Header"/>
              <w:tabs>
                <w:tab w:val="clear" w:pos="4320"/>
                <w:tab w:val="clear" w:pos="8640"/>
              </w:tabs>
              <w:rPr>
                <w:rFonts w:cs="Arial"/>
              </w:rPr>
            </w:pPr>
          </w:p>
          <w:p w:rsidR="00087C0C" w:rsidRDefault="00087C0C">
            <w:pPr>
              <w:pStyle w:val="Header"/>
              <w:tabs>
                <w:tab w:val="clear" w:pos="4320"/>
                <w:tab w:val="clear" w:pos="8640"/>
              </w:tabs>
              <w:rPr>
                <w:rFonts w:cs="Arial"/>
              </w:rPr>
            </w:pPr>
            <w:r>
              <w:rPr>
                <w:rFonts w:cs="Arial"/>
              </w:rPr>
              <w:t xml:space="preserve">Promptly stopper tested specimen and store upright in numbered specimen rack by accession number. Every 8 hours </w:t>
            </w:r>
            <w:r w:rsidR="003E38E1">
              <w:rPr>
                <w:rFonts w:cs="Arial"/>
              </w:rPr>
              <w:t>remove specimens to refrigerator</w:t>
            </w:r>
            <w:r>
              <w:rPr>
                <w:rFonts w:cs="Arial"/>
              </w:rPr>
              <w:t>/freezer storage. Samples are retained 7 days in specimen storage freezer.</w:t>
            </w:r>
          </w:p>
          <w:p w:rsidR="00087C0C" w:rsidRDefault="00087C0C">
            <w:pPr>
              <w:pStyle w:val="Header"/>
              <w:tabs>
                <w:tab w:val="clear" w:pos="4320"/>
                <w:tab w:val="clear" w:pos="8640"/>
              </w:tabs>
              <w:rPr>
                <w:rFonts w:cs="Arial"/>
              </w:rPr>
            </w:pPr>
          </w:p>
        </w:tc>
      </w:tr>
      <w:tr w:rsidR="00087C0C" w:rsidTr="00C735D5">
        <w:trPr>
          <w:gridAfter w:val="1"/>
          <w:wAfter w:w="125" w:type="dxa"/>
          <w:tblHeader/>
        </w:trPr>
        <w:tc>
          <w:tcPr>
            <w:tcW w:w="1800" w:type="dxa"/>
          </w:tcPr>
          <w:p w:rsidR="00087C0C" w:rsidRDefault="00087C0C">
            <w:pPr>
              <w:ind w:right="-108"/>
              <w:rPr>
                <w:rFonts w:cs="Arial"/>
                <w:b/>
                <w:bCs/>
                <w:color w:val="0000FF"/>
              </w:rPr>
            </w:pPr>
          </w:p>
          <w:p w:rsidR="00087C0C" w:rsidRDefault="00087C0C">
            <w:pPr>
              <w:ind w:right="-108"/>
              <w:rPr>
                <w:rFonts w:cs="Arial"/>
                <w:b/>
                <w:bCs/>
                <w:color w:val="0000FF"/>
              </w:rPr>
            </w:pPr>
            <w:r>
              <w:rPr>
                <w:rFonts w:cs="Arial"/>
                <w:b/>
                <w:bCs/>
                <w:color w:val="0000FF"/>
              </w:rPr>
              <w:t>References</w:t>
            </w:r>
          </w:p>
        </w:tc>
        <w:tc>
          <w:tcPr>
            <w:tcW w:w="9360" w:type="dxa"/>
            <w:gridSpan w:val="4"/>
            <w:tcBorders>
              <w:top w:val="single" w:sz="18" w:space="0" w:color="BFBFBF" w:themeColor="background1" w:themeShade="BF"/>
              <w:bottom w:val="single" w:sz="18" w:space="0" w:color="BFBFBF" w:themeColor="background1" w:themeShade="BF"/>
            </w:tcBorders>
          </w:tcPr>
          <w:p w:rsidR="00087C0C" w:rsidRPr="00AC2D9A" w:rsidRDefault="00087C0C">
            <w:pPr>
              <w:autoSpaceDE w:val="0"/>
              <w:autoSpaceDN w:val="0"/>
              <w:adjustRightInd w:val="0"/>
              <w:rPr>
                <w:rFonts w:cs="Arial"/>
                <w:szCs w:val="20"/>
              </w:rPr>
            </w:pPr>
          </w:p>
          <w:p w:rsidR="008C08C2" w:rsidRPr="00446AA8" w:rsidRDefault="00C43AEE" w:rsidP="000A24B1">
            <w:pPr>
              <w:numPr>
                <w:ilvl w:val="0"/>
                <w:numId w:val="6"/>
              </w:numPr>
              <w:rPr>
                <w:rFonts w:cs="Arial"/>
                <w:bCs/>
                <w:szCs w:val="20"/>
              </w:rPr>
            </w:pPr>
            <w:r>
              <w:rPr>
                <w:rFonts w:cs="Arial"/>
                <w:szCs w:val="20"/>
              </w:rPr>
              <w:t>Abbott Alinity Urine/CSF Protein Reagent Instructions for Use, Abbott Diagnostics, Abbott Park, IL, USA.  March 2018</w:t>
            </w:r>
          </w:p>
          <w:p w:rsidR="00C43AEE" w:rsidRPr="00C43AEE" w:rsidRDefault="00C43AEE" w:rsidP="00C43AEE">
            <w:pPr>
              <w:pStyle w:val="ListParagraph"/>
              <w:numPr>
                <w:ilvl w:val="0"/>
                <w:numId w:val="6"/>
              </w:numPr>
              <w:rPr>
                <w:rFonts w:cs="Arial"/>
                <w:szCs w:val="20"/>
              </w:rPr>
            </w:pPr>
            <w:r w:rsidRPr="00C43AEE">
              <w:rPr>
                <w:rFonts w:cs="Arial"/>
                <w:szCs w:val="20"/>
              </w:rPr>
              <w:t>Abbot</w:t>
            </w:r>
            <w:r>
              <w:rPr>
                <w:rFonts w:cs="Arial"/>
                <w:szCs w:val="20"/>
              </w:rPr>
              <w:t>t</w:t>
            </w:r>
            <w:r w:rsidRPr="00C43AEE">
              <w:rPr>
                <w:rFonts w:cs="Arial"/>
                <w:szCs w:val="20"/>
              </w:rPr>
              <w:t xml:space="preserve"> A</w:t>
            </w:r>
            <w:r>
              <w:rPr>
                <w:rFonts w:cs="Arial"/>
                <w:szCs w:val="20"/>
              </w:rPr>
              <w:t>linity Urine/CSF Protein Calibrator</w:t>
            </w:r>
            <w:r w:rsidRPr="00C43AEE">
              <w:rPr>
                <w:rFonts w:cs="Arial"/>
                <w:szCs w:val="20"/>
              </w:rPr>
              <w:t xml:space="preserve"> Instructions for Use, Abbott Diagnosti</w:t>
            </w:r>
            <w:r>
              <w:rPr>
                <w:rFonts w:cs="Arial"/>
                <w:szCs w:val="20"/>
              </w:rPr>
              <w:t>cs, Abbott Park, IL, USA.  May</w:t>
            </w:r>
            <w:r w:rsidRPr="00C43AEE">
              <w:rPr>
                <w:rFonts w:cs="Arial"/>
                <w:szCs w:val="20"/>
              </w:rPr>
              <w:t xml:space="preserve"> 2018</w:t>
            </w:r>
          </w:p>
          <w:p w:rsidR="00087C0C" w:rsidRPr="00AC2D9A" w:rsidRDefault="00087C0C" w:rsidP="000A24B1">
            <w:pPr>
              <w:numPr>
                <w:ilvl w:val="0"/>
                <w:numId w:val="6"/>
              </w:numPr>
              <w:rPr>
                <w:rFonts w:cs="Arial"/>
                <w:bCs/>
                <w:szCs w:val="20"/>
              </w:rPr>
            </w:pPr>
            <w:r w:rsidRPr="00AC2D9A">
              <w:rPr>
                <w:rFonts w:cs="Arial"/>
                <w:bCs/>
                <w:szCs w:val="20"/>
              </w:rPr>
              <w:t xml:space="preserve">Jacobs &amp; DeMott Laboratory Test Handbook, Lexi-Comp, </w:t>
            </w:r>
            <w:proofErr w:type="spellStart"/>
            <w:r w:rsidRPr="00AC2D9A">
              <w:rPr>
                <w:rFonts w:cs="Arial"/>
                <w:bCs/>
                <w:szCs w:val="20"/>
              </w:rPr>
              <w:t>Inc</w:t>
            </w:r>
            <w:proofErr w:type="spellEnd"/>
            <w:r w:rsidRPr="00AC2D9A">
              <w:rPr>
                <w:rFonts w:cs="Arial"/>
                <w:bCs/>
                <w:szCs w:val="20"/>
              </w:rPr>
              <w:t>, Hudson, OH, 5</w:t>
            </w:r>
            <w:r w:rsidRPr="00AC2D9A">
              <w:rPr>
                <w:rFonts w:cs="Arial"/>
                <w:bCs/>
                <w:szCs w:val="20"/>
                <w:vertAlign w:val="superscript"/>
              </w:rPr>
              <w:t>th</w:t>
            </w:r>
            <w:r w:rsidRPr="00AC2D9A">
              <w:rPr>
                <w:rFonts w:cs="Arial"/>
                <w:bCs/>
                <w:szCs w:val="20"/>
              </w:rPr>
              <w:t xml:space="preserve"> Edition, 2001</w:t>
            </w:r>
          </w:p>
          <w:p w:rsidR="00087C0C" w:rsidRPr="00AC2D9A" w:rsidRDefault="00C43AEE" w:rsidP="000A24B1">
            <w:pPr>
              <w:numPr>
                <w:ilvl w:val="0"/>
                <w:numId w:val="6"/>
              </w:numPr>
              <w:rPr>
                <w:rFonts w:cs="Arial"/>
                <w:bCs/>
                <w:szCs w:val="20"/>
              </w:rPr>
            </w:pPr>
            <w:r>
              <w:rPr>
                <w:rFonts w:cs="Arial"/>
                <w:bCs/>
                <w:szCs w:val="20"/>
              </w:rPr>
              <w:t>Bio-R</w:t>
            </w:r>
            <w:r w:rsidR="00087C0C" w:rsidRPr="00AC2D9A">
              <w:rPr>
                <w:rFonts w:cs="Arial"/>
                <w:bCs/>
                <w:szCs w:val="20"/>
              </w:rPr>
              <w:t xml:space="preserve">ad </w:t>
            </w:r>
            <w:r w:rsidRPr="00AC2D9A">
              <w:rPr>
                <w:rFonts w:cs="Arial"/>
                <w:bCs/>
                <w:szCs w:val="20"/>
              </w:rPr>
              <w:t>Liquichek</w:t>
            </w:r>
            <w:r w:rsidRPr="00AC2D9A">
              <w:rPr>
                <w:rFonts w:cs="Arial"/>
                <w:bCs/>
                <w:szCs w:val="20"/>
              </w:rPr>
              <w:sym w:font="Symbol" w:char="F0E4"/>
            </w:r>
            <w:r w:rsidRPr="00AC2D9A">
              <w:rPr>
                <w:rFonts w:cs="Arial"/>
                <w:bCs/>
                <w:szCs w:val="20"/>
              </w:rPr>
              <w:t xml:space="preserve"> </w:t>
            </w:r>
            <w:r w:rsidR="00087C0C" w:rsidRPr="00AC2D9A">
              <w:rPr>
                <w:rFonts w:cs="Arial"/>
                <w:bCs/>
                <w:szCs w:val="20"/>
              </w:rPr>
              <w:t xml:space="preserve"> </w:t>
            </w:r>
            <w:r w:rsidR="00AC2D9A" w:rsidRPr="00AC2D9A">
              <w:rPr>
                <w:rFonts w:cs="Arial"/>
                <w:bCs/>
                <w:szCs w:val="20"/>
              </w:rPr>
              <w:t>Spinal Fluid</w:t>
            </w:r>
            <w:r w:rsidR="00AC2D9A" w:rsidRPr="00AC2D9A">
              <w:rPr>
                <w:rFonts w:cs="Arial"/>
                <w:szCs w:val="20"/>
              </w:rPr>
              <w:t xml:space="preserve"> </w:t>
            </w:r>
            <w:r w:rsidR="00087C0C" w:rsidRPr="00AC2D9A">
              <w:rPr>
                <w:rFonts w:cs="Arial"/>
                <w:bCs/>
                <w:szCs w:val="20"/>
              </w:rPr>
              <w:t>Control</w:t>
            </w:r>
            <w:r w:rsidR="00AC2D9A" w:rsidRPr="00AC2D9A">
              <w:rPr>
                <w:rFonts w:cs="Arial"/>
                <w:bCs/>
                <w:szCs w:val="20"/>
              </w:rPr>
              <w:t xml:space="preserve"> Product insert</w:t>
            </w:r>
            <w:r w:rsidR="00087C0C" w:rsidRPr="00AC2D9A">
              <w:rPr>
                <w:rFonts w:cs="Arial"/>
                <w:bCs/>
                <w:szCs w:val="20"/>
              </w:rPr>
              <w:t xml:space="preserve">, Bio-Rad </w:t>
            </w:r>
            <w:r w:rsidR="008C08C2" w:rsidRPr="00AC2D9A">
              <w:rPr>
                <w:rFonts w:cs="Arial"/>
                <w:bCs/>
                <w:szCs w:val="20"/>
              </w:rPr>
              <w:t>Laboratories</w:t>
            </w:r>
          </w:p>
          <w:p w:rsidR="00087C0C" w:rsidRPr="00AC2D9A" w:rsidRDefault="00087C0C" w:rsidP="000A24B1">
            <w:pPr>
              <w:numPr>
                <w:ilvl w:val="0"/>
                <w:numId w:val="6"/>
              </w:numPr>
              <w:rPr>
                <w:rFonts w:cs="Arial"/>
                <w:szCs w:val="20"/>
              </w:rPr>
            </w:pPr>
            <w:r w:rsidRPr="00AC2D9A">
              <w:rPr>
                <w:rFonts w:cs="Arial"/>
                <w:bCs/>
                <w:szCs w:val="20"/>
              </w:rPr>
              <w:t>Bio</w:t>
            </w:r>
            <w:r w:rsidR="00C43AEE">
              <w:rPr>
                <w:rFonts w:cs="Arial"/>
                <w:bCs/>
                <w:szCs w:val="20"/>
              </w:rPr>
              <w:t>-R</w:t>
            </w:r>
            <w:r w:rsidRPr="00AC2D9A">
              <w:rPr>
                <w:rFonts w:cs="Arial"/>
                <w:bCs/>
                <w:szCs w:val="20"/>
              </w:rPr>
              <w:t>ad Liquichek</w:t>
            </w:r>
            <w:r w:rsidRPr="00AC2D9A">
              <w:rPr>
                <w:rFonts w:cs="Arial"/>
                <w:bCs/>
                <w:szCs w:val="20"/>
              </w:rPr>
              <w:sym w:font="Symbol" w:char="F0E4"/>
            </w:r>
            <w:r w:rsidRPr="00AC2D9A">
              <w:rPr>
                <w:rFonts w:cs="Arial"/>
                <w:bCs/>
                <w:szCs w:val="20"/>
              </w:rPr>
              <w:t xml:space="preserve"> Urine Chemistry Control Produc</w:t>
            </w:r>
            <w:r w:rsidR="008C08C2" w:rsidRPr="00AC2D9A">
              <w:rPr>
                <w:rFonts w:cs="Arial"/>
                <w:bCs/>
                <w:szCs w:val="20"/>
              </w:rPr>
              <w:t>t insert, Bio-Rad Laboratories</w:t>
            </w:r>
          </w:p>
          <w:p w:rsidR="00087C0C" w:rsidRPr="00AC2D9A" w:rsidRDefault="00087C0C">
            <w:pPr>
              <w:pStyle w:val="Header"/>
              <w:tabs>
                <w:tab w:val="clear" w:pos="4320"/>
                <w:tab w:val="clear" w:pos="8640"/>
              </w:tabs>
              <w:rPr>
                <w:rFonts w:cs="Arial"/>
                <w:szCs w:val="20"/>
              </w:rPr>
            </w:pPr>
          </w:p>
        </w:tc>
      </w:tr>
      <w:tr w:rsidR="00AC2D9A" w:rsidTr="00C735D5">
        <w:tblPrEx>
          <w:tblBorders>
            <w:bottom w:val="single" w:sz="4" w:space="0" w:color="auto"/>
          </w:tblBorders>
        </w:tblPrEx>
        <w:trPr>
          <w:cantSplit/>
          <w:trHeight w:val="225"/>
        </w:trPr>
        <w:tc>
          <w:tcPr>
            <w:tcW w:w="1800" w:type="dxa"/>
            <w:tcBorders>
              <w:left w:val="nil"/>
              <w:right w:val="nil"/>
            </w:tcBorders>
          </w:tcPr>
          <w:p w:rsidR="00AC2D9A" w:rsidRDefault="00AC2D9A">
            <w:pPr>
              <w:rPr>
                <w:rFonts w:cs="Arial"/>
                <w:b/>
                <w:bCs/>
                <w:color w:val="0000FF"/>
              </w:rPr>
            </w:pPr>
          </w:p>
        </w:tc>
        <w:tc>
          <w:tcPr>
            <w:tcW w:w="9485" w:type="dxa"/>
            <w:gridSpan w:val="5"/>
            <w:tcBorders>
              <w:top w:val="single" w:sz="18" w:space="0" w:color="BFBFBF" w:themeColor="background1" w:themeShade="BF"/>
              <w:left w:val="nil"/>
              <w:bottom w:val="single" w:sz="4" w:space="0" w:color="auto"/>
              <w:right w:val="nil"/>
            </w:tcBorders>
          </w:tcPr>
          <w:p w:rsidR="00AC2D9A" w:rsidRDefault="00AC2D9A">
            <w:pPr>
              <w:rPr>
                <w:rFonts w:cs="Arial"/>
                <w:b/>
                <w:bCs/>
                <w:iCs/>
              </w:rPr>
            </w:pPr>
          </w:p>
        </w:tc>
      </w:tr>
      <w:tr w:rsidR="00087C0C" w:rsidTr="00C735D5">
        <w:tblPrEx>
          <w:tblBorders>
            <w:bottom w:val="single" w:sz="4" w:space="0" w:color="auto"/>
          </w:tblBorders>
        </w:tblPrEx>
        <w:trPr>
          <w:cantSplit/>
          <w:trHeight w:val="225"/>
        </w:trPr>
        <w:tc>
          <w:tcPr>
            <w:tcW w:w="1800" w:type="dxa"/>
            <w:vMerge w:val="restart"/>
            <w:tcBorders>
              <w:left w:val="nil"/>
              <w:right w:val="single" w:sz="4" w:space="0" w:color="auto"/>
            </w:tcBorders>
          </w:tcPr>
          <w:p w:rsidR="00087C0C" w:rsidRDefault="00087C0C">
            <w:pPr>
              <w:rPr>
                <w:rFonts w:cs="Arial"/>
                <w:b/>
                <w:bCs/>
                <w:color w:val="3366FF"/>
              </w:rPr>
            </w:pPr>
            <w:r>
              <w:rPr>
                <w:rFonts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087C0C" w:rsidRDefault="00087C0C">
            <w:pPr>
              <w:rPr>
                <w:rFonts w:cs="Arial"/>
                <w:b/>
                <w:bCs/>
              </w:rPr>
            </w:pPr>
            <w:r>
              <w:rPr>
                <w:rFonts w:cs="Arial"/>
                <w:b/>
                <w:bCs/>
              </w:rPr>
              <w:t>Version</w:t>
            </w:r>
          </w:p>
        </w:tc>
        <w:tc>
          <w:tcPr>
            <w:tcW w:w="2250" w:type="dxa"/>
            <w:tcBorders>
              <w:top w:val="single" w:sz="4" w:space="0" w:color="auto"/>
              <w:left w:val="single" w:sz="4" w:space="0" w:color="auto"/>
              <w:bottom w:val="single" w:sz="4" w:space="0" w:color="auto"/>
              <w:right w:val="single" w:sz="4" w:space="0" w:color="auto"/>
            </w:tcBorders>
          </w:tcPr>
          <w:p w:rsidR="00087C0C" w:rsidRDefault="00087C0C">
            <w:pPr>
              <w:rPr>
                <w:rFonts w:cs="Arial"/>
                <w:b/>
                <w:bCs/>
                <w:iCs/>
              </w:rPr>
            </w:pPr>
            <w:r>
              <w:rPr>
                <w:rFonts w:cs="Arial"/>
                <w:b/>
                <w:bCs/>
                <w:iCs/>
              </w:rPr>
              <w:t>Written/Revised by:</w:t>
            </w:r>
          </w:p>
        </w:tc>
        <w:tc>
          <w:tcPr>
            <w:tcW w:w="1620" w:type="dxa"/>
            <w:tcBorders>
              <w:top w:val="single" w:sz="4" w:space="0" w:color="auto"/>
              <w:left w:val="single" w:sz="4" w:space="0" w:color="auto"/>
              <w:bottom w:val="single" w:sz="4" w:space="0" w:color="auto"/>
              <w:right w:val="single" w:sz="4" w:space="0" w:color="auto"/>
            </w:tcBorders>
          </w:tcPr>
          <w:p w:rsidR="00087C0C" w:rsidRDefault="00087C0C">
            <w:pPr>
              <w:rPr>
                <w:rFonts w:cs="Arial"/>
                <w:b/>
                <w:bCs/>
                <w:iCs/>
              </w:rPr>
            </w:pPr>
            <w:r>
              <w:rPr>
                <w:rFonts w:cs="Arial"/>
                <w:b/>
                <w:bCs/>
                <w:iCs/>
              </w:rPr>
              <w:t>Effective Date:</w:t>
            </w:r>
          </w:p>
        </w:tc>
        <w:tc>
          <w:tcPr>
            <w:tcW w:w="4535" w:type="dxa"/>
            <w:gridSpan w:val="2"/>
            <w:tcBorders>
              <w:top w:val="single" w:sz="4" w:space="0" w:color="auto"/>
              <w:left w:val="single" w:sz="4" w:space="0" w:color="auto"/>
              <w:bottom w:val="single" w:sz="4" w:space="0" w:color="auto"/>
              <w:right w:val="single" w:sz="4" w:space="0" w:color="auto"/>
            </w:tcBorders>
          </w:tcPr>
          <w:p w:rsidR="00087C0C" w:rsidRDefault="00087C0C">
            <w:pPr>
              <w:rPr>
                <w:rFonts w:cs="Arial"/>
                <w:b/>
                <w:bCs/>
                <w:iCs/>
              </w:rPr>
            </w:pPr>
            <w:r>
              <w:rPr>
                <w:rFonts w:cs="Arial"/>
                <w:b/>
                <w:bCs/>
                <w:iCs/>
              </w:rPr>
              <w:t>Summary of Revisions</w:t>
            </w:r>
          </w:p>
        </w:tc>
      </w:tr>
      <w:tr w:rsidR="00087C0C" w:rsidTr="00C735D5">
        <w:tblPrEx>
          <w:tblBorders>
            <w:bottom w:val="single" w:sz="4" w:space="0" w:color="auto"/>
          </w:tblBorders>
        </w:tblPrEx>
        <w:trPr>
          <w:cantSplit/>
          <w:trHeight w:val="135"/>
        </w:trPr>
        <w:tc>
          <w:tcPr>
            <w:tcW w:w="1800" w:type="dxa"/>
            <w:vMerge/>
            <w:tcBorders>
              <w:left w:val="nil"/>
              <w:right w:val="single" w:sz="4" w:space="0" w:color="auto"/>
            </w:tcBorders>
          </w:tcPr>
          <w:p w:rsidR="00087C0C" w:rsidRDefault="00087C0C">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87C0C" w:rsidRDefault="00087C0C" w:rsidP="000A24B1">
            <w:pPr>
              <w:numPr>
                <w:ilvl w:val="0"/>
                <w:numId w:val="12"/>
              </w:numPr>
              <w:rPr>
                <w:rFonts w:cs="Arial"/>
              </w:rPr>
            </w:pPr>
          </w:p>
        </w:tc>
        <w:tc>
          <w:tcPr>
            <w:tcW w:w="2250" w:type="dxa"/>
            <w:tcBorders>
              <w:top w:val="single" w:sz="4" w:space="0" w:color="auto"/>
              <w:left w:val="single" w:sz="4" w:space="0" w:color="auto"/>
              <w:bottom w:val="single" w:sz="4" w:space="0" w:color="auto"/>
              <w:right w:val="single" w:sz="4" w:space="0" w:color="auto"/>
            </w:tcBorders>
          </w:tcPr>
          <w:p w:rsidR="00087C0C" w:rsidRDefault="00C43AEE">
            <w:pPr>
              <w:rPr>
                <w:rFonts w:cs="Arial"/>
                <w:iCs/>
              </w:rPr>
            </w:pPr>
            <w:r>
              <w:rPr>
                <w:rFonts w:cs="Arial"/>
              </w:rPr>
              <w:t>Erin Bartos</w:t>
            </w:r>
          </w:p>
        </w:tc>
        <w:tc>
          <w:tcPr>
            <w:tcW w:w="1620" w:type="dxa"/>
            <w:tcBorders>
              <w:top w:val="single" w:sz="4" w:space="0" w:color="auto"/>
              <w:left w:val="single" w:sz="4" w:space="0" w:color="auto"/>
              <w:bottom w:val="single" w:sz="4" w:space="0" w:color="auto"/>
              <w:right w:val="single" w:sz="4" w:space="0" w:color="auto"/>
            </w:tcBorders>
          </w:tcPr>
          <w:p w:rsidR="00087C0C" w:rsidRDefault="00C43AEE">
            <w:pPr>
              <w:rPr>
                <w:rFonts w:cs="Arial"/>
                <w:iCs/>
              </w:rPr>
            </w:pPr>
            <w:r>
              <w:rPr>
                <w:rFonts w:cs="Arial"/>
              </w:rPr>
              <w:t>10/28/2020</w:t>
            </w:r>
          </w:p>
        </w:tc>
        <w:tc>
          <w:tcPr>
            <w:tcW w:w="4535" w:type="dxa"/>
            <w:gridSpan w:val="2"/>
            <w:tcBorders>
              <w:top w:val="single" w:sz="4" w:space="0" w:color="auto"/>
              <w:left w:val="single" w:sz="4" w:space="0" w:color="auto"/>
              <w:bottom w:val="single" w:sz="4" w:space="0" w:color="auto"/>
              <w:right w:val="single" w:sz="4" w:space="0" w:color="auto"/>
            </w:tcBorders>
          </w:tcPr>
          <w:p w:rsidR="00087C0C" w:rsidRDefault="00087C0C">
            <w:pPr>
              <w:rPr>
                <w:rFonts w:cs="Arial"/>
                <w:iCs/>
              </w:rPr>
            </w:pPr>
            <w:r>
              <w:rPr>
                <w:rFonts w:cs="Arial"/>
                <w:iCs/>
              </w:rPr>
              <w:t>Initial Version</w:t>
            </w:r>
          </w:p>
        </w:tc>
      </w:tr>
      <w:tr w:rsidR="00AC2D9A" w:rsidTr="00C735D5">
        <w:tblPrEx>
          <w:tblBorders>
            <w:bottom w:val="single" w:sz="4" w:space="0" w:color="auto"/>
          </w:tblBorders>
        </w:tblPrEx>
        <w:trPr>
          <w:cantSplit/>
          <w:trHeight w:val="255"/>
        </w:trPr>
        <w:tc>
          <w:tcPr>
            <w:tcW w:w="1800" w:type="dxa"/>
            <w:vMerge/>
            <w:tcBorders>
              <w:left w:val="nil"/>
              <w:bottom w:val="nil"/>
              <w:right w:val="nil"/>
            </w:tcBorders>
          </w:tcPr>
          <w:p w:rsidR="00AC2D9A" w:rsidRDefault="00AC2D9A">
            <w:pPr>
              <w:rPr>
                <w:rFonts w:cs="Arial"/>
                <w:b/>
                <w:bCs/>
                <w:color w:val="3366FF"/>
              </w:rPr>
            </w:pPr>
          </w:p>
        </w:tc>
        <w:tc>
          <w:tcPr>
            <w:tcW w:w="9485" w:type="dxa"/>
            <w:gridSpan w:val="5"/>
            <w:tcBorders>
              <w:top w:val="single" w:sz="4" w:space="0" w:color="auto"/>
              <w:left w:val="nil"/>
              <w:bottom w:val="single" w:sz="18" w:space="0" w:color="BFBFBF" w:themeColor="background1" w:themeShade="BF"/>
              <w:right w:val="nil"/>
            </w:tcBorders>
          </w:tcPr>
          <w:p w:rsidR="00AC2D9A" w:rsidRDefault="00AC2D9A">
            <w:pPr>
              <w:rPr>
                <w:rFonts w:cs="Arial"/>
                <w:iCs/>
              </w:rPr>
            </w:pPr>
          </w:p>
        </w:tc>
      </w:tr>
    </w:tbl>
    <w:p w:rsidR="00087C0C" w:rsidRDefault="00087C0C">
      <w:pPr>
        <w:rPr>
          <w:rFonts w:cs="Arial"/>
        </w:rPr>
      </w:pPr>
    </w:p>
    <w:sectPr w:rsidR="00087C0C" w:rsidSect="00776F87">
      <w:headerReference w:type="default" r:id="rId12"/>
      <w:footerReference w:type="default" r:id="rId13"/>
      <w:pgSz w:w="12240" w:h="15840" w:code="1"/>
      <w:pgMar w:top="576" w:right="1800" w:bottom="72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0C" w:rsidRDefault="00924E0C">
      <w:r>
        <w:separator/>
      </w:r>
    </w:p>
  </w:endnote>
  <w:endnote w:type="continuationSeparator" w:id="0">
    <w:p w:rsidR="00924E0C" w:rsidRDefault="0092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 Helvetica Condensed">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HelenPro-Cond">
    <w:altName w:val="Helen Pro Cond"/>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0C" w:rsidRPr="00276E10" w:rsidRDefault="00941D0A" w:rsidP="00276E10">
    <w:pPr>
      <w:tabs>
        <w:tab w:val="left" w:pos="8640"/>
      </w:tabs>
      <w:ind w:left="-1260" w:right="-1260"/>
      <w:rPr>
        <w:rFonts w:cs="Arial"/>
        <w:sz w:val="18"/>
      </w:rPr>
    </w:pPr>
    <w:r>
      <w:rPr>
        <w:rFonts w:cs="Arial"/>
        <w:sz w:val="18"/>
      </w:rPr>
      <w:t>Children’s Minnesota Laboratory</w:t>
    </w:r>
    <w:r w:rsidR="00924E0C">
      <w:rPr>
        <w:rFonts w:cs="Arial"/>
        <w:sz w:val="18"/>
      </w:rPr>
      <w:t>, Minneapolis/St. Paul, MN</w:t>
    </w:r>
    <w:r w:rsidR="00924E0C">
      <w:rPr>
        <w:rFonts w:cs="Arial"/>
        <w:sz w:val="18"/>
      </w:rPr>
      <w:tab/>
      <w:t xml:space="preserve">Page </w:t>
    </w:r>
    <w:r w:rsidR="00DB57A3">
      <w:rPr>
        <w:rFonts w:cs="Arial"/>
        <w:sz w:val="18"/>
      </w:rPr>
      <w:fldChar w:fldCharType="begin"/>
    </w:r>
    <w:r w:rsidR="00924E0C">
      <w:rPr>
        <w:rFonts w:cs="Arial"/>
        <w:sz w:val="18"/>
      </w:rPr>
      <w:instrText xml:space="preserve"> PAGE </w:instrText>
    </w:r>
    <w:r w:rsidR="00DB57A3">
      <w:rPr>
        <w:rFonts w:cs="Arial"/>
        <w:sz w:val="18"/>
      </w:rPr>
      <w:fldChar w:fldCharType="separate"/>
    </w:r>
    <w:r w:rsidR="00574821">
      <w:rPr>
        <w:rFonts w:cs="Arial"/>
        <w:noProof/>
        <w:sz w:val="18"/>
      </w:rPr>
      <w:t>6</w:t>
    </w:r>
    <w:r w:rsidR="00DB57A3">
      <w:rPr>
        <w:rFonts w:cs="Arial"/>
        <w:sz w:val="18"/>
      </w:rPr>
      <w:fldChar w:fldCharType="end"/>
    </w:r>
    <w:r w:rsidR="00924E0C">
      <w:rPr>
        <w:rFonts w:cs="Arial"/>
        <w:sz w:val="18"/>
      </w:rPr>
      <w:t xml:space="preserve"> of </w:t>
    </w:r>
    <w:r w:rsidR="00DB57A3">
      <w:rPr>
        <w:rFonts w:cs="Arial"/>
        <w:sz w:val="18"/>
      </w:rPr>
      <w:fldChar w:fldCharType="begin"/>
    </w:r>
    <w:r w:rsidR="00924E0C">
      <w:rPr>
        <w:rFonts w:cs="Arial"/>
        <w:sz w:val="18"/>
      </w:rPr>
      <w:instrText xml:space="preserve"> NUMPAGES </w:instrText>
    </w:r>
    <w:r w:rsidR="00DB57A3">
      <w:rPr>
        <w:rFonts w:cs="Arial"/>
        <w:sz w:val="18"/>
      </w:rPr>
      <w:fldChar w:fldCharType="separate"/>
    </w:r>
    <w:r w:rsidR="00574821">
      <w:rPr>
        <w:rFonts w:cs="Arial"/>
        <w:noProof/>
        <w:sz w:val="18"/>
      </w:rPr>
      <w:t>6</w:t>
    </w:r>
    <w:r w:rsidR="00DB57A3">
      <w:rPr>
        <w:rFonts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0C" w:rsidRDefault="00924E0C">
      <w:r>
        <w:separator/>
      </w:r>
    </w:p>
  </w:footnote>
  <w:footnote w:type="continuationSeparator" w:id="0">
    <w:p w:rsidR="00924E0C" w:rsidRDefault="0092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0C" w:rsidRDefault="000A24B1">
    <w:pPr>
      <w:ind w:left="-1260" w:right="-1260"/>
      <w:rPr>
        <w:rFonts w:cs="Arial"/>
        <w:sz w:val="18"/>
      </w:rPr>
    </w:pPr>
    <w:r>
      <w:rPr>
        <w:noProof/>
      </w:rPr>
      <w:drawing>
        <wp:anchor distT="0" distB="0" distL="114300" distR="114300" simplePos="0" relativeHeight="251660288" behindDoc="0" locked="0" layoutInCell="1" allowOverlap="1">
          <wp:simplePos x="0" y="0"/>
          <wp:positionH relativeFrom="column">
            <wp:posOffset>5041265</wp:posOffset>
          </wp:positionH>
          <wp:positionV relativeFrom="paragraph">
            <wp:posOffset>-331470</wp:posOffset>
          </wp:positionV>
          <wp:extent cx="1403985" cy="449580"/>
          <wp:effectExtent l="0" t="0" r="5715" b="7620"/>
          <wp:wrapSquare wrapText="bothSides"/>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r w:rsidR="00941D0A">
      <w:rPr>
        <w:rFonts w:cs="Arial"/>
        <w:sz w:val="18"/>
      </w:rPr>
      <w:t>CH 6.73</w:t>
    </w:r>
    <w:r w:rsidR="00C43AEE">
      <w:rPr>
        <w:rFonts w:cs="Arial"/>
        <w:sz w:val="18"/>
      </w:rPr>
      <w:t>1</w:t>
    </w:r>
    <w:r w:rsidR="00941D0A">
      <w:rPr>
        <w:rFonts w:cs="Arial"/>
        <w:sz w:val="18"/>
      </w:rPr>
      <w:t xml:space="preserve"> Protein in CSF and Urine</w:t>
    </w:r>
  </w:p>
  <w:p w:rsidR="00924E0C" w:rsidRDefault="003C1FFF">
    <w:pPr>
      <w:ind w:left="-1260" w:right="-1260"/>
      <w:rPr>
        <w:rFonts w:cs="Arial"/>
        <w:sz w:val="18"/>
      </w:rPr>
    </w:pPr>
    <w:r>
      <w:rPr>
        <w:rFonts w:cs="Arial"/>
        <w:sz w:val="18"/>
      </w:rPr>
      <w:t>Version 1</w:t>
    </w:r>
  </w:p>
  <w:p w:rsidR="00924E0C" w:rsidRDefault="00924E0C">
    <w:pPr>
      <w:ind w:left="-1260" w:right="-1260"/>
    </w:pPr>
    <w:r>
      <w:rPr>
        <w:sz w:val="18"/>
      </w:rPr>
      <w:t xml:space="preserve">Effective Date: </w:t>
    </w:r>
    <w:r w:rsidR="003C1FFF">
      <w:rPr>
        <w:sz w:val="18"/>
      </w:rPr>
      <w:t>October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66974"/>
    <w:multiLevelType w:val="hybridMultilevel"/>
    <w:tmpl w:val="A896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B4DB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C3023B1"/>
    <w:multiLevelType w:val="hybridMultilevel"/>
    <w:tmpl w:val="D1EC05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3371D8"/>
    <w:multiLevelType w:val="hybridMultilevel"/>
    <w:tmpl w:val="6686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86108B"/>
    <w:multiLevelType w:val="hybridMultilevel"/>
    <w:tmpl w:val="A7562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995DA5"/>
    <w:multiLevelType w:val="hybridMultilevel"/>
    <w:tmpl w:val="AEA47F00"/>
    <w:lvl w:ilvl="0" w:tplc="12A23B1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C9331FB"/>
    <w:multiLevelType w:val="hybridMultilevel"/>
    <w:tmpl w:val="2DAA43D4"/>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D6027"/>
    <w:multiLevelType w:val="hybridMultilevel"/>
    <w:tmpl w:val="A0E031BE"/>
    <w:lvl w:ilvl="0" w:tplc="0409000F">
      <w:start w:val="1"/>
      <w:numFmt w:val="decimal"/>
      <w:lvlText w:val="%1."/>
      <w:lvlJc w:val="left"/>
      <w:pPr>
        <w:ind w:left="473" w:hanging="360"/>
      </w:p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69AE06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295632"/>
    <w:multiLevelType w:val="hybridMultilevel"/>
    <w:tmpl w:val="0BD67D7E"/>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3" w15:restartNumberingAfterBreak="0">
    <w:nsid w:val="7B39073E"/>
    <w:multiLevelType w:val="hybridMultilevel"/>
    <w:tmpl w:val="3CB2FC18"/>
    <w:lvl w:ilvl="0" w:tplc="04090001">
      <w:start w:val="1"/>
      <w:numFmt w:val="bullet"/>
      <w:lvlText w:val=""/>
      <w:lvlJc w:val="left"/>
      <w:pPr>
        <w:tabs>
          <w:tab w:val="num" w:pos="473"/>
        </w:tabs>
        <w:ind w:left="473" w:hanging="360"/>
      </w:pPr>
      <w:rPr>
        <w:rFonts w:ascii="Symbol" w:hAnsi="Symbol" w:hint="default"/>
      </w:r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num w:numId="1">
    <w:abstractNumId w:val="4"/>
  </w:num>
  <w:num w:numId="2">
    <w:abstractNumId w:val="7"/>
  </w:num>
  <w:num w:numId="3">
    <w:abstractNumId w:val="11"/>
  </w:num>
  <w:num w:numId="4">
    <w:abstractNumId w:val="2"/>
  </w:num>
  <w:num w:numId="5">
    <w:abstractNumId w:val="8"/>
  </w:num>
  <w:num w:numId="6">
    <w:abstractNumId w:val="3"/>
  </w:num>
  <w:num w:numId="7">
    <w:abstractNumId w:val="9"/>
  </w:num>
  <w:num w:numId="8">
    <w:abstractNumId w:val="13"/>
  </w:num>
  <w:num w:numId="9">
    <w:abstractNumId w:val="0"/>
  </w:num>
  <w:num w:numId="10">
    <w:abstractNumId w:val="1"/>
  </w:num>
  <w:num w:numId="11">
    <w:abstractNumId w:val="10"/>
  </w:num>
  <w:num w:numId="12">
    <w:abstractNumId w:val="5"/>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C2"/>
    <w:rsid w:val="00087C0C"/>
    <w:rsid w:val="000A24B1"/>
    <w:rsid w:val="00117B94"/>
    <w:rsid w:val="00190C5E"/>
    <w:rsid w:val="00195509"/>
    <w:rsid w:val="001D0596"/>
    <w:rsid w:val="001E1163"/>
    <w:rsid w:val="00231441"/>
    <w:rsid w:val="00276E10"/>
    <w:rsid w:val="002A1607"/>
    <w:rsid w:val="002D132A"/>
    <w:rsid w:val="002E3CF0"/>
    <w:rsid w:val="00315493"/>
    <w:rsid w:val="003C1FFF"/>
    <w:rsid w:val="003E38E1"/>
    <w:rsid w:val="00433294"/>
    <w:rsid w:val="004406EC"/>
    <w:rsid w:val="00446AA8"/>
    <w:rsid w:val="00481025"/>
    <w:rsid w:val="00574821"/>
    <w:rsid w:val="006D2F24"/>
    <w:rsid w:val="00776F87"/>
    <w:rsid w:val="007A14BB"/>
    <w:rsid w:val="007C01C2"/>
    <w:rsid w:val="0088249B"/>
    <w:rsid w:val="008C08C2"/>
    <w:rsid w:val="008C5DDE"/>
    <w:rsid w:val="008F4609"/>
    <w:rsid w:val="00924E0C"/>
    <w:rsid w:val="00941D0A"/>
    <w:rsid w:val="009A0960"/>
    <w:rsid w:val="009E585C"/>
    <w:rsid w:val="00A910F2"/>
    <w:rsid w:val="00AC2D9A"/>
    <w:rsid w:val="00B138EF"/>
    <w:rsid w:val="00B96877"/>
    <w:rsid w:val="00C43AEE"/>
    <w:rsid w:val="00C561FA"/>
    <w:rsid w:val="00C735D5"/>
    <w:rsid w:val="00C8373E"/>
    <w:rsid w:val="00C867A2"/>
    <w:rsid w:val="00D45B28"/>
    <w:rsid w:val="00DB57A3"/>
    <w:rsid w:val="00DC3DBD"/>
    <w:rsid w:val="00E25840"/>
    <w:rsid w:val="00F9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C509232-0175-4D14-BE45-0A574F5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87"/>
    <w:rPr>
      <w:rFonts w:ascii="Arial" w:hAnsi="Arial"/>
      <w:szCs w:val="24"/>
    </w:rPr>
  </w:style>
  <w:style w:type="paragraph" w:styleId="Heading1">
    <w:name w:val="heading 1"/>
    <w:basedOn w:val="Normal"/>
    <w:next w:val="Normal"/>
    <w:qFormat/>
    <w:rsid w:val="00776F87"/>
    <w:pPr>
      <w:keepNext/>
      <w:outlineLvl w:val="0"/>
    </w:pPr>
    <w:rPr>
      <w:b/>
      <w:bCs/>
    </w:rPr>
  </w:style>
  <w:style w:type="paragraph" w:styleId="Heading2">
    <w:name w:val="heading 2"/>
    <w:basedOn w:val="Normal"/>
    <w:next w:val="Normal"/>
    <w:qFormat/>
    <w:rsid w:val="00776F87"/>
    <w:pPr>
      <w:keepNext/>
      <w:jc w:val="center"/>
      <w:outlineLvl w:val="1"/>
    </w:pPr>
    <w:rPr>
      <w:rFonts w:cs="Arial"/>
      <w:b/>
      <w:bCs/>
      <w:sz w:val="18"/>
    </w:rPr>
  </w:style>
  <w:style w:type="paragraph" w:styleId="Heading3">
    <w:name w:val="heading 3"/>
    <w:basedOn w:val="Normal"/>
    <w:next w:val="Normal"/>
    <w:qFormat/>
    <w:rsid w:val="00776F87"/>
    <w:pPr>
      <w:keepNext/>
      <w:jc w:val="center"/>
      <w:outlineLvl w:val="2"/>
    </w:pPr>
    <w:rPr>
      <w:rFonts w:cs="Arial"/>
      <w:b/>
      <w:bCs/>
    </w:rPr>
  </w:style>
  <w:style w:type="paragraph" w:styleId="Heading4">
    <w:name w:val="heading 4"/>
    <w:aliases w:val="Map Title"/>
    <w:basedOn w:val="Normal"/>
    <w:next w:val="Normal"/>
    <w:qFormat/>
    <w:rsid w:val="00776F87"/>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776F87"/>
    <w:pPr>
      <w:keepNext/>
      <w:spacing w:before="20"/>
      <w:jc w:val="both"/>
      <w:outlineLvl w:val="4"/>
    </w:pPr>
    <w:rPr>
      <w:rFonts w:ascii="Times New Roman" w:hAnsi="Times New Roman"/>
      <w:sz w:val="22"/>
    </w:rPr>
  </w:style>
  <w:style w:type="paragraph" w:styleId="Heading6">
    <w:name w:val="heading 6"/>
    <w:basedOn w:val="Normal"/>
    <w:next w:val="Normal"/>
    <w:qFormat/>
    <w:rsid w:val="00776F87"/>
    <w:pPr>
      <w:keepNext/>
      <w:jc w:val="both"/>
      <w:outlineLvl w:val="5"/>
    </w:pPr>
    <w:rPr>
      <w:rFonts w:ascii="Times New Roman" w:hAnsi="Times New Roman"/>
      <w:b/>
      <w:bCs/>
      <w:sz w:val="18"/>
    </w:rPr>
  </w:style>
  <w:style w:type="paragraph" w:styleId="Heading7">
    <w:name w:val="heading 7"/>
    <w:basedOn w:val="Normal"/>
    <w:next w:val="Normal"/>
    <w:qFormat/>
    <w:rsid w:val="00776F87"/>
    <w:pPr>
      <w:keepNext/>
      <w:jc w:val="both"/>
      <w:outlineLvl w:val="6"/>
    </w:pPr>
    <w:rPr>
      <w:rFonts w:ascii="Times New Roman" w:hAnsi="Times New Roman"/>
      <w:sz w:val="28"/>
    </w:rPr>
  </w:style>
  <w:style w:type="paragraph" w:styleId="Heading8">
    <w:name w:val="heading 8"/>
    <w:basedOn w:val="Normal"/>
    <w:next w:val="Normal"/>
    <w:qFormat/>
    <w:rsid w:val="00776F87"/>
    <w:pPr>
      <w:keepNext/>
      <w:jc w:val="center"/>
      <w:outlineLvl w:val="7"/>
    </w:pPr>
    <w:rPr>
      <w:rFonts w:ascii="Times New Roman" w:hAnsi="Times New Roman"/>
      <w:b/>
      <w:bCs/>
      <w:sz w:val="22"/>
    </w:rPr>
  </w:style>
  <w:style w:type="paragraph" w:styleId="Heading9">
    <w:name w:val="heading 9"/>
    <w:basedOn w:val="Normal"/>
    <w:next w:val="Normal"/>
    <w:qFormat/>
    <w:rsid w:val="00776F87"/>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76F87"/>
    <w:pPr>
      <w:tabs>
        <w:tab w:val="center" w:pos="4320"/>
        <w:tab w:val="right" w:pos="8640"/>
      </w:tabs>
    </w:pPr>
  </w:style>
  <w:style w:type="paragraph" w:styleId="Footer">
    <w:name w:val="footer"/>
    <w:basedOn w:val="Normal"/>
    <w:semiHidden/>
    <w:rsid w:val="00776F87"/>
    <w:pPr>
      <w:tabs>
        <w:tab w:val="center" w:pos="4320"/>
        <w:tab w:val="right" w:pos="8640"/>
      </w:tabs>
    </w:pPr>
  </w:style>
  <w:style w:type="paragraph" w:customStyle="1" w:styleId="CalVerTable">
    <w:name w:val="CalVerTable"/>
    <w:basedOn w:val="BodyText"/>
    <w:rsid w:val="00776F87"/>
    <w:pPr>
      <w:spacing w:after="40" w:line="160" w:lineRule="atLeast"/>
      <w:ind w:left="3240" w:hanging="3240"/>
    </w:pPr>
    <w:rPr>
      <w:rFonts w:ascii="Times New Roman" w:hAnsi="Times New Roman"/>
      <w:szCs w:val="20"/>
    </w:rPr>
  </w:style>
  <w:style w:type="paragraph" w:styleId="BodyText">
    <w:name w:val="Body Text"/>
    <w:basedOn w:val="Normal"/>
    <w:semiHidden/>
    <w:rsid w:val="00776F87"/>
    <w:pPr>
      <w:spacing w:after="120"/>
    </w:pPr>
  </w:style>
  <w:style w:type="paragraph" w:customStyle="1" w:styleId="Reagents">
    <w:name w:val="Reagents"/>
    <w:basedOn w:val="Normal"/>
    <w:rsid w:val="00776F87"/>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ReagentsLast">
    <w:name w:val="ReagentsLast"/>
    <w:basedOn w:val="Normal"/>
    <w:rsid w:val="00776F87"/>
    <w:pPr>
      <w:pBdr>
        <w:bottom w:val="single" w:sz="6" w:space="0" w:color="auto"/>
        <w:between w:val="single" w:sz="6" w:space="0" w:color="auto"/>
      </w:pBd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Bullets">
    <w:name w:val="Bullets"/>
    <w:basedOn w:val="Normal"/>
    <w:rsid w:val="00776F87"/>
    <w:pPr>
      <w:spacing w:after="40" w:line="160" w:lineRule="atLeast"/>
      <w:ind w:left="274" w:hanging="274"/>
    </w:pPr>
    <w:rPr>
      <w:rFonts w:ascii="Times New Roman" w:hAnsi="Times New Roman"/>
      <w:szCs w:val="20"/>
    </w:rPr>
  </w:style>
  <w:style w:type="paragraph" w:styleId="BodyText2">
    <w:name w:val="Body Text 2"/>
    <w:basedOn w:val="Normal"/>
    <w:semiHidden/>
    <w:rsid w:val="00776F87"/>
    <w:pPr>
      <w:autoSpaceDE w:val="0"/>
      <w:autoSpaceDN w:val="0"/>
      <w:adjustRightInd w:val="0"/>
    </w:pPr>
    <w:rPr>
      <w:rFonts w:cs="Arial"/>
      <w:sz w:val="18"/>
      <w:szCs w:val="15"/>
    </w:rPr>
  </w:style>
  <w:style w:type="paragraph" w:customStyle="1" w:styleId="Pa4">
    <w:name w:val="Pa4"/>
    <w:basedOn w:val="Normal"/>
    <w:next w:val="Normal"/>
    <w:rsid w:val="00776F87"/>
    <w:pPr>
      <w:autoSpaceDE w:val="0"/>
      <w:autoSpaceDN w:val="0"/>
      <w:adjustRightInd w:val="0"/>
      <w:spacing w:line="151" w:lineRule="atLeast"/>
    </w:pPr>
    <w:rPr>
      <w:rFonts w:ascii="Helen Pro Cond" w:hAnsi="Helen Pro Cond"/>
      <w:sz w:val="24"/>
    </w:rPr>
  </w:style>
  <w:style w:type="paragraph" w:customStyle="1" w:styleId="Pa9">
    <w:name w:val="Pa9"/>
    <w:basedOn w:val="Normal"/>
    <w:next w:val="Normal"/>
    <w:rsid w:val="00776F87"/>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776F87"/>
    <w:pPr>
      <w:autoSpaceDE w:val="0"/>
      <w:autoSpaceDN w:val="0"/>
      <w:adjustRightInd w:val="0"/>
      <w:spacing w:line="151" w:lineRule="atLeast"/>
    </w:pPr>
    <w:rPr>
      <w:rFonts w:ascii="Helen Pro Cond" w:hAnsi="Helen Pro Cond"/>
      <w:sz w:val="24"/>
    </w:rPr>
  </w:style>
  <w:style w:type="character" w:customStyle="1" w:styleId="A7">
    <w:name w:val="A7"/>
    <w:rsid w:val="00776F87"/>
    <w:rPr>
      <w:color w:val="000000"/>
      <w:sz w:val="15"/>
      <w:szCs w:val="15"/>
    </w:rPr>
  </w:style>
  <w:style w:type="paragraph" w:styleId="BodyText3">
    <w:name w:val="Body Text 3"/>
    <w:basedOn w:val="Normal"/>
    <w:semiHidden/>
    <w:rsid w:val="00776F87"/>
    <w:pPr>
      <w:ind w:right="-108"/>
    </w:pPr>
    <w:rPr>
      <w:rFonts w:cs="Arial"/>
      <w:b/>
      <w:bCs/>
      <w:color w:val="0000FF"/>
    </w:rPr>
  </w:style>
  <w:style w:type="paragraph" w:customStyle="1" w:styleId="TableText">
    <w:name w:val="Table Text"/>
    <w:basedOn w:val="Normal"/>
    <w:rsid w:val="00776F87"/>
    <w:pPr>
      <w:autoSpaceDE w:val="0"/>
      <w:autoSpaceDN w:val="0"/>
    </w:pPr>
    <w:rPr>
      <w:rFonts w:ascii="Times New Roman" w:hAnsi="Times New Roman"/>
    </w:rPr>
  </w:style>
  <w:style w:type="paragraph" w:styleId="BodyTextIndent">
    <w:name w:val="Body Text Indent"/>
    <w:basedOn w:val="Normal"/>
    <w:semiHidden/>
    <w:rsid w:val="00776F87"/>
    <w:pPr>
      <w:spacing w:line="278" w:lineRule="exact"/>
      <w:ind w:left="252"/>
    </w:pPr>
  </w:style>
  <w:style w:type="paragraph" w:customStyle="1" w:styleId="Footnotes">
    <w:name w:val="Footnotes"/>
    <w:basedOn w:val="Normal"/>
    <w:rsid w:val="00776F87"/>
    <w:pPr>
      <w:spacing w:after="40" w:line="140" w:lineRule="atLeast"/>
      <w:ind w:left="274" w:hanging="274"/>
    </w:pPr>
    <w:rPr>
      <w:rFonts w:ascii="Times New Roman" w:hAnsi="Times New Roman"/>
      <w:sz w:val="18"/>
      <w:szCs w:val="20"/>
    </w:rPr>
  </w:style>
  <w:style w:type="paragraph" w:customStyle="1" w:styleId="ConcSD">
    <w:name w:val="Conc/SD"/>
    <w:basedOn w:val="BodyText"/>
    <w:rsid w:val="00776F87"/>
    <w:pPr>
      <w:tabs>
        <w:tab w:val="center" w:pos="1800"/>
        <w:tab w:val="center" w:pos="4320"/>
      </w:tabs>
      <w:spacing w:after="40" w:line="160" w:lineRule="atLeast"/>
    </w:pPr>
    <w:rPr>
      <w:rFonts w:ascii="Times New Roman" w:hAnsi="Times New Roman"/>
      <w:b/>
      <w:szCs w:val="20"/>
    </w:rPr>
  </w:style>
  <w:style w:type="paragraph" w:styleId="BodyTextIndent3">
    <w:name w:val="Body Text Indent 3"/>
    <w:basedOn w:val="Normal"/>
    <w:semiHidden/>
    <w:rsid w:val="00776F87"/>
    <w:pPr>
      <w:widowControl w:val="0"/>
      <w:ind w:left="360"/>
    </w:pPr>
    <w:rPr>
      <w:snapToGrid w:val="0"/>
      <w:szCs w:val="20"/>
    </w:rPr>
  </w:style>
  <w:style w:type="paragraph" w:customStyle="1" w:styleId="Calibrationpara">
    <w:name w:val="Calibration para"/>
    <w:rsid w:val="00776F87"/>
    <w:pPr>
      <w:tabs>
        <w:tab w:val="left" w:pos="1271"/>
        <w:tab w:val="left" w:pos="1800"/>
      </w:tabs>
      <w:autoSpaceDE w:val="0"/>
      <w:autoSpaceDN w:val="0"/>
      <w:adjustRightInd w:val="0"/>
      <w:spacing w:after="20" w:line="140" w:lineRule="atLeast"/>
      <w:ind w:left="1800" w:hanging="1800"/>
    </w:pPr>
    <w:rPr>
      <w:rFonts w:ascii="C Helvetica Condensed" w:hAnsi="C Helvetica Condensed"/>
      <w:sz w:val="12"/>
      <w:szCs w:val="12"/>
    </w:rPr>
  </w:style>
  <w:style w:type="character" w:styleId="FootnoteReference">
    <w:name w:val="footnote reference"/>
    <w:semiHidden/>
    <w:rsid w:val="00776F87"/>
  </w:style>
  <w:style w:type="paragraph" w:styleId="BodyTextIndent2">
    <w:name w:val="Body Text Indent 2"/>
    <w:basedOn w:val="Normal"/>
    <w:semiHidden/>
    <w:rsid w:val="00776F87"/>
    <w:pPr>
      <w:widowControl w:val="0"/>
      <w:snapToGrid w:val="0"/>
      <w:ind w:left="720"/>
    </w:pPr>
    <w:rPr>
      <w:szCs w:val="20"/>
    </w:rPr>
  </w:style>
  <w:style w:type="paragraph" w:customStyle="1" w:styleId="Default">
    <w:name w:val="Default"/>
    <w:rsid w:val="00776F87"/>
    <w:pPr>
      <w:autoSpaceDE w:val="0"/>
      <w:autoSpaceDN w:val="0"/>
      <w:adjustRightInd w:val="0"/>
    </w:pPr>
    <w:rPr>
      <w:rFonts w:ascii="Helen Pro Cond" w:hAnsi="Helen Pro Cond"/>
      <w:color w:val="000000"/>
      <w:sz w:val="24"/>
      <w:szCs w:val="24"/>
    </w:rPr>
  </w:style>
  <w:style w:type="character" w:styleId="Hyperlink">
    <w:name w:val="Hyperlink"/>
    <w:basedOn w:val="DefaultParagraphFont"/>
    <w:semiHidden/>
    <w:rsid w:val="00776F87"/>
    <w:rPr>
      <w:color w:val="0000FF"/>
      <w:u w:val="single"/>
    </w:rPr>
  </w:style>
  <w:style w:type="character" w:customStyle="1" w:styleId="A5">
    <w:name w:val="A5"/>
    <w:uiPriority w:val="99"/>
    <w:rsid w:val="00087C0C"/>
    <w:rPr>
      <w:rFonts w:cs="Helvetica Condensed"/>
      <w:color w:val="000000"/>
      <w:sz w:val="7"/>
      <w:szCs w:val="7"/>
    </w:rPr>
  </w:style>
  <w:style w:type="paragraph" w:styleId="ListParagraph">
    <w:name w:val="List Paragraph"/>
    <w:basedOn w:val="Normal"/>
    <w:uiPriority w:val="34"/>
    <w:qFormat/>
    <w:rsid w:val="000A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quality/ch-2.17-unity-real-time-qc-review-general-us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quality/ch-2.18-westgard-rules-in-chemistry.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475-265F-433E-99C3-32A7AC0C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Pages>
  <Words>1667</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11454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CE080372</dc:creator>
  <cp:lastModifiedBy>Erin Bartos</cp:lastModifiedBy>
  <cp:revision>6</cp:revision>
  <cp:lastPrinted>2014-08-07T19:47:00Z</cp:lastPrinted>
  <dcterms:created xsi:type="dcterms:W3CDTF">2020-10-27T02:22:00Z</dcterms:created>
  <dcterms:modified xsi:type="dcterms:W3CDTF">2020-11-19T21:32:00Z</dcterms:modified>
</cp:coreProperties>
</file>