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3083F675" w:rsidR="006C5661" w:rsidRDefault="00D95C4B">
            <w:pPr>
              <w:rPr>
                <w:rFonts w:cs="Arial"/>
                <w:b/>
                <w:bCs/>
                <w:color w:val="0000FF"/>
              </w:rPr>
            </w:pPr>
            <w:r>
              <w:rPr>
                <w:rFonts w:cs="Arial"/>
                <w:b/>
                <w:bCs/>
                <w:color w:val="0000FF"/>
                <w:sz w:val="36"/>
              </w:rPr>
              <w:t>Valproic Acid</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560D5C0B" w:rsidR="00E3253B" w:rsidRDefault="00A34EE2" w:rsidP="004F3969">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4F3969">
              <w:rPr>
                <w:rStyle w:val="A7"/>
                <w:rFonts w:cs="Arial"/>
                <w:b w:val="0"/>
                <w:bCs w:val="0"/>
                <w:sz w:val="20"/>
                <w:szCs w:val="20"/>
              </w:rPr>
              <w:t>for performing VALPROIC ACID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4F3969" w:rsidRPr="004F3969">
              <w:rPr>
                <w:rStyle w:val="A7"/>
                <w:rFonts w:cs="Arial"/>
                <w:b w:val="0"/>
                <w:bCs w:val="0"/>
                <w:sz w:val="20"/>
                <w:szCs w:val="20"/>
              </w:rPr>
              <w:t>The Alinity c Valproic Acid assay is used for the quantitative in vitro</w:t>
            </w:r>
            <w:r w:rsidR="004F3969">
              <w:rPr>
                <w:rStyle w:val="A7"/>
                <w:rFonts w:cs="Arial"/>
                <w:b w:val="0"/>
                <w:bCs w:val="0"/>
                <w:sz w:val="20"/>
                <w:szCs w:val="20"/>
              </w:rPr>
              <w:t xml:space="preserve"> </w:t>
            </w:r>
            <w:r w:rsidR="004F3969" w:rsidRPr="004F3969">
              <w:rPr>
                <w:rStyle w:val="A7"/>
                <w:rFonts w:cs="Arial"/>
                <w:b w:val="0"/>
                <w:bCs w:val="0"/>
                <w:sz w:val="20"/>
                <w:szCs w:val="20"/>
              </w:rPr>
              <w:t>measurement of valproic acid in human serum or plasma on the</w:t>
            </w:r>
            <w:r w:rsidR="004F3969">
              <w:rPr>
                <w:rStyle w:val="A7"/>
                <w:rFonts w:cs="Arial"/>
                <w:b w:val="0"/>
                <w:bCs w:val="0"/>
                <w:sz w:val="20"/>
                <w:szCs w:val="20"/>
              </w:rPr>
              <w:t xml:space="preserve"> </w:t>
            </w:r>
            <w:r w:rsidR="004F3969" w:rsidRPr="004F3969">
              <w:rPr>
                <w:rStyle w:val="A7"/>
                <w:rFonts w:cs="Arial"/>
                <w:b w:val="0"/>
                <w:bCs w:val="0"/>
                <w:sz w:val="20"/>
                <w:szCs w:val="20"/>
              </w:rPr>
              <w:t>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5A9E1AC4"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462E1BA3" w14:textId="241F5BAD" w:rsidR="00D95C4B" w:rsidRPr="00D95C4B" w:rsidRDefault="00D95C4B" w:rsidP="00D95C4B">
            <w:pPr>
              <w:pStyle w:val="Header"/>
              <w:rPr>
                <w:rFonts w:cs="Arial"/>
                <w:color w:val="000000"/>
                <w:szCs w:val="20"/>
              </w:rPr>
            </w:pPr>
            <w:r w:rsidRPr="00D95C4B">
              <w:rPr>
                <w:rFonts w:cs="Arial"/>
                <w:color w:val="000000"/>
                <w:szCs w:val="20"/>
              </w:rPr>
              <w:t>The Alinity c Valproic Acid assay is</w:t>
            </w:r>
            <w:r>
              <w:rPr>
                <w:rFonts w:cs="Arial"/>
                <w:color w:val="000000"/>
                <w:szCs w:val="20"/>
              </w:rPr>
              <w:t xml:space="preserve"> a homogeneous particle</w:t>
            </w:r>
            <w:r w:rsidR="00E1104A">
              <w:rPr>
                <w:rFonts w:cs="Arial"/>
                <w:color w:val="000000"/>
                <w:szCs w:val="20"/>
              </w:rPr>
              <w:t>-</w:t>
            </w:r>
            <w:r>
              <w:rPr>
                <w:rFonts w:cs="Arial"/>
                <w:color w:val="000000"/>
                <w:szCs w:val="20"/>
              </w:rPr>
              <w:t xml:space="preserve">enhanced turbidimetric inhibition immunoassay (PETINIA) used </w:t>
            </w:r>
            <w:r w:rsidRPr="00D95C4B">
              <w:rPr>
                <w:rFonts w:cs="Arial"/>
                <w:color w:val="000000"/>
                <w:szCs w:val="20"/>
              </w:rPr>
              <w:t>for the analysis of valproic acid i</w:t>
            </w:r>
            <w:r>
              <w:rPr>
                <w:rFonts w:cs="Arial"/>
                <w:color w:val="000000"/>
                <w:szCs w:val="20"/>
              </w:rPr>
              <w:t xml:space="preserve">n serum or plasma. The assay is based </w:t>
            </w:r>
            <w:r w:rsidRPr="00D95C4B">
              <w:rPr>
                <w:rFonts w:cs="Arial"/>
                <w:color w:val="000000"/>
                <w:szCs w:val="20"/>
              </w:rPr>
              <w:t>on competition between dru</w:t>
            </w:r>
            <w:r>
              <w:rPr>
                <w:rFonts w:cs="Arial"/>
                <w:color w:val="000000"/>
                <w:szCs w:val="20"/>
              </w:rPr>
              <w:t xml:space="preserve">g in the sample and drug coated </w:t>
            </w:r>
            <w:r w:rsidRPr="00D95C4B">
              <w:rPr>
                <w:rFonts w:cs="Arial"/>
                <w:color w:val="000000"/>
                <w:szCs w:val="20"/>
              </w:rPr>
              <w:t>onto a microparticle, for antibody bin</w:t>
            </w:r>
            <w:r>
              <w:rPr>
                <w:rFonts w:cs="Arial"/>
                <w:color w:val="000000"/>
                <w:szCs w:val="20"/>
              </w:rPr>
              <w:t xml:space="preserve">ding sites of the valproic acid </w:t>
            </w:r>
            <w:r w:rsidRPr="00D95C4B">
              <w:rPr>
                <w:rFonts w:cs="Arial"/>
                <w:color w:val="000000"/>
                <w:szCs w:val="20"/>
              </w:rPr>
              <w:t>antibody reagent. The valproic acid-</w:t>
            </w:r>
            <w:r>
              <w:rPr>
                <w:rFonts w:cs="Arial"/>
                <w:color w:val="000000"/>
                <w:szCs w:val="20"/>
              </w:rPr>
              <w:t xml:space="preserve">coated microparticle reagent is </w:t>
            </w:r>
            <w:r w:rsidRPr="00D95C4B">
              <w:rPr>
                <w:rFonts w:cs="Arial"/>
                <w:color w:val="000000"/>
                <w:szCs w:val="20"/>
              </w:rPr>
              <w:t>rapidly agglutinated in the presence of the anti-valproic acid antibo</w:t>
            </w:r>
            <w:r>
              <w:rPr>
                <w:rFonts w:cs="Arial"/>
                <w:color w:val="000000"/>
                <w:szCs w:val="20"/>
              </w:rPr>
              <w:t xml:space="preserve">dy </w:t>
            </w:r>
            <w:r w:rsidRPr="00D95C4B">
              <w:rPr>
                <w:rFonts w:cs="Arial"/>
                <w:color w:val="000000"/>
                <w:szCs w:val="20"/>
              </w:rPr>
              <w:t>reagent and in the absence of an</w:t>
            </w:r>
            <w:r>
              <w:rPr>
                <w:rFonts w:cs="Arial"/>
                <w:color w:val="000000"/>
                <w:szCs w:val="20"/>
              </w:rPr>
              <w:t xml:space="preserve">y competing drug in the sample. </w:t>
            </w:r>
            <w:r w:rsidRPr="00D95C4B">
              <w:rPr>
                <w:rFonts w:cs="Arial"/>
                <w:color w:val="000000"/>
                <w:szCs w:val="20"/>
              </w:rPr>
              <w:t>The rate of absorbance change is m</w:t>
            </w:r>
            <w:r>
              <w:rPr>
                <w:rFonts w:cs="Arial"/>
                <w:color w:val="000000"/>
                <w:szCs w:val="20"/>
              </w:rPr>
              <w:t xml:space="preserve">easured photometrically, and is </w:t>
            </w:r>
            <w:r w:rsidRPr="00D95C4B">
              <w:rPr>
                <w:rFonts w:cs="Arial"/>
                <w:color w:val="000000"/>
                <w:szCs w:val="20"/>
              </w:rPr>
              <w:t>directly proportional to the rate of agglu</w:t>
            </w:r>
            <w:r>
              <w:rPr>
                <w:rFonts w:cs="Arial"/>
                <w:color w:val="000000"/>
                <w:szCs w:val="20"/>
              </w:rPr>
              <w:t xml:space="preserve">tination of the microparticles. </w:t>
            </w:r>
            <w:r w:rsidRPr="00D95C4B">
              <w:rPr>
                <w:rFonts w:cs="Arial"/>
                <w:color w:val="000000"/>
                <w:szCs w:val="20"/>
              </w:rPr>
              <w:t xml:space="preserve">When a sample containing valproic acid is added, </w:t>
            </w:r>
            <w:r>
              <w:rPr>
                <w:rFonts w:cs="Arial"/>
                <w:color w:val="000000"/>
                <w:szCs w:val="20"/>
              </w:rPr>
              <w:t xml:space="preserve">the agglutination </w:t>
            </w:r>
            <w:r w:rsidRPr="00D95C4B">
              <w:rPr>
                <w:rFonts w:cs="Arial"/>
                <w:color w:val="000000"/>
                <w:szCs w:val="20"/>
              </w:rPr>
              <w:t>reaction is partially inhibited, slow</w:t>
            </w:r>
            <w:r>
              <w:rPr>
                <w:rFonts w:cs="Arial"/>
                <w:color w:val="000000"/>
                <w:szCs w:val="20"/>
              </w:rPr>
              <w:t xml:space="preserve">ing down the rate of absorbance </w:t>
            </w:r>
            <w:r w:rsidRPr="00D95C4B">
              <w:rPr>
                <w:rFonts w:cs="Arial"/>
                <w:color w:val="000000"/>
                <w:szCs w:val="20"/>
              </w:rPr>
              <w:t>change. A concentration-dependent c</w:t>
            </w:r>
            <w:r>
              <w:rPr>
                <w:rFonts w:cs="Arial"/>
                <w:color w:val="000000"/>
                <w:szCs w:val="20"/>
              </w:rPr>
              <w:t xml:space="preserve">lassic agglutination inhibition </w:t>
            </w:r>
            <w:r w:rsidRPr="00D95C4B">
              <w:rPr>
                <w:rFonts w:cs="Arial"/>
                <w:color w:val="000000"/>
                <w:szCs w:val="20"/>
              </w:rPr>
              <w:t>curve can be obtained, with maxim</w:t>
            </w:r>
            <w:r>
              <w:rPr>
                <w:rFonts w:cs="Arial"/>
                <w:color w:val="000000"/>
                <w:szCs w:val="20"/>
              </w:rPr>
              <w:t xml:space="preserve">um rate of agglutination at the </w:t>
            </w:r>
            <w:r w:rsidRPr="00D95C4B">
              <w:rPr>
                <w:rFonts w:cs="Arial"/>
                <w:color w:val="000000"/>
                <w:szCs w:val="20"/>
              </w:rPr>
              <w:t>lowest valproic acid concentration an</w:t>
            </w:r>
            <w:r>
              <w:rPr>
                <w:rFonts w:cs="Arial"/>
                <w:color w:val="000000"/>
                <w:szCs w:val="20"/>
              </w:rPr>
              <w:t xml:space="preserve">d the lowest agglutination rate </w:t>
            </w:r>
            <w:r w:rsidRPr="00D95C4B">
              <w:rPr>
                <w:rFonts w:cs="Arial"/>
                <w:color w:val="000000"/>
                <w:szCs w:val="20"/>
              </w:rPr>
              <w:t>at the highest valproic acid concentration.</w:t>
            </w:r>
          </w:p>
          <w:p w14:paraId="722DE4A6" w14:textId="77777777" w:rsidR="00D95C4B" w:rsidRDefault="00D95C4B" w:rsidP="00D95C4B">
            <w:pPr>
              <w:pStyle w:val="Header"/>
              <w:rPr>
                <w:rFonts w:cs="Arial"/>
                <w:color w:val="000000"/>
                <w:szCs w:val="20"/>
              </w:rPr>
            </w:pPr>
          </w:p>
          <w:p w14:paraId="46C4E599" w14:textId="27A02352" w:rsidR="00D95C4B" w:rsidRDefault="00D95C4B" w:rsidP="00D95C4B">
            <w:pPr>
              <w:pStyle w:val="Header"/>
              <w:rPr>
                <w:rFonts w:cs="Arial"/>
                <w:color w:val="000000"/>
                <w:szCs w:val="20"/>
              </w:rPr>
            </w:pPr>
            <w:r w:rsidRPr="00D95C4B">
              <w:rPr>
                <w:rFonts w:cs="Arial"/>
                <w:b/>
                <w:color w:val="000000"/>
                <w:szCs w:val="20"/>
              </w:rPr>
              <w:t>Methodology:</w:t>
            </w:r>
            <w:r w:rsidRPr="00D95C4B">
              <w:rPr>
                <w:rFonts w:cs="Arial"/>
                <w:color w:val="000000"/>
                <w:szCs w:val="20"/>
              </w:rPr>
              <w:t xml:space="preserve"> Particle-enhanced turbidimetric inhibition immunoassay</w:t>
            </w:r>
            <w:r w:rsidR="004F3969">
              <w:rPr>
                <w:rFonts w:cs="Arial"/>
                <w:color w:val="000000"/>
                <w:szCs w:val="20"/>
              </w:rPr>
              <w:t xml:space="preserve"> </w:t>
            </w:r>
            <w:r w:rsidRPr="00D95C4B">
              <w:rPr>
                <w:rFonts w:cs="Arial"/>
                <w:color w:val="000000"/>
                <w:szCs w:val="20"/>
              </w:rPr>
              <w:t>(PETINIA)</w:t>
            </w:r>
          </w:p>
          <w:p w14:paraId="4577D0AA" w14:textId="77777777" w:rsidR="004F3969" w:rsidRPr="00D95C4B" w:rsidRDefault="004F3969" w:rsidP="00D95C4B">
            <w:pPr>
              <w:pStyle w:val="Header"/>
              <w:rPr>
                <w:rFonts w:cs="Arial"/>
                <w:color w:val="000000"/>
                <w:szCs w:val="20"/>
              </w:rPr>
            </w:pPr>
          </w:p>
          <w:p w14:paraId="208CD55D" w14:textId="77777777" w:rsidR="006C5661" w:rsidRDefault="00D95C4B" w:rsidP="00D95C4B">
            <w:pPr>
              <w:pStyle w:val="Header"/>
              <w:rPr>
                <w:rFonts w:cs="Arial"/>
                <w:color w:val="000000"/>
                <w:szCs w:val="20"/>
              </w:rPr>
            </w:pPr>
            <w:r w:rsidRPr="004F3969">
              <w:rPr>
                <w:rFonts w:cs="Arial"/>
                <w:color w:val="000000"/>
                <w:szCs w:val="20"/>
              </w:rPr>
              <w:t>For additional information on system and assay technology, refer to the Alinity ci-series Operations Manual, Section 3.</w:t>
            </w:r>
          </w:p>
          <w:p w14:paraId="5CCFFF81" w14:textId="79FF27C8" w:rsidR="004F3969" w:rsidRPr="004F3969" w:rsidRDefault="004F3969" w:rsidP="00D95C4B">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5E20ED3" w14:textId="0F2CD581" w:rsidR="002462C0" w:rsidRDefault="00D95C4B" w:rsidP="00D95C4B">
            <w:r w:rsidRPr="00D95C4B">
              <w:t xml:space="preserve">Valproic acid (2-propylpentanoic acid; Depakene) is a </w:t>
            </w:r>
            <w:r w:rsidR="004F3969" w:rsidRPr="00D95C4B">
              <w:t>broad-spectrum</w:t>
            </w:r>
            <w:r>
              <w:t xml:space="preserve"> </w:t>
            </w:r>
            <w:r w:rsidRPr="00D95C4B">
              <w:t>anticonvulsant drug used solely or in combination with</w:t>
            </w:r>
            <w:r>
              <w:t xml:space="preserve"> </w:t>
            </w:r>
            <w:r w:rsidRPr="00D95C4B">
              <w:t>other anticonvulsant drugs for th</w:t>
            </w:r>
            <w:r>
              <w:t xml:space="preserve">e treatment of absence seizures. </w:t>
            </w:r>
            <w:r w:rsidRPr="00D95C4B">
              <w:t>It also has demonstrated effectiveness in the management of</w:t>
            </w:r>
            <w:r>
              <w:t xml:space="preserve"> </w:t>
            </w:r>
            <w:r w:rsidRPr="00D95C4B">
              <w:t>generalized tonic-clonic and myoclonic seizures, as well as atypical</w:t>
            </w:r>
            <w:r>
              <w:t xml:space="preserve"> </w:t>
            </w:r>
            <w:r w:rsidRPr="00D95C4B">
              <w:t>absence, simple and complex partial, and mixed grand mal and petit</w:t>
            </w:r>
            <w:r>
              <w:t xml:space="preserve"> </w:t>
            </w:r>
            <w:r w:rsidRPr="00D95C4B">
              <w:t>mal seizures.</w:t>
            </w:r>
            <w:r>
              <w:t xml:space="preserve"> </w:t>
            </w:r>
            <w:r w:rsidRPr="00D95C4B">
              <w:t>The capability of treating many types of seizures</w:t>
            </w:r>
            <w:r>
              <w:t xml:space="preserve"> </w:t>
            </w:r>
            <w:r w:rsidRPr="00D95C4B">
              <w:t>with a single anticonvulsant has resulted in the widespread use</w:t>
            </w:r>
            <w:r>
              <w:t xml:space="preserve"> </w:t>
            </w:r>
            <w:r w:rsidRPr="00D95C4B">
              <w:t>of valproic acid, particularly in children in whom tonic-clonic and</w:t>
            </w:r>
            <w:r>
              <w:t xml:space="preserve"> myoclonic seizures are most </w:t>
            </w:r>
            <w:r w:rsidRPr="00D95C4B">
              <w:t>prevalent.</w:t>
            </w:r>
            <w:r>
              <w:t xml:space="preserve"> </w:t>
            </w:r>
            <w:r w:rsidRPr="00D95C4B">
              <w:t>Valproic acid has proven</w:t>
            </w:r>
            <w:r>
              <w:t xml:space="preserve"> </w:t>
            </w:r>
            <w:r w:rsidRPr="00D95C4B">
              <w:t>effective in the treatment of many patients otherwise refractory to</w:t>
            </w:r>
            <w:r>
              <w:t xml:space="preserve"> </w:t>
            </w:r>
            <w:r w:rsidRPr="00D95C4B">
              <w:t>other anticonvulsant treatments. Most patients receiving valproic acid</w:t>
            </w:r>
            <w:r>
              <w:t xml:space="preserve"> </w:t>
            </w:r>
            <w:r w:rsidRPr="00D95C4B">
              <w:t>do not develop a tolerance to its anticonvulsant effects.</w:t>
            </w:r>
          </w:p>
          <w:p w14:paraId="5CCFFF86" w14:textId="0A1145E1" w:rsidR="004F3969" w:rsidRPr="00370B0F" w:rsidRDefault="004F3969" w:rsidP="00D95C4B"/>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2397F4D8"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 (Sunquest metho</w:t>
            </w:r>
            <w:r w:rsidR="004F3969">
              <w:rPr>
                <w:rFonts w:cs="Arial"/>
                <w:b/>
                <w:bCs/>
                <w:color w:val="7030A0"/>
                <w:szCs w:val="20"/>
              </w:rPr>
              <w:t>d code: MAC</w:t>
            </w:r>
            <w:r>
              <w:rPr>
                <w:rFonts w:cs="Arial"/>
                <w:b/>
                <w:bCs/>
                <w:color w:val="7030A0"/>
                <w:szCs w:val="20"/>
              </w:rPr>
              <w:t>C)</w:t>
            </w:r>
          </w:p>
          <w:p w14:paraId="1798B892" w14:textId="77777777" w:rsidR="006200C0" w:rsidRDefault="007F5B07" w:rsidP="00D95C4B">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D95C4B">
              <w:rPr>
                <w:rFonts w:cs="Arial"/>
                <w:b/>
                <w:bCs/>
                <w:color w:val="984806" w:themeColor="accent6" w:themeShade="80"/>
                <w:szCs w:val="20"/>
              </w:rPr>
              <w:t xml:space="preserve"> SALIC</w:t>
            </w:r>
            <w:r w:rsidRPr="00DC7421">
              <w:rPr>
                <w:rFonts w:cs="Arial"/>
                <w:b/>
                <w:bCs/>
                <w:color w:val="984806" w:themeColor="accent6" w:themeShade="80"/>
                <w:szCs w:val="20"/>
              </w:rPr>
              <w:t>)</w:t>
            </w:r>
          </w:p>
          <w:p w14:paraId="5CCFFF89" w14:textId="58ED720F" w:rsidR="004F3969" w:rsidRPr="004F3969" w:rsidRDefault="004F3969" w:rsidP="00D95C4B">
            <w:pPr>
              <w:pStyle w:val="BodyText2"/>
              <w:spacing w:after="60" w:line="240" w:lineRule="auto"/>
              <w:rPr>
                <w:rFonts w:cs="Arial"/>
                <w:bCs/>
                <w:szCs w:val="20"/>
              </w:rPr>
            </w:pPr>
            <w:r>
              <w:rPr>
                <w:rFonts w:cs="Arial"/>
                <w:bCs/>
                <w:szCs w:val="20"/>
              </w:rPr>
              <w:t>Backup: Opposite campus</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4CA6255B" w:rsidR="00370B0F" w:rsidRPr="004F3969" w:rsidRDefault="00D95C4B" w:rsidP="00504F3B">
            <w:pPr>
              <w:rPr>
                <w:b/>
              </w:rPr>
            </w:pPr>
            <w:r w:rsidRPr="004F3969">
              <w:rPr>
                <w:b/>
              </w:rPr>
              <w:t>VALP</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0C84E20F"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D95C4B">
              <w:rPr>
                <w:rStyle w:val="BoldBodyText"/>
                <w:rFonts w:ascii="Arial" w:hAnsi="Arial" w:cs="Arial"/>
                <w:b w:val="0"/>
                <w:bCs w:val="0"/>
                <w:sz w:val="20"/>
                <w:szCs w:val="20"/>
              </w:rPr>
              <w:t>P</w:t>
            </w:r>
            <w:r w:rsidR="00B41D3F">
              <w:rPr>
                <w:rStyle w:val="BoldBodyText"/>
                <w:rFonts w:ascii="Arial" w:hAnsi="Arial" w:cs="Arial"/>
                <w:b w:val="0"/>
                <w:bCs w:val="0"/>
                <w:sz w:val="20"/>
                <w:szCs w:val="20"/>
              </w:rPr>
              <w:t>lasma or Serum (with or without</w:t>
            </w:r>
            <w:r w:rsidR="00D95C4B">
              <w:rPr>
                <w:rStyle w:val="BoldBodyText"/>
                <w:rFonts w:ascii="Arial" w:hAnsi="Arial" w:cs="Arial"/>
                <w:b w:val="0"/>
                <w:bCs w:val="0"/>
                <w:sz w:val="20"/>
                <w:szCs w:val="20"/>
              </w:rPr>
              <w:t xml:space="preserve"> gel barrier</w:t>
            </w:r>
            <w:r w:rsidR="004E71AC">
              <w:rPr>
                <w:rStyle w:val="BoldBodyText"/>
                <w:rFonts w:ascii="Arial" w:hAnsi="Arial" w:cs="Arial"/>
                <w:b w:val="0"/>
                <w:bCs w:val="0"/>
                <w:sz w:val="20"/>
                <w:szCs w:val="20"/>
              </w:rPr>
              <w:t>)</w:t>
            </w:r>
          </w:p>
          <w:p w14:paraId="34021B1C" w14:textId="2532B569" w:rsidR="00981A4A" w:rsidRPr="004E71AC" w:rsidRDefault="0017089C">
            <w:pPr>
              <w:rPr>
                <w:rFonts w:cs="Arial"/>
                <w:szCs w:val="20"/>
              </w:rPr>
            </w:pPr>
            <w:r w:rsidRPr="009475C8">
              <w:rPr>
                <w:rFonts w:cs="Arial"/>
                <w:b/>
                <w:szCs w:val="20"/>
              </w:rPr>
              <w:t>Preferred:</w:t>
            </w:r>
            <w:r w:rsidR="006C5661" w:rsidRPr="009475C8">
              <w:rPr>
                <w:rFonts w:cs="Arial"/>
                <w:b/>
                <w:szCs w:val="20"/>
              </w:rPr>
              <w:t xml:space="preserve"> </w:t>
            </w:r>
            <w:r w:rsidR="004E71AC">
              <w:rPr>
                <w:rFonts w:cs="Arial"/>
                <w:szCs w:val="20"/>
              </w:rPr>
              <w:t>Lithium Heparin</w:t>
            </w:r>
          </w:p>
          <w:p w14:paraId="60FE11B0" w14:textId="7AEF0506" w:rsidR="0017089C" w:rsidRDefault="0017089C">
            <w:pPr>
              <w:rPr>
                <w:rFonts w:cs="Arial"/>
                <w:szCs w:val="20"/>
              </w:rPr>
            </w:pPr>
            <w:r w:rsidRPr="009475C8">
              <w:rPr>
                <w:rFonts w:cs="Arial"/>
                <w:b/>
                <w:szCs w:val="20"/>
              </w:rPr>
              <w:t>Alternative:</w:t>
            </w:r>
            <w:r w:rsidR="004E71AC">
              <w:rPr>
                <w:rFonts w:cs="Arial"/>
                <w:b/>
                <w:szCs w:val="20"/>
              </w:rPr>
              <w:t xml:space="preserve"> </w:t>
            </w:r>
            <w:r w:rsidR="004E71AC">
              <w:rPr>
                <w:rFonts w:cs="Arial"/>
                <w:szCs w:val="20"/>
              </w:rPr>
              <w:t>SST, Sodium Heparin, K</w:t>
            </w:r>
            <w:r w:rsidR="00B41D3F">
              <w:rPr>
                <w:rFonts w:cs="Arial"/>
                <w:szCs w:val="20"/>
              </w:rPr>
              <w:t>2 and K3</w:t>
            </w:r>
            <w:r w:rsidR="004E71AC">
              <w:rPr>
                <w:rFonts w:cs="Arial"/>
                <w:szCs w:val="20"/>
              </w:rPr>
              <w:t xml:space="preserve"> EDTA</w:t>
            </w:r>
          </w:p>
          <w:p w14:paraId="72C226B9" w14:textId="77777777" w:rsidR="004E71AC" w:rsidRDefault="004E71AC">
            <w:pPr>
              <w:rPr>
                <w:rFonts w:cs="Arial"/>
                <w:szCs w:val="20"/>
              </w:rPr>
            </w:pPr>
          </w:p>
          <w:p w14:paraId="6615C011" w14:textId="03A63628" w:rsidR="004E71AC" w:rsidRDefault="004E71AC" w:rsidP="004E71AC">
            <w:pPr>
              <w:rPr>
                <w:rFonts w:cs="Arial"/>
                <w:szCs w:val="20"/>
              </w:rPr>
            </w:pPr>
            <w:r w:rsidRPr="004E71AC">
              <w:rPr>
                <w:rFonts w:cs="Arial" w:hint="eastAsia"/>
                <w:b/>
                <w:bCs/>
                <w:szCs w:val="20"/>
              </w:rPr>
              <w:t>•</w:t>
            </w:r>
            <w:r w:rsidRPr="004E71AC">
              <w:rPr>
                <w:rFonts w:cs="Arial"/>
                <w:b/>
                <w:bCs/>
                <w:szCs w:val="20"/>
              </w:rPr>
              <w:t xml:space="preserve"> </w:t>
            </w:r>
            <w:r w:rsidRPr="004E71AC">
              <w:rPr>
                <w:rFonts w:cs="Arial"/>
                <w:szCs w:val="20"/>
              </w:rPr>
              <w:t>To confirm that an adequate dose has been prescribed,</w:t>
            </w:r>
            <w:r>
              <w:rPr>
                <w:rFonts w:cs="Arial"/>
                <w:szCs w:val="20"/>
              </w:rPr>
              <w:t xml:space="preserve"> </w:t>
            </w:r>
            <w:r w:rsidRPr="004E71AC">
              <w:rPr>
                <w:rFonts w:cs="Arial"/>
                <w:szCs w:val="20"/>
              </w:rPr>
              <w:t>specimens for the Alinity c Valproic Acid assay should be drawn</w:t>
            </w:r>
            <w:r>
              <w:rPr>
                <w:rFonts w:cs="Arial"/>
                <w:szCs w:val="20"/>
              </w:rPr>
              <w:t xml:space="preserve"> </w:t>
            </w:r>
            <w:r w:rsidRPr="004E71AC">
              <w:rPr>
                <w:rFonts w:cs="Arial"/>
                <w:szCs w:val="20"/>
              </w:rPr>
              <w:t>at trough levels, just prior to a dose. The trough concentration is</w:t>
            </w:r>
            <w:r>
              <w:rPr>
                <w:rFonts w:cs="Arial"/>
                <w:szCs w:val="20"/>
              </w:rPr>
              <w:t xml:space="preserve"> </w:t>
            </w:r>
            <w:r w:rsidRPr="004E71AC">
              <w:rPr>
                <w:rFonts w:cs="Arial"/>
                <w:szCs w:val="20"/>
              </w:rPr>
              <w:t>most indicative of the therapeutic value of valproic acid.</w:t>
            </w:r>
          </w:p>
          <w:p w14:paraId="34F12611" w14:textId="77777777" w:rsidR="0017089C" w:rsidRPr="00DC7421" w:rsidRDefault="0017089C">
            <w:pPr>
              <w:rPr>
                <w:rFonts w:cs="Arial"/>
                <w:szCs w:val="20"/>
              </w:rPr>
            </w:pPr>
          </w:p>
          <w:p w14:paraId="5CCFFF96" w14:textId="6FA9D07A"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4F3969">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4F3969">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5DD143C5" w:rsidR="0017089C" w:rsidRPr="004F3969" w:rsidRDefault="0017089C">
            <w:pPr>
              <w:pStyle w:val="Header"/>
              <w:tabs>
                <w:tab w:val="clear" w:pos="4320"/>
                <w:tab w:val="clear" w:pos="8640"/>
              </w:tabs>
              <w:rPr>
                <w:rFonts w:cs="Arial"/>
                <w:szCs w:val="20"/>
              </w:rPr>
            </w:pPr>
            <w:r w:rsidRPr="009475C8">
              <w:rPr>
                <w:rFonts w:cs="Arial"/>
                <w:b/>
                <w:szCs w:val="20"/>
              </w:rPr>
              <w:t>20 to 25°C</w:t>
            </w:r>
            <w:r w:rsidR="004F3969">
              <w:rPr>
                <w:rFonts w:cs="Arial"/>
                <w:b/>
                <w:szCs w:val="20"/>
              </w:rPr>
              <w:t xml:space="preserve">: </w:t>
            </w:r>
            <w:r w:rsidR="004F3969">
              <w:rPr>
                <w:rFonts w:cs="Arial"/>
                <w:szCs w:val="20"/>
              </w:rPr>
              <w:t>Not specified</w:t>
            </w:r>
          </w:p>
          <w:p w14:paraId="5CCFFF99" w14:textId="63BC0EFB" w:rsidR="00E3253B" w:rsidRPr="009475C8" w:rsidRDefault="00BD0AE4">
            <w:pPr>
              <w:pStyle w:val="Header"/>
              <w:tabs>
                <w:tab w:val="clear" w:pos="4320"/>
                <w:tab w:val="clear" w:pos="8640"/>
              </w:tabs>
              <w:rPr>
                <w:rFonts w:cs="Arial"/>
                <w:b/>
                <w:szCs w:val="20"/>
              </w:rPr>
            </w:pPr>
            <w:r w:rsidRPr="009475C8">
              <w:rPr>
                <w:rFonts w:cs="Arial"/>
                <w:b/>
                <w:szCs w:val="20"/>
              </w:rPr>
              <w:t>2 to 8°C</w:t>
            </w:r>
            <w:r w:rsidR="004E71AC">
              <w:rPr>
                <w:rFonts w:cs="Arial"/>
                <w:b/>
                <w:szCs w:val="20"/>
              </w:rPr>
              <w:t xml:space="preserve">: </w:t>
            </w:r>
            <w:r w:rsidR="004E71AC">
              <w:rPr>
                <w:rFonts w:cs="Arial"/>
                <w:szCs w:val="20"/>
              </w:rPr>
              <w:t>48 hours</w:t>
            </w:r>
            <w:r w:rsidR="00437425" w:rsidRPr="009475C8">
              <w:rPr>
                <w:rFonts w:cs="Arial"/>
                <w:b/>
                <w:szCs w:val="20"/>
              </w:rPr>
              <w:tab/>
            </w:r>
          </w:p>
          <w:p w14:paraId="594E4A3A" w14:textId="10F2F1E4" w:rsidR="00BD0AE4" w:rsidRDefault="00BD0AE4">
            <w:pPr>
              <w:pStyle w:val="Header"/>
              <w:tabs>
                <w:tab w:val="clear" w:pos="4320"/>
                <w:tab w:val="clear" w:pos="8640"/>
              </w:tabs>
              <w:rPr>
                <w:rFonts w:cs="Arial"/>
                <w:szCs w:val="20"/>
              </w:rPr>
            </w:pPr>
            <w:r w:rsidRPr="009475C8">
              <w:rPr>
                <w:rFonts w:cs="Arial"/>
                <w:b/>
                <w:szCs w:val="20"/>
              </w:rPr>
              <w:t>-20°C</w:t>
            </w:r>
            <w:r w:rsidR="004E71AC">
              <w:rPr>
                <w:rFonts w:cs="Arial"/>
                <w:szCs w:val="20"/>
              </w:rPr>
              <w:t>: 7 days</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21997FFF" w14:textId="53849DEC" w:rsidR="005705B9" w:rsidRPr="005705B9" w:rsidRDefault="005705B9" w:rsidP="005705B9">
            <w:pPr>
              <w:pStyle w:val="ListParagraph"/>
              <w:numPr>
                <w:ilvl w:val="0"/>
                <w:numId w:val="46"/>
              </w:numPr>
              <w:rPr>
                <w:rFonts w:cs="Arial"/>
                <w:szCs w:val="20"/>
              </w:rPr>
            </w:pPr>
            <w:r w:rsidRPr="005705B9">
              <w:rPr>
                <w:rFonts w:cs="Arial"/>
                <w:szCs w:val="20"/>
              </w:rPr>
              <w:t>Whole blood specimens should be centrifuged following complete clot formation, according to Specimen Processing procedures prior to analysis.</w:t>
            </w:r>
          </w:p>
          <w:p w14:paraId="18D01F3F" w14:textId="1FCB769F" w:rsidR="005705B9" w:rsidRPr="005705B9" w:rsidRDefault="005705B9" w:rsidP="005705B9">
            <w:pPr>
              <w:pStyle w:val="ListParagraph"/>
              <w:numPr>
                <w:ilvl w:val="0"/>
                <w:numId w:val="46"/>
              </w:numPr>
              <w:rPr>
                <w:rFonts w:cs="Arial"/>
                <w:szCs w:val="20"/>
              </w:rPr>
            </w:pPr>
            <w:r w:rsidRPr="005705B9">
              <w:rPr>
                <w:rFonts w:cs="Arial"/>
                <w:szCs w:val="20"/>
              </w:rPr>
              <w:t>Serum or plasma should be physically separated from cells as soon as possible with a maximum limit of two hours from the time of collection.</w:t>
            </w:r>
          </w:p>
          <w:p w14:paraId="034B83EA" w14:textId="6C960E4C" w:rsidR="005705B9" w:rsidRPr="005705B9" w:rsidRDefault="005705B9" w:rsidP="005705B9">
            <w:pPr>
              <w:pStyle w:val="ListParagraph"/>
              <w:numPr>
                <w:ilvl w:val="0"/>
                <w:numId w:val="46"/>
              </w:numPr>
              <w:rPr>
                <w:rFonts w:cs="Arial"/>
                <w:szCs w:val="20"/>
              </w:rPr>
            </w:pPr>
            <w:r w:rsidRPr="005705B9">
              <w:rPr>
                <w:rFonts w:cs="Arial"/>
                <w:szCs w:val="20"/>
              </w:rPr>
              <w:t xml:space="preserve">Specimens should be free of particulate matter. </w:t>
            </w:r>
          </w:p>
          <w:p w14:paraId="03105B30" w14:textId="0FEC38F3" w:rsidR="005705B9" w:rsidRPr="005705B9" w:rsidRDefault="005705B9" w:rsidP="005705B9">
            <w:pPr>
              <w:pStyle w:val="ListParagraph"/>
              <w:numPr>
                <w:ilvl w:val="0"/>
                <w:numId w:val="46"/>
              </w:numPr>
              <w:rPr>
                <w:rFonts w:cs="Arial"/>
                <w:szCs w:val="20"/>
              </w:rPr>
            </w:pPr>
            <w:r w:rsidRPr="005705B9">
              <w:rPr>
                <w:rFonts w:cs="Arial"/>
                <w:szCs w:val="20"/>
              </w:rPr>
              <w:t xml:space="preserve">Transfer serum or plasma directly to a properly labeled pilot tube.  </w:t>
            </w:r>
          </w:p>
          <w:p w14:paraId="2586F63E" w14:textId="276DBA6F" w:rsidR="005705B9" w:rsidRPr="005705B9" w:rsidRDefault="005705B9" w:rsidP="005705B9">
            <w:pPr>
              <w:pStyle w:val="ListParagraph"/>
              <w:numPr>
                <w:ilvl w:val="0"/>
                <w:numId w:val="46"/>
              </w:numPr>
              <w:rPr>
                <w:rFonts w:cs="Arial"/>
                <w:szCs w:val="20"/>
              </w:rPr>
            </w:pPr>
            <w:r w:rsidRPr="005705B9">
              <w:rPr>
                <w:rFonts w:cs="Arial"/>
                <w:szCs w:val="20"/>
              </w:rPr>
              <w:t xml:space="preserve">Architect and Alinity systems utilize a specimen level detect mechanism, so special racks specific to tube-type are not required.  </w:t>
            </w:r>
          </w:p>
          <w:p w14:paraId="45A15CAB" w14:textId="0717C466" w:rsidR="005705B9" w:rsidRPr="005705B9" w:rsidRDefault="005705B9" w:rsidP="005705B9">
            <w:pPr>
              <w:pStyle w:val="ListParagraph"/>
              <w:numPr>
                <w:ilvl w:val="0"/>
                <w:numId w:val="46"/>
              </w:numPr>
              <w:rPr>
                <w:rFonts w:cs="Arial"/>
                <w:szCs w:val="20"/>
              </w:rPr>
            </w:pPr>
            <w:r w:rsidRPr="005705B9">
              <w:rPr>
                <w:rFonts w:cs="Arial"/>
                <w:szCs w:val="20"/>
              </w:rPr>
              <w:t>Minimum labeling includes sample accession ID, and/ or patient name, medical record number, collection date and time.</w:t>
            </w:r>
          </w:p>
          <w:p w14:paraId="5CCFFFA2" w14:textId="77777777" w:rsidR="00E3253B" w:rsidRPr="005705B9" w:rsidRDefault="00E3253B" w:rsidP="005705B9">
            <w:pPr>
              <w:pStyle w:val="ListParagraph"/>
              <w:autoSpaceDE w:val="0"/>
              <w:autoSpaceDN w:val="0"/>
              <w:adjustRightInd w:val="0"/>
              <w:ind w:left="36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44CAD8E8" w:rsidR="007B410A" w:rsidRPr="00B41D3F"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r w:rsidR="005125A4" w:rsidRPr="00DC7421">
              <w:rPr>
                <w:rFonts w:cs="Arial"/>
                <w:b/>
                <w:bCs/>
                <w:color w:val="984806" w:themeColor="accent6" w:themeShade="80"/>
                <w:szCs w:val="20"/>
              </w:rPr>
              <w:t xml:space="preserve"> </w:t>
            </w:r>
          </w:p>
          <w:p w14:paraId="3025A9E5" w14:textId="34F01F56" w:rsidR="007B410A" w:rsidRPr="00DC7421" w:rsidRDefault="00B41D3F" w:rsidP="007B410A">
            <w:pPr>
              <w:autoSpaceDE w:val="0"/>
              <w:autoSpaceDN w:val="0"/>
              <w:adjustRightInd w:val="0"/>
              <w:spacing w:after="208"/>
              <w:rPr>
                <w:rFonts w:cs="Arial"/>
                <w:color w:val="000000"/>
                <w:szCs w:val="20"/>
              </w:rPr>
            </w:pPr>
            <w:r>
              <w:rPr>
                <w:rFonts w:cs="Arial"/>
                <w:color w:val="000000"/>
                <w:szCs w:val="20"/>
              </w:rPr>
              <w:t xml:space="preserve">Reagents are shipped refrigerated or on wet ice/cold packs.  </w:t>
            </w:r>
            <w:r w:rsidR="007B410A" w:rsidRPr="00DC7421">
              <w:rPr>
                <w:rFonts w:cs="Arial"/>
                <w:color w:val="000000"/>
                <w:szCs w:val="20"/>
              </w:rPr>
              <w:t>Upon receipt,</w:t>
            </w:r>
            <w:r w:rsidR="0081197E">
              <w:rPr>
                <w:rFonts w:cs="Arial"/>
                <w:color w:val="000000"/>
                <w:szCs w:val="20"/>
              </w:rPr>
              <w:t xml:space="preserve"> </w:t>
            </w:r>
            <w:r w:rsidR="007B410A" w:rsidRPr="00DC7421">
              <w:rPr>
                <w:rFonts w:cs="Arial"/>
                <w:color w:val="000000"/>
                <w:szCs w:val="20"/>
              </w:rPr>
              <w:t>place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53366575" w14:textId="45B5E6F1" w:rsidR="004E71AC" w:rsidRPr="005705B9" w:rsidRDefault="005705B9" w:rsidP="0081197E">
            <w:pPr>
              <w:autoSpaceDE w:val="0"/>
              <w:autoSpaceDN w:val="0"/>
              <w:adjustRightInd w:val="0"/>
              <w:spacing w:after="208"/>
              <w:rPr>
                <w:rFonts w:cs="Arial"/>
                <w:b/>
                <w:color w:val="000000"/>
                <w:szCs w:val="20"/>
              </w:rPr>
            </w:pPr>
            <w:r>
              <w:rPr>
                <w:rFonts w:cs="Arial"/>
                <w:b/>
                <w:color w:val="000000"/>
                <w:szCs w:val="20"/>
              </w:rPr>
              <w:t>Prior to loading</w:t>
            </w:r>
            <w:r w:rsidR="004E71AC" w:rsidRPr="005705B9">
              <w:rPr>
                <w:rFonts w:cs="Arial"/>
                <w:b/>
                <w:color w:val="000000"/>
                <w:szCs w:val="20"/>
              </w:rPr>
              <w:t>, gently invert cartridge 5 times.</w:t>
            </w:r>
            <w:r w:rsidR="002E0417">
              <w:rPr>
                <w:rFonts w:cs="Arial"/>
                <w:b/>
                <w:color w:val="000000"/>
                <w:szCs w:val="20"/>
              </w:rPr>
              <w:t xml:space="preserve">  Check to ensure there are no bubbles.</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4F3969">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3A25CA3"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16331812" w:rsidR="0081197E" w:rsidRPr="00DC7421" w:rsidRDefault="004F3969" w:rsidP="004E71AC">
                  <w:pPr>
                    <w:autoSpaceDE w:val="0"/>
                    <w:autoSpaceDN w:val="0"/>
                    <w:adjustRightInd w:val="0"/>
                    <w:rPr>
                      <w:rFonts w:cs="Arial"/>
                      <w:szCs w:val="20"/>
                    </w:rPr>
                  </w:pPr>
                  <w:r>
                    <w:rPr>
                      <w:rFonts w:cs="Arial"/>
                      <w:szCs w:val="20"/>
                    </w:rPr>
                    <w:t xml:space="preserve">Abbott </w:t>
                  </w:r>
                  <w:r w:rsidR="004E71AC" w:rsidRPr="004E71AC">
                    <w:rPr>
                      <w:rFonts w:cs="Arial"/>
                      <w:szCs w:val="20"/>
                    </w:rPr>
                    <w:t xml:space="preserve">Alinity c Valproic Acid Reagent Kit </w:t>
                  </w:r>
                </w:p>
              </w:tc>
              <w:tc>
                <w:tcPr>
                  <w:tcW w:w="1710" w:type="dxa"/>
                  <w:vAlign w:val="center"/>
                </w:tcPr>
                <w:p w14:paraId="78062055" w14:textId="393A8CAA" w:rsidR="0081197E" w:rsidRPr="00DC7421" w:rsidRDefault="004F3969" w:rsidP="0081197E">
                  <w:pPr>
                    <w:pStyle w:val="BodyText"/>
                    <w:tabs>
                      <w:tab w:val="left" w:pos="3240"/>
                    </w:tabs>
                    <w:rPr>
                      <w:rFonts w:cs="Arial"/>
                      <w:szCs w:val="20"/>
                    </w:rPr>
                  </w:pPr>
                  <w:r w:rsidRPr="004F3969">
                    <w:rPr>
                      <w:rFonts w:cs="Arial"/>
                      <w:szCs w:val="20"/>
                    </w:rPr>
                    <w:t>09P9220</w:t>
                  </w:r>
                </w:p>
              </w:tc>
              <w:tc>
                <w:tcPr>
                  <w:tcW w:w="4533" w:type="dxa"/>
                  <w:vAlign w:val="center"/>
                </w:tcPr>
                <w:p w14:paraId="0B4DCB59" w14:textId="77777777" w:rsidR="004F3969" w:rsidRPr="004F3969" w:rsidRDefault="004F3969" w:rsidP="004F3969">
                  <w:pPr>
                    <w:pStyle w:val="Reagents"/>
                    <w:spacing w:after="80"/>
                    <w:rPr>
                      <w:rFonts w:ascii="Arial" w:hAnsi="Arial" w:cs="Arial"/>
                      <w:b/>
                      <w:bCs/>
                    </w:rPr>
                  </w:pPr>
                  <w:r w:rsidRPr="004F3969">
                    <w:rPr>
                      <w:rFonts w:ascii="Arial" w:hAnsi="Arial" w:cs="Arial"/>
                      <w:b/>
                      <w:bCs/>
                    </w:rPr>
                    <w:t>Store at: 2 to 8°C</w:t>
                  </w:r>
                </w:p>
                <w:p w14:paraId="16F5A756" w14:textId="77777777" w:rsidR="004F3969" w:rsidRDefault="004F3969" w:rsidP="004F3969">
                  <w:pPr>
                    <w:pStyle w:val="Reagents"/>
                    <w:spacing w:after="80"/>
                    <w:rPr>
                      <w:rFonts w:ascii="Arial" w:hAnsi="Arial" w:cs="Arial"/>
                      <w:b/>
                      <w:bCs/>
                    </w:rPr>
                  </w:pPr>
                  <w:r w:rsidRPr="004F3969">
                    <w:rPr>
                      <w:rFonts w:ascii="Arial" w:hAnsi="Arial" w:cs="Arial"/>
                      <w:b/>
                      <w:bCs/>
                    </w:rPr>
                    <w:t xml:space="preserve">Unopened: </w:t>
                  </w:r>
                  <w:r w:rsidRPr="004F3969">
                    <w:rPr>
                      <w:rFonts w:ascii="Arial" w:hAnsi="Arial" w:cs="Arial"/>
                      <w:bCs/>
                    </w:rPr>
                    <w:t>Until manufacturer’s printed expiration date</w:t>
                  </w:r>
                </w:p>
                <w:p w14:paraId="2EC23D08" w14:textId="69215280" w:rsidR="0081197E" w:rsidRPr="003F688A" w:rsidRDefault="0081197E" w:rsidP="004F3969">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4E71AC">
                    <w:rPr>
                      <w:rFonts w:ascii="Arial" w:hAnsi="Arial" w:cs="Arial"/>
                      <w:bCs/>
                    </w:rPr>
                    <w:t>54 days</w:t>
                  </w:r>
                </w:p>
              </w:tc>
            </w:tr>
            <w:tr w:rsidR="0081197E" w:rsidRPr="00DC7421" w14:paraId="2A1E45AA" w14:textId="77777777" w:rsidTr="00413A69">
              <w:tc>
                <w:tcPr>
                  <w:tcW w:w="2857" w:type="dxa"/>
                  <w:vAlign w:val="center"/>
                </w:tcPr>
                <w:p w14:paraId="417AB88A" w14:textId="412F3ADD" w:rsidR="0081197E" w:rsidRPr="00DC7421" w:rsidRDefault="004F3969" w:rsidP="0081197E">
                  <w:pPr>
                    <w:pStyle w:val="BodyText"/>
                    <w:spacing w:after="0"/>
                    <w:rPr>
                      <w:rFonts w:cs="Arial"/>
                      <w:szCs w:val="20"/>
                    </w:rPr>
                  </w:pPr>
                  <w:r>
                    <w:rPr>
                      <w:rFonts w:cs="Arial"/>
                      <w:szCs w:val="20"/>
                    </w:rPr>
                    <w:t>Abbott Alinity c TDM Multiconstituent Calibrator</w:t>
                  </w:r>
                </w:p>
              </w:tc>
              <w:tc>
                <w:tcPr>
                  <w:tcW w:w="1710" w:type="dxa"/>
                  <w:vAlign w:val="center"/>
                </w:tcPr>
                <w:p w14:paraId="1C065F4D" w14:textId="6FEFB603" w:rsidR="0081197E" w:rsidRPr="00DC7421" w:rsidRDefault="004F3969" w:rsidP="0081197E">
                  <w:pPr>
                    <w:rPr>
                      <w:rFonts w:cs="Arial"/>
                      <w:szCs w:val="20"/>
                    </w:rPr>
                  </w:pPr>
                  <w:r w:rsidRPr="004F3969">
                    <w:rPr>
                      <w:rFonts w:cs="Arial"/>
                      <w:szCs w:val="20"/>
                    </w:rPr>
                    <w:t>08P7403</w:t>
                  </w:r>
                </w:p>
              </w:tc>
              <w:tc>
                <w:tcPr>
                  <w:tcW w:w="4533" w:type="dxa"/>
                  <w:vAlign w:val="center"/>
                </w:tcPr>
                <w:p w14:paraId="3B82C64B" w14:textId="2970B430" w:rsidR="0081197E" w:rsidRPr="0020469A" w:rsidRDefault="0081197E" w:rsidP="0081197E">
                  <w:pPr>
                    <w:pStyle w:val="Reagents"/>
                    <w:spacing w:after="80"/>
                    <w:rPr>
                      <w:rFonts w:ascii="Arial" w:hAnsi="Arial" w:cs="Arial"/>
                      <w:bCs/>
                    </w:rPr>
                  </w:pPr>
                  <w:r w:rsidRPr="0020469A">
                    <w:rPr>
                      <w:rFonts w:ascii="Arial" w:hAnsi="Arial" w:cs="Arial"/>
                      <w:b/>
                      <w:bCs/>
                    </w:rPr>
                    <w:t>Store at:</w:t>
                  </w:r>
                  <w:r w:rsidRPr="0020469A">
                    <w:rPr>
                      <w:rFonts w:ascii="Arial" w:hAnsi="Arial" w:cs="Arial"/>
                      <w:bCs/>
                    </w:rPr>
                    <w:t xml:space="preserve"> </w:t>
                  </w:r>
                  <w:r w:rsidR="004F3969" w:rsidRPr="004F3969">
                    <w:rPr>
                      <w:rFonts w:ascii="Arial" w:hAnsi="Arial" w:cs="Arial"/>
                      <w:bCs/>
                    </w:rPr>
                    <w:t>2 to 8°C</w:t>
                  </w:r>
                </w:p>
                <w:p w14:paraId="22FE035D" w14:textId="4AABC238" w:rsidR="0081197E" w:rsidRPr="0020469A" w:rsidRDefault="0081197E" w:rsidP="0081197E">
                  <w:pPr>
                    <w:pStyle w:val="Reagents"/>
                    <w:spacing w:after="80"/>
                    <w:rPr>
                      <w:rFonts w:ascii="Arial" w:hAnsi="Arial" w:cs="Arial"/>
                      <w:bCs/>
                    </w:rPr>
                  </w:pPr>
                  <w:r w:rsidRPr="0020469A">
                    <w:rPr>
                      <w:rFonts w:ascii="Arial" w:hAnsi="Arial" w:cs="Arial"/>
                      <w:b/>
                      <w:bCs/>
                    </w:rPr>
                    <w:t xml:space="preserve">Unopened: </w:t>
                  </w:r>
                  <w:r w:rsidR="004F3969" w:rsidRPr="004F3969">
                    <w:rPr>
                      <w:rFonts w:ascii="Arial" w:hAnsi="Arial" w:cs="Arial"/>
                      <w:bCs/>
                    </w:rPr>
                    <w:t>Until manufacturer’s printed expiration date</w:t>
                  </w:r>
                </w:p>
                <w:p w14:paraId="05D3D1A4" w14:textId="3A46CE5D" w:rsidR="0081197E" w:rsidRPr="0020469A" w:rsidRDefault="0081197E" w:rsidP="006A41B1">
                  <w:pPr>
                    <w:pStyle w:val="BodyText"/>
                    <w:spacing w:after="80"/>
                    <w:rPr>
                      <w:rFonts w:cs="Arial"/>
                      <w:szCs w:val="20"/>
                    </w:rPr>
                  </w:pPr>
                  <w:r w:rsidRPr="0020469A">
                    <w:rPr>
                      <w:rFonts w:cs="Arial"/>
                      <w:b/>
                      <w:bCs/>
                      <w:szCs w:val="20"/>
                    </w:rPr>
                    <w:t xml:space="preserve">Opened expiration: </w:t>
                  </w:r>
                  <w:r w:rsidR="004F3969" w:rsidRPr="004F3969">
                    <w:rPr>
                      <w:rFonts w:cs="Arial"/>
                      <w:bCs/>
                      <w:szCs w:val="20"/>
                    </w:rPr>
                    <w:t>60 days when stored tightly capped in the refrigerator</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55EC4599" w14:textId="09371DEC" w:rsidR="004E71AC" w:rsidRDefault="004E71AC" w:rsidP="004E71AC">
            <w:pPr>
              <w:rPr>
                <w:szCs w:val="20"/>
              </w:rPr>
            </w:pPr>
            <w:r w:rsidRPr="004E71AC">
              <w:rPr>
                <w:b/>
                <w:bCs/>
                <w:szCs w:val="20"/>
              </w:rPr>
              <w:t xml:space="preserve">CAUTION: </w:t>
            </w:r>
            <w:r w:rsidRPr="004E71AC">
              <w:rPr>
                <w:szCs w:val="20"/>
              </w:rPr>
              <w:t>This product requires the handling of human specimens.</w:t>
            </w:r>
            <w:r>
              <w:rPr>
                <w:szCs w:val="20"/>
              </w:rPr>
              <w:t xml:space="preserve"> </w:t>
            </w:r>
            <w:r w:rsidRPr="004E71AC">
              <w:rPr>
                <w:szCs w:val="20"/>
              </w:rPr>
              <w:t>It is recommended that all human-sourced materials be considered</w:t>
            </w:r>
            <w:r>
              <w:rPr>
                <w:szCs w:val="20"/>
              </w:rPr>
              <w:t xml:space="preserve"> </w:t>
            </w:r>
            <w:r w:rsidRPr="004E71AC">
              <w:rPr>
                <w:szCs w:val="20"/>
              </w:rPr>
              <w:t>potentially infectious and handled in accordance with the OSHA</w:t>
            </w:r>
            <w:r>
              <w:rPr>
                <w:szCs w:val="20"/>
              </w:rPr>
              <w:t xml:space="preserve"> </w:t>
            </w:r>
            <w:r w:rsidRPr="004E71AC">
              <w:rPr>
                <w:szCs w:val="20"/>
              </w:rPr>
              <w:t>Standard on Bloodborne Pathogens. Biosafety Level 2 or other</w:t>
            </w:r>
            <w:r>
              <w:rPr>
                <w:szCs w:val="20"/>
              </w:rPr>
              <w:t xml:space="preserve"> </w:t>
            </w:r>
            <w:r w:rsidRPr="004E71AC">
              <w:rPr>
                <w:szCs w:val="20"/>
              </w:rPr>
              <w:t>appropriate biosafety practices should be used for materials that</w:t>
            </w:r>
            <w:r>
              <w:rPr>
                <w:szCs w:val="20"/>
              </w:rPr>
              <w:t xml:space="preserve"> </w:t>
            </w:r>
            <w:r w:rsidRPr="004E71AC">
              <w:rPr>
                <w:szCs w:val="20"/>
              </w:rPr>
              <w:t>contain or are suspected of containing infectious agents.</w:t>
            </w:r>
          </w:p>
          <w:p w14:paraId="2283AC6B" w14:textId="77777777" w:rsidR="004E71AC" w:rsidRPr="004E71AC" w:rsidRDefault="004E71AC" w:rsidP="004E71AC">
            <w:pPr>
              <w:rPr>
                <w:szCs w:val="20"/>
              </w:rPr>
            </w:pPr>
          </w:p>
          <w:p w14:paraId="6436E0BC" w14:textId="612302B4" w:rsidR="004E71AC" w:rsidRPr="004E71AC" w:rsidRDefault="004E71AC" w:rsidP="004E71AC">
            <w:pPr>
              <w:rPr>
                <w:b/>
                <w:szCs w:val="20"/>
              </w:rPr>
            </w:pPr>
            <w:r w:rsidRPr="004E71AC">
              <w:rPr>
                <w:szCs w:val="20"/>
              </w:rPr>
              <w:t>The following warnings and precautions apply to:</w:t>
            </w:r>
            <w:r>
              <w:rPr>
                <w:szCs w:val="20"/>
              </w:rPr>
              <w:t xml:space="preserve"> </w:t>
            </w:r>
            <w:r>
              <w:rPr>
                <w:b/>
                <w:szCs w:val="20"/>
              </w:rPr>
              <w:t>R1</w:t>
            </w:r>
          </w:p>
          <w:p w14:paraId="67C81F88" w14:textId="72B95D20" w:rsidR="004E71AC" w:rsidRPr="004E71AC" w:rsidRDefault="004E71AC" w:rsidP="004E71AC">
            <w:pPr>
              <w:rPr>
                <w:szCs w:val="20"/>
              </w:rPr>
            </w:pPr>
            <w:r>
              <w:rPr>
                <w:b/>
                <w:bCs/>
                <w:szCs w:val="20"/>
              </w:rPr>
              <w:t xml:space="preserve">     </w:t>
            </w:r>
            <w:r w:rsidRPr="004E71AC">
              <w:rPr>
                <w:b/>
                <w:bCs/>
                <w:szCs w:val="20"/>
              </w:rPr>
              <w:t>WARNING</w:t>
            </w:r>
            <w:r>
              <w:rPr>
                <w:b/>
                <w:bCs/>
                <w:szCs w:val="20"/>
              </w:rPr>
              <w:t>:</w:t>
            </w:r>
            <w:r w:rsidRPr="004E71AC">
              <w:rPr>
                <w:b/>
                <w:bCs/>
                <w:szCs w:val="20"/>
              </w:rPr>
              <w:t xml:space="preserve"> </w:t>
            </w:r>
            <w:r w:rsidRPr="004E71AC">
              <w:rPr>
                <w:szCs w:val="20"/>
              </w:rPr>
              <w:t>Contains bis-tris propane* and sodium</w:t>
            </w:r>
            <w:r>
              <w:rPr>
                <w:szCs w:val="20"/>
              </w:rPr>
              <w:t xml:space="preserve"> </w:t>
            </w:r>
            <w:r w:rsidRPr="004E71AC">
              <w:rPr>
                <w:szCs w:val="20"/>
              </w:rPr>
              <w:t>azide.</w:t>
            </w:r>
          </w:p>
          <w:p w14:paraId="036E9C38" w14:textId="07B218C6" w:rsidR="004E71AC" w:rsidRPr="004E71AC" w:rsidRDefault="004E71AC" w:rsidP="004E71AC">
            <w:pPr>
              <w:rPr>
                <w:szCs w:val="20"/>
              </w:rPr>
            </w:pPr>
            <w:r>
              <w:rPr>
                <w:szCs w:val="20"/>
              </w:rPr>
              <w:t xml:space="preserve">     </w:t>
            </w:r>
            <w:r w:rsidRPr="004E71AC">
              <w:rPr>
                <w:szCs w:val="20"/>
              </w:rPr>
              <w:t>Causes mild skin irritation.</w:t>
            </w:r>
          </w:p>
          <w:p w14:paraId="456BD4D4" w14:textId="3391F229" w:rsidR="004E71AC" w:rsidRPr="004E71AC" w:rsidRDefault="004E71AC" w:rsidP="004E71AC">
            <w:pPr>
              <w:rPr>
                <w:szCs w:val="20"/>
              </w:rPr>
            </w:pPr>
            <w:r>
              <w:rPr>
                <w:szCs w:val="20"/>
              </w:rPr>
              <w:t xml:space="preserve">     </w:t>
            </w:r>
            <w:r w:rsidRPr="004E71AC">
              <w:rPr>
                <w:szCs w:val="20"/>
              </w:rPr>
              <w:t>Contact with acids liberates very toxic gas.</w:t>
            </w:r>
          </w:p>
          <w:p w14:paraId="0D053CBC" w14:textId="07EA6FCE" w:rsidR="004E71AC" w:rsidRPr="004E71AC" w:rsidRDefault="004E71AC" w:rsidP="004E71AC">
            <w:pPr>
              <w:rPr>
                <w:b/>
                <w:bCs/>
                <w:szCs w:val="20"/>
              </w:rPr>
            </w:pPr>
            <w:r>
              <w:rPr>
                <w:b/>
                <w:bCs/>
                <w:szCs w:val="20"/>
              </w:rPr>
              <w:t xml:space="preserve">     </w:t>
            </w:r>
            <w:r w:rsidRPr="004E71AC">
              <w:rPr>
                <w:b/>
                <w:bCs/>
                <w:szCs w:val="20"/>
              </w:rPr>
              <w:t>Response</w:t>
            </w:r>
            <w:r>
              <w:rPr>
                <w:b/>
                <w:bCs/>
                <w:szCs w:val="20"/>
              </w:rPr>
              <w:t xml:space="preserve">: </w:t>
            </w:r>
            <w:r w:rsidRPr="004E71AC">
              <w:rPr>
                <w:szCs w:val="20"/>
              </w:rPr>
              <w:t>If skin irritation occurs: Get medical</w:t>
            </w:r>
            <w:r>
              <w:rPr>
                <w:b/>
                <w:bCs/>
                <w:szCs w:val="20"/>
              </w:rPr>
              <w:t xml:space="preserve"> </w:t>
            </w:r>
            <w:r w:rsidRPr="004E71AC">
              <w:rPr>
                <w:szCs w:val="20"/>
              </w:rPr>
              <w:t>advice / attention.</w:t>
            </w:r>
          </w:p>
          <w:p w14:paraId="3DEE45FF" w14:textId="77777777" w:rsidR="0020469A" w:rsidRDefault="0020469A" w:rsidP="004E71AC">
            <w:pPr>
              <w:rPr>
                <w:b/>
                <w:bCs/>
                <w:szCs w:val="20"/>
              </w:rPr>
            </w:pPr>
          </w:p>
          <w:p w14:paraId="45EEDE5D" w14:textId="15C90EB8" w:rsidR="004E71AC" w:rsidRPr="0020469A" w:rsidRDefault="004E71AC" w:rsidP="004E71AC">
            <w:pPr>
              <w:rPr>
                <w:b/>
                <w:szCs w:val="20"/>
              </w:rPr>
            </w:pPr>
            <w:r w:rsidRPr="004E71AC">
              <w:rPr>
                <w:szCs w:val="20"/>
              </w:rPr>
              <w:t>The following warnings and precautions apply to:</w:t>
            </w:r>
            <w:r w:rsidR="0020469A">
              <w:rPr>
                <w:szCs w:val="20"/>
              </w:rPr>
              <w:t xml:space="preserve"> </w:t>
            </w:r>
            <w:r w:rsidR="0020469A">
              <w:rPr>
                <w:b/>
                <w:szCs w:val="20"/>
              </w:rPr>
              <w:t>R2</w:t>
            </w:r>
          </w:p>
          <w:p w14:paraId="77D571B8" w14:textId="5D4660D0" w:rsidR="004E71AC" w:rsidRPr="004E71AC" w:rsidRDefault="0020469A" w:rsidP="004E71AC">
            <w:pPr>
              <w:rPr>
                <w:szCs w:val="20"/>
              </w:rPr>
            </w:pPr>
            <w:r>
              <w:rPr>
                <w:szCs w:val="20"/>
              </w:rPr>
              <w:t xml:space="preserve">     </w:t>
            </w:r>
            <w:r w:rsidR="004E71AC" w:rsidRPr="004E71AC">
              <w:rPr>
                <w:szCs w:val="20"/>
              </w:rPr>
              <w:t>Contains sodium azide.</w:t>
            </w:r>
          </w:p>
          <w:p w14:paraId="52789B2D" w14:textId="57EA64B2" w:rsidR="004E71AC" w:rsidRDefault="0020469A" w:rsidP="004E71AC">
            <w:pPr>
              <w:rPr>
                <w:szCs w:val="20"/>
              </w:rPr>
            </w:pPr>
            <w:r>
              <w:rPr>
                <w:szCs w:val="20"/>
              </w:rPr>
              <w:t xml:space="preserve">     </w:t>
            </w:r>
            <w:r w:rsidR="004E71AC" w:rsidRPr="004E71AC">
              <w:rPr>
                <w:szCs w:val="20"/>
              </w:rPr>
              <w:t>Contact with acids liberates very toxic gas.</w:t>
            </w:r>
          </w:p>
          <w:p w14:paraId="3120ECE0" w14:textId="77777777" w:rsidR="00227B21" w:rsidRDefault="00227B21" w:rsidP="004E71AC">
            <w:pPr>
              <w:rPr>
                <w:szCs w:val="20"/>
              </w:rPr>
            </w:pPr>
          </w:p>
          <w:p w14:paraId="572C1561" w14:textId="513D196E" w:rsidR="00227B21" w:rsidRPr="004E71AC" w:rsidRDefault="00227B21" w:rsidP="004E71AC">
            <w:pPr>
              <w:rPr>
                <w:szCs w:val="20"/>
              </w:rPr>
            </w:pPr>
            <w:r>
              <w:rPr>
                <w:szCs w:val="20"/>
              </w:rPr>
              <w:t>Special disposal not required.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5705B9">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636B9430"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D165D21" w:rsidR="00F50200" w:rsidRPr="00DC7421" w:rsidRDefault="005705B9" w:rsidP="00A32948">
                  <w:pPr>
                    <w:pStyle w:val="CalVerTable"/>
                    <w:ind w:left="0" w:firstLine="0"/>
                    <w:rPr>
                      <w:rFonts w:ascii="Arial" w:hAnsi="Arial" w:cs="Arial"/>
                    </w:rPr>
                  </w:pPr>
                  <w:r>
                    <w:rPr>
                      <w:rFonts w:ascii="Arial" w:hAnsi="Arial" w:cs="Arial"/>
                    </w:rPr>
                    <w:t xml:space="preserve">13 to 150 </w:t>
                  </w:r>
                  <w:r w:rsidRPr="005705B9">
                    <w:rPr>
                      <w:rFonts w:ascii="Arial" w:hAnsi="Arial" w:cs="Arial"/>
                    </w:rPr>
                    <w:t>µg/mL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6DFF9A5F" w:rsidR="00F50200" w:rsidRPr="00DC7421" w:rsidRDefault="005705B9" w:rsidP="00440E37">
                  <w:pPr>
                    <w:pStyle w:val="BodyText"/>
                    <w:rPr>
                      <w:rFonts w:cs="Arial"/>
                      <w:szCs w:val="20"/>
                    </w:rPr>
                  </w:pPr>
                  <w:r>
                    <w:rPr>
                      <w:rFonts w:cs="Arial"/>
                      <w:szCs w:val="20"/>
                    </w:rPr>
                    <w:t>Abbott Alinity c TDM Multiconstituent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01D2111F" w14:textId="77777777" w:rsidR="005B66A7" w:rsidRDefault="005705B9" w:rsidP="001D1786">
                  <w:pPr>
                    <w:pStyle w:val="CalVerTable"/>
                    <w:ind w:left="0" w:firstLine="0"/>
                    <w:rPr>
                      <w:rFonts w:ascii="Arial" w:hAnsi="Arial" w:cs="Arial"/>
                    </w:rPr>
                  </w:pPr>
                  <w:r>
                    <w:rPr>
                      <w:rFonts w:ascii="Arial" w:hAnsi="Arial" w:cs="Arial"/>
                    </w:rPr>
                    <w:t>CAL 1: 0</w:t>
                  </w:r>
                </w:p>
                <w:p w14:paraId="373BF2C0" w14:textId="77777777" w:rsidR="005705B9" w:rsidRDefault="005705B9" w:rsidP="001D1786">
                  <w:pPr>
                    <w:pStyle w:val="CalVerTable"/>
                    <w:ind w:left="0" w:firstLine="0"/>
                    <w:rPr>
                      <w:rFonts w:ascii="Arial" w:hAnsi="Arial" w:cs="Arial"/>
                    </w:rPr>
                  </w:pPr>
                  <w:r>
                    <w:rPr>
                      <w:rFonts w:ascii="Arial" w:hAnsi="Arial" w:cs="Arial"/>
                    </w:rPr>
                    <w:t>CAL 2: 12.5</w:t>
                  </w:r>
                </w:p>
                <w:p w14:paraId="51611C84" w14:textId="77777777" w:rsidR="005705B9" w:rsidRDefault="005705B9" w:rsidP="001D1786">
                  <w:pPr>
                    <w:pStyle w:val="CalVerTable"/>
                    <w:ind w:left="0" w:firstLine="0"/>
                    <w:rPr>
                      <w:rFonts w:ascii="Arial" w:hAnsi="Arial" w:cs="Arial"/>
                    </w:rPr>
                  </w:pPr>
                  <w:r>
                    <w:rPr>
                      <w:rFonts w:ascii="Arial" w:hAnsi="Arial" w:cs="Arial"/>
                    </w:rPr>
                    <w:t>CAL 3: 25</w:t>
                  </w:r>
                </w:p>
                <w:p w14:paraId="472D498F" w14:textId="77777777" w:rsidR="005705B9" w:rsidRDefault="005705B9" w:rsidP="001D1786">
                  <w:pPr>
                    <w:pStyle w:val="CalVerTable"/>
                    <w:ind w:left="0" w:firstLine="0"/>
                    <w:rPr>
                      <w:rFonts w:ascii="Arial" w:hAnsi="Arial" w:cs="Arial"/>
                    </w:rPr>
                  </w:pPr>
                  <w:r>
                    <w:rPr>
                      <w:rFonts w:ascii="Arial" w:hAnsi="Arial" w:cs="Arial"/>
                    </w:rPr>
                    <w:t>CAL 4: 50</w:t>
                  </w:r>
                </w:p>
                <w:p w14:paraId="54F57A8E" w14:textId="77777777" w:rsidR="005705B9" w:rsidRDefault="005705B9" w:rsidP="001D1786">
                  <w:pPr>
                    <w:pStyle w:val="CalVerTable"/>
                    <w:ind w:left="0" w:firstLine="0"/>
                    <w:rPr>
                      <w:rFonts w:ascii="Arial" w:hAnsi="Arial" w:cs="Arial"/>
                    </w:rPr>
                  </w:pPr>
                  <w:r>
                    <w:rPr>
                      <w:rFonts w:ascii="Arial" w:hAnsi="Arial" w:cs="Arial"/>
                    </w:rPr>
                    <w:t>CAL 5: 100</w:t>
                  </w:r>
                </w:p>
                <w:p w14:paraId="5CCFFFE0" w14:textId="7E79DFC8" w:rsidR="005705B9" w:rsidRPr="00DC7421" w:rsidRDefault="005705B9" w:rsidP="001D1786">
                  <w:pPr>
                    <w:pStyle w:val="CalVerTable"/>
                    <w:ind w:left="0" w:firstLine="0"/>
                    <w:rPr>
                      <w:rFonts w:ascii="Arial" w:hAnsi="Arial" w:cs="Arial"/>
                    </w:rPr>
                  </w:pPr>
                  <w:r>
                    <w:rPr>
                      <w:rFonts w:ascii="Arial" w:hAnsi="Arial" w:cs="Arial"/>
                    </w:rPr>
                    <w:t>CAL 6: 150</w:t>
                  </w:r>
                </w:p>
              </w:tc>
            </w:tr>
            <w:tr w:rsidR="00F50200" w:rsidRPr="00DC7421" w14:paraId="5CCFFFE4" w14:textId="77777777" w:rsidTr="001C1CFA">
              <w:tc>
                <w:tcPr>
                  <w:tcW w:w="2947" w:type="dxa"/>
                </w:tcPr>
                <w:p w14:paraId="5CCFFFE2" w14:textId="686B7BD1"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6E9C3589" w:rsidR="00F50200" w:rsidRPr="00DC7421" w:rsidRDefault="005705B9" w:rsidP="005B66A7">
                  <w:pPr>
                    <w:pStyle w:val="CalVerTable"/>
                    <w:ind w:left="0" w:firstLine="0"/>
                    <w:rPr>
                      <w:rFonts w:ascii="Arial" w:hAnsi="Arial" w:cs="Arial"/>
                    </w:rPr>
                  </w:pPr>
                  <w:r>
                    <w:rPr>
                      <w:rFonts w:ascii="Arial" w:hAnsi="Arial" w:cs="Arial"/>
                    </w:rPr>
                    <w:t>6</w:t>
                  </w:r>
                  <w:r w:rsidR="009475C8">
                    <w:rPr>
                      <w:rFonts w:ascii="Arial" w:hAnsi="Arial" w:cs="Arial"/>
                    </w:rPr>
                    <w:t xml:space="preserve"> Levels</w:t>
                  </w:r>
                  <w:r w:rsidR="00374877">
                    <w:rPr>
                      <w:rFonts w:ascii="Arial" w:hAnsi="Arial" w:cs="Arial"/>
                    </w:rPr>
                    <w:t>, spline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52F17C8E" w:rsidR="00F50200" w:rsidRPr="00DC7421" w:rsidRDefault="002B3C85" w:rsidP="004A698D">
                  <w:pPr>
                    <w:pStyle w:val="Pa10"/>
                    <w:rPr>
                      <w:rFonts w:ascii="Arial" w:hAnsi="Arial" w:cs="Arial"/>
                      <w:sz w:val="20"/>
                      <w:szCs w:val="20"/>
                    </w:rPr>
                  </w:pPr>
                  <w:r>
                    <w:rPr>
                      <w:rFonts w:ascii="Arial" w:hAnsi="Arial" w:cs="Arial"/>
                      <w:sz w:val="20"/>
                      <w:szCs w:val="20"/>
                    </w:rPr>
                    <w:t>27 Days and with every new lot.  Calibration may be required after maintenance to critical parts or after field service procedures have been performed.</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2DB38C55" w:rsidR="00F50200" w:rsidRPr="00DC7421" w:rsidRDefault="009475C8" w:rsidP="005705B9">
                  <w:pPr>
                    <w:autoSpaceDE w:val="0"/>
                    <w:autoSpaceDN w:val="0"/>
                    <w:adjustRightInd w:val="0"/>
                    <w:rPr>
                      <w:rFonts w:cs="Arial"/>
                      <w:szCs w:val="20"/>
                    </w:rPr>
                  </w:pPr>
                  <w:r w:rsidRPr="00DC7421">
                    <w:rPr>
                      <w:rFonts w:cs="Arial"/>
                      <w:szCs w:val="20"/>
                    </w:rPr>
                    <w:t xml:space="preserve">AMR is </w:t>
                  </w:r>
                  <w:r w:rsidRPr="005705B9">
                    <w:rPr>
                      <w:rFonts w:cs="Arial"/>
                      <w:szCs w:val="20"/>
                    </w:rPr>
                    <w:t xml:space="preserve">verified </w:t>
                  </w:r>
                  <w:r w:rsidR="005705B9">
                    <w:rPr>
                      <w:rFonts w:cs="Arial"/>
                      <w:szCs w:val="20"/>
                    </w:rPr>
                    <w:t xml:space="preserve">with each calibration.  </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61A039EB" w14:textId="502CE28F" w:rsidR="00A81526" w:rsidRPr="00560643" w:rsidRDefault="00A81526" w:rsidP="00A81526">
            <w:r>
              <w:rPr>
                <w:rFonts w:cs="Arial"/>
                <w:szCs w:val="20"/>
              </w:rPr>
              <w:t>Bio-Rad Liquichek</w:t>
            </w:r>
            <w:r>
              <w:rPr>
                <w:rFonts w:cs="Arial"/>
                <w:szCs w:val="20"/>
              </w:rPr>
              <w:sym w:font="Symbol" w:char="F0D4"/>
            </w:r>
            <w:r>
              <w:rPr>
                <w:rFonts w:cs="Arial"/>
                <w:szCs w:val="20"/>
              </w:rPr>
              <w:t xml:space="preserve"> </w:t>
            </w:r>
            <w:r w:rsidR="002B3C85">
              <w:t>Immunoassay Plus</w:t>
            </w:r>
            <w:r w:rsidRPr="00560643">
              <w:t xml:space="preserve"> Control</w:t>
            </w:r>
            <w:r w:rsidR="002B3C85">
              <w:t xml:space="preserve"> Levels 1 and 3</w:t>
            </w:r>
          </w:p>
          <w:p w14:paraId="5ADAE00F" w14:textId="77777777" w:rsidR="00A81526" w:rsidRDefault="00A81526" w:rsidP="00A81526">
            <w:pPr>
              <w:autoSpaceDE w:val="0"/>
              <w:autoSpaceDN w:val="0"/>
              <w:adjustRightInd w:val="0"/>
              <w:jc w:val="both"/>
              <w:rPr>
                <w:rFonts w:cs="Arial"/>
                <w:szCs w:val="20"/>
              </w:rPr>
            </w:pPr>
          </w:p>
          <w:p w14:paraId="19D28AAD" w14:textId="2FCB9C36" w:rsidR="00A81526" w:rsidRDefault="00A81526" w:rsidP="00A81526">
            <w:pPr>
              <w:autoSpaceDE w:val="0"/>
              <w:autoSpaceDN w:val="0"/>
              <w:adjustRightInd w:val="0"/>
              <w:jc w:val="both"/>
              <w:rPr>
                <w:rFonts w:cs="Arial"/>
                <w:szCs w:val="20"/>
              </w:rPr>
            </w:pPr>
            <w:r>
              <w:rPr>
                <w:rFonts w:cs="Arial"/>
                <w:b/>
                <w:bCs/>
                <w:szCs w:val="20"/>
              </w:rPr>
              <w:t xml:space="preserve">Frequency: </w:t>
            </w:r>
            <w:r w:rsidR="002B3C85">
              <w:rPr>
                <w:rFonts w:cs="Arial"/>
                <w:szCs w:val="20"/>
              </w:rPr>
              <w:t>Two</w:t>
            </w:r>
            <w:r>
              <w:rPr>
                <w:rFonts w:cs="Arial"/>
                <w:szCs w:val="20"/>
              </w:rPr>
              <w:t xml:space="preserve"> levels each day of use</w:t>
            </w:r>
          </w:p>
          <w:p w14:paraId="3D1EBF8D" w14:textId="77777777" w:rsidR="00A81526" w:rsidRDefault="00A81526" w:rsidP="00A81526">
            <w:pPr>
              <w:autoSpaceDE w:val="0"/>
              <w:autoSpaceDN w:val="0"/>
              <w:adjustRightInd w:val="0"/>
              <w:jc w:val="both"/>
              <w:rPr>
                <w:rFonts w:cs="Arial"/>
                <w:szCs w:val="20"/>
              </w:rPr>
            </w:pPr>
          </w:p>
          <w:p w14:paraId="5FA7609C" w14:textId="37DC6999" w:rsidR="00A81526" w:rsidRDefault="00A81526" w:rsidP="00A81526">
            <w:pPr>
              <w:autoSpaceDE w:val="0"/>
              <w:autoSpaceDN w:val="0"/>
              <w:adjustRightInd w:val="0"/>
              <w:rPr>
                <w:rFonts w:eastAsia="HelveticaNeueLTPro-Cn" w:cs="Arial"/>
                <w:szCs w:val="20"/>
              </w:rPr>
            </w:pPr>
            <w:r>
              <w:rPr>
                <w:rFonts w:cs="Arial"/>
                <w:b/>
                <w:bCs/>
                <w:szCs w:val="20"/>
              </w:rPr>
              <w:t xml:space="preserve">Stability: </w:t>
            </w:r>
            <w:r>
              <w:rPr>
                <w:rFonts w:cs="Arial"/>
                <w:bCs/>
                <w:szCs w:val="20"/>
              </w:rPr>
              <w:t>Stable until the expiration date when stored frozen between -20 and -40</w:t>
            </w:r>
            <w:r>
              <w:rPr>
                <w:rFonts w:eastAsia="HelveticaNeueLTPro-Cn" w:cs="Arial"/>
                <w:szCs w:val="20"/>
              </w:rPr>
              <w:t xml:space="preserve">°C. </w:t>
            </w:r>
            <w:r>
              <w:rPr>
                <w:rFonts w:cs="Arial"/>
                <w:bCs/>
                <w:szCs w:val="20"/>
              </w:rPr>
              <w:t xml:space="preserve"> </w:t>
            </w:r>
            <w:r>
              <w:rPr>
                <w:rFonts w:eastAsia="HelveticaNeueLTPro-Cn" w:cs="Arial"/>
                <w:szCs w:val="20"/>
              </w:rPr>
              <w:t>Once thawed, opened, and stored tightly capped at 2 to 8°</w:t>
            </w:r>
            <w:r w:rsidR="002B3C85">
              <w:rPr>
                <w:rFonts w:eastAsia="HelveticaNeueLTPro-Cn" w:cs="Arial"/>
                <w:szCs w:val="20"/>
              </w:rPr>
              <w:t>C, this product is stable for 5 days in Minneapolis (due to estradiol in this control) and 14</w:t>
            </w:r>
            <w:r>
              <w:rPr>
                <w:rFonts w:eastAsia="HelveticaNeueLTPro-Cn" w:cs="Arial"/>
                <w:szCs w:val="20"/>
              </w:rPr>
              <w:t xml:space="preserve"> days</w:t>
            </w:r>
            <w:r w:rsidR="002B3C85">
              <w:rPr>
                <w:rFonts w:eastAsia="HelveticaNeueLTPro-Cn" w:cs="Arial"/>
                <w:szCs w:val="20"/>
              </w:rPr>
              <w:t xml:space="preserve"> in St. Paul</w:t>
            </w:r>
            <w:r>
              <w:rPr>
                <w:rFonts w:eastAsia="HelveticaNeueLTPro-Cn" w:cs="Arial"/>
                <w:szCs w:val="20"/>
              </w:rPr>
              <w:t xml:space="preserve">.  </w:t>
            </w:r>
          </w:p>
          <w:p w14:paraId="33321917" w14:textId="77777777" w:rsidR="00A81526" w:rsidRDefault="00A81526" w:rsidP="00A81526">
            <w:pPr>
              <w:autoSpaceDE w:val="0"/>
              <w:autoSpaceDN w:val="0"/>
              <w:adjustRightInd w:val="0"/>
              <w:jc w:val="both"/>
              <w:rPr>
                <w:rFonts w:cs="Arial"/>
                <w:szCs w:val="20"/>
              </w:rPr>
            </w:pPr>
          </w:p>
          <w:p w14:paraId="23F947B9" w14:textId="77777777" w:rsidR="00A81526" w:rsidRDefault="00A81526" w:rsidP="00A81526">
            <w:pPr>
              <w:autoSpaceDE w:val="0"/>
              <w:autoSpaceDN w:val="0"/>
              <w:adjustRightInd w:val="0"/>
              <w:rPr>
                <w:rFonts w:cs="Arial"/>
                <w:szCs w:val="20"/>
              </w:rPr>
            </w:pPr>
            <w:r>
              <w:rPr>
                <w:rFonts w:cs="Arial"/>
                <w:b/>
                <w:bCs/>
                <w:szCs w:val="20"/>
              </w:rPr>
              <w:t>Preparation</w:t>
            </w:r>
            <w:r>
              <w:rPr>
                <w:rFonts w:cs="Arial"/>
                <w:szCs w:val="20"/>
              </w:rPr>
              <w:t xml:space="preserve">: </w:t>
            </w:r>
          </w:p>
          <w:p w14:paraId="2D4138CF" w14:textId="77777777" w:rsidR="00A81526" w:rsidRDefault="00A81526" w:rsidP="00A81526">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3A2D244F" w14:textId="77777777" w:rsidR="00A81526" w:rsidRDefault="00A81526" w:rsidP="00A81526">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70D6ACA2" w14:textId="77777777" w:rsidR="00A81526" w:rsidRDefault="00A81526" w:rsidP="00A81526">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76A9BD0E" w14:textId="77777777" w:rsidR="00A81526" w:rsidRDefault="00A81526" w:rsidP="00A81526">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68C6CC2D" w14:textId="77777777" w:rsidR="00A81526" w:rsidRDefault="00A81526" w:rsidP="00A81526">
            <w:pPr>
              <w:pStyle w:val="ListParagraph"/>
              <w:numPr>
                <w:ilvl w:val="0"/>
                <w:numId w:val="41"/>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2D93D18F" w14:textId="77777777" w:rsidR="00A81526" w:rsidRDefault="00A81526" w:rsidP="00A81526">
            <w:pPr>
              <w:pStyle w:val="ListParagraph"/>
              <w:autoSpaceDE w:val="0"/>
              <w:autoSpaceDN w:val="0"/>
              <w:adjustRightInd w:val="0"/>
              <w:ind w:left="360"/>
              <w:rPr>
                <w:rFonts w:eastAsia="HelveticaNeueLTPro-Cn" w:cs="Arial"/>
                <w:szCs w:val="20"/>
              </w:rPr>
            </w:pPr>
          </w:p>
          <w:p w14:paraId="1ADB346B" w14:textId="77777777" w:rsidR="00A81526" w:rsidRDefault="00A81526" w:rsidP="00A81526">
            <w:pPr>
              <w:jc w:val="both"/>
              <w:rPr>
                <w:rFonts w:cs="Arial"/>
                <w:szCs w:val="20"/>
              </w:rPr>
            </w:pPr>
            <w:r>
              <w:rPr>
                <w:rFonts w:cs="Arial"/>
                <w:b/>
                <w:bCs/>
                <w:szCs w:val="20"/>
              </w:rPr>
              <w:t>Acceptable ranges:</w:t>
            </w:r>
            <w:r>
              <w:rPr>
                <w:rFonts w:cs="Arial"/>
                <w:szCs w:val="20"/>
              </w:rPr>
              <w:t xml:space="preserve"> </w:t>
            </w:r>
          </w:p>
          <w:p w14:paraId="66769BB3" w14:textId="77777777" w:rsidR="00A81526" w:rsidRDefault="00A81526" w:rsidP="00A81526">
            <w:pPr>
              <w:pStyle w:val="ListParagraph"/>
              <w:numPr>
                <w:ilvl w:val="0"/>
                <w:numId w:val="42"/>
              </w:numPr>
              <w:jc w:val="both"/>
              <w:rPr>
                <w:rFonts w:cs="Arial"/>
                <w:szCs w:val="20"/>
              </w:rPr>
            </w:pPr>
            <w:r>
              <w:rPr>
                <w:rFonts w:cs="Arial"/>
                <w:szCs w:val="20"/>
              </w:rPr>
              <w:t xml:space="preserve">Non-Bio-Rad controls will utilize manufacturer ranges and 2 SD Westgard rules.  </w:t>
            </w:r>
          </w:p>
          <w:p w14:paraId="6F401005" w14:textId="77777777" w:rsidR="00A81526" w:rsidRDefault="00A81526" w:rsidP="00A81526">
            <w:pPr>
              <w:pStyle w:val="ListParagraph"/>
              <w:numPr>
                <w:ilvl w:val="0"/>
                <w:numId w:val="42"/>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07B38289" w14:textId="7816E12A" w:rsidR="00A81526" w:rsidRDefault="00A81526" w:rsidP="00A81526">
            <w:pPr>
              <w:pStyle w:val="ListParagraph"/>
              <w:numPr>
                <w:ilvl w:val="0"/>
                <w:numId w:val="42"/>
              </w:numPr>
              <w:jc w:val="both"/>
              <w:rPr>
                <w:rFonts w:cs="Arial"/>
                <w:szCs w:val="20"/>
              </w:rPr>
            </w:pPr>
            <w:r>
              <w:rPr>
                <w:rFonts w:cs="Arial"/>
                <w:szCs w:val="20"/>
              </w:rPr>
              <w:t xml:space="preserve">Refer to the Westgard Rules in Chemistry procedure </w:t>
            </w:r>
            <w:bookmarkStart w:id="0" w:name="_GoBack"/>
            <w:bookmarkEnd w:id="0"/>
            <w:r>
              <w:rPr>
                <w:rFonts w:cs="Arial"/>
                <w:szCs w:val="20"/>
              </w:rPr>
              <w:t xml:space="preserve">for current Westgard rules in place for each analyte.  </w:t>
            </w:r>
          </w:p>
          <w:p w14:paraId="0CA378D8" w14:textId="77777777" w:rsidR="00A81526" w:rsidRDefault="00A81526" w:rsidP="00A81526">
            <w:pPr>
              <w:numPr>
                <w:ilvl w:val="0"/>
                <w:numId w:val="42"/>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765FBD59" w14:textId="77777777" w:rsidR="00A81526" w:rsidRDefault="00A81526" w:rsidP="00A81526">
            <w:pPr>
              <w:numPr>
                <w:ilvl w:val="0"/>
                <w:numId w:val="42"/>
              </w:numPr>
              <w:autoSpaceDE w:val="0"/>
              <w:autoSpaceDN w:val="0"/>
              <w:adjustRightInd w:val="0"/>
              <w:jc w:val="both"/>
              <w:rPr>
                <w:rFonts w:cs="Arial"/>
                <w:color w:val="000000"/>
                <w:szCs w:val="20"/>
              </w:rPr>
            </w:pPr>
            <w:r>
              <w:rPr>
                <w:rFonts w:cs="Arial"/>
                <w:szCs w:val="20"/>
              </w:rPr>
              <w:t xml:space="preserve">In the event of a QC failure, refer to the </w:t>
            </w:r>
            <w:hyperlink r:id="rId13" w:history="1">
              <w:r>
                <w:rPr>
                  <w:rStyle w:val="Hyperlink"/>
                  <w:rFonts w:cs="Arial"/>
                  <w:szCs w:val="20"/>
                </w:rPr>
                <w:t>Unity Real Time QC Review, General User</w:t>
              </w:r>
            </w:hyperlink>
            <w:r>
              <w:rPr>
                <w:rFonts w:cs="Arial"/>
                <w:szCs w:val="20"/>
              </w:rPr>
              <w:t xml:space="preserve"> and navigate to the QC Troubleshooting section.</w:t>
            </w:r>
          </w:p>
          <w:p w14:paraId="51EFF917" w14:textId="77777777" w:rsidR="00A81526" w:rsidRDefault="00A81526" w:rsidP="00A81526">
            <w:pPr>
              <w:numPr>
                <w:ilvl w:val="0"/>
                <w:numId w:val="42"/>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4CD107D2" w14:textId="77777777" w:rsidR="00B41D3F" w:rsidRPr="00234207" w:rsidRDefault="00B41D3F" w:rsidP="00B41D3F">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B41D3F" w:rsidRPr="006A26B2" w14:paraId="36EF196A" w14:textId="77777777" w:rsidTr="00817F9E">
              <w:tc>
                <w:tcPr>
                  <w:tcW w:w="472" w:type="dxa"/>
                </w:tcPr>
                <w:p w14:paraId="0A25EA78" w14:textId="77777777" w:rsidR="00B41D3F" w:rsidRPr="006A26B2" w:rsidRDefault="00B41D3F" w:rsidP="00B41D3F">
                  <w:pPr>
                    <w:autoSpaceDE w:val="0"/>
                    <w:autoSpaceDN w:val="0"/>
                    <w:adjustRightInd w:val="0"/>
                    <w:jc w:val="both"/>
                    <w:rPr>
                      <w:rFonts w:cs="Arial"/>
                      <w:b/>
                      <w:szCs w:val="20"/>
                    </w:rPr>
                  </w:pPr>
                  <w:r w:rsidRPr="006A26B2">
                    <w:rPr>
                      <w:rFonts w:cs="Arial"/>
                      <w:b/>
                      <w:szCs w:val="20"/>
                    </w:rPr>
                    <w:t>H</w:t>
                  </w:r>
                </w:p>
              </w:tc>
              <w:tc>
                <w:tcPr>
                  <w:tcW w:w="394" w:type="dxa"/>
                </w:tcPr>
                <w:p w14:paraId="6BA0B5A3" w14:textId="77777777" w:rsidR="00B41D3F" w:rsidRPr="006A26B2" w:rsidRDefault="00B41D3F" w:rsidP="00B41D3F">
                  <w:pPr>
                    <w:autoSpaceDE w:val="0"/>
                    <w:autoSpaceDN w:val="0"/>
                    <w:adjustRightInd w:val="0"/>
                    <w:jc w:val="both"/>
                    <w:rPr>
                      <w:rFonts w:cs="Arial"/>
                      <w:b/>
                      <w:szCs w:val="20"/>
                    </w:rPr>
                  </w:pPr>
                  <w:r w:rsidRPr="006A26B2">
                    <w:rPr>
                      <w:rFonts w:cs="Arial"/>
                      <w:b/>
                      <w:szCs w:val="20"/>
                    </w:rPr>
                    <w:t>I</w:t>
                  </w:r>
                </w:p>
              </w:tc>
              <w:tc>
                <w:tcPr>
                  <w:tcW w:w="443" w:type="dxa"/>
                </w:tcPr>
                <w:p w14:paraId="0F652953" w14:textId="77777777" w:rsidR="00B41D3F" w:rsidRPr="006A26B2" w:rsidRDefault="00B41D3F" w:rsidP="00B41D3F">
                  <w:pPr>
                    <w:autoSpaceDE w:val="0"/>
                    <w:autoSpaceDN w:val="0"/>
                    <w:adjustRightInd w:val="0"/>
                    <w:jc w:val="both"/>
                    <w:rPr>
                      <w:rFonts w:cs="Arial"/>
                      <w:b/>
                      <w:szCs w:val="20"/>
                    </w:rPr>
                  </w:pPr>
                  <w:r w:rsidRPr="006A26B2">
                    <w:rPr>
                      <w:rFonts w:cs="Arial"/>
                      <w:b/>
                      <w:szCs w:val="20"/>
                    </w:rPr>
                    <w:t>L</w:t>
                  </w:r>
                </w:p>
              </w:tc>
            </w:tr>
            <w:tr w:rsidR="00B41D3F" w:rsidRPr="006A26B2" w14:paraId="6F4F93CB" w14:textId="77777777" w:rsidTr="00817F9E">
              <w:tc>
                <w:tcPr>
                  <w:tcW w:w="472" w:type="dxa"/>
                </w:tcPr>
                <w:p w14:paraId="0DAEBD32" w14:textId="77777777" w:rsidR="00B41D3F" w:rsidRPr="006A26B2" w:rsidRDefault="00B41D3F" w:rsidP="00B41D3F">
                  <w:pPr>
                    <w:autoSpaceDE w:val="0"/>
                    <w:autoSpaceDN w:val="0"/>
                    <w:adjustRightInd w:val="0"/>
                    <w:jc w:val="both"/>
                    <w:rPr>
                      <w:rFonts w:cs="Arial"/>
                      <w:b/>
                      <w:szCs w:val="20"/>
                    </w:rPr>
                  </w:pPr>
                  <w:r>
                    <w:rPr>
                      <w:rFonts w:cs="Arial"/>
                      <w:b/>
                      <w:szCs w:val="20"/>
                    </w:rPr>
                    <w:t>-</w:t>
                  </w:r>
                </w:p>
              </w:tc>
              <w:tc>
                <w:tcPr>
                  <w:tcW w:w="394" w:type="dxa"/>
                </w:tcPr>
                <w:p w14:paraId="039CD7CC" w14:textId="77777777" w:rsidR="00B41D3F" w:rsidRPr="006A26B2" w:rsidRDefault="00B41D3F" w:rsidP="00B41D3F">
                  <w:pPr>
                    <w:autoSpaceDE w:val="0"/>
                    <w:autoSpaceDN w:val="0"/>
                    <w:adjustRightInd w:val="0"/>
                    <w:jc w:val="both"/>
                    <w:rPr>
                      <w:rFonts w:cs="Arial"/>
                      <w:b/>
                      <w:szCs w:val="20"/>
                    </w:rPr>
                  </w:pPr>
                  <w:r>
                    <w:rPr>
                      <w:rFonts w:cs="Arial"/>
                      <w:b/>
                      <w:szCs w:val="20"/>
                    </w:rPr>
                    <w:t>-</w:t>
                  </w:r>
                </w:p>
              </w:tc>
              <w:tc>
                <w:tcPr>
                  <w:tcW w:w="443" w:type="dxa"/>
                </w:tcPr>
                <w:p w14:paraId="330F5C2A" w14:textId="77777777" w:rsidR="00B41D3F" w:rsidRPr="006A26B2" w:rsidRDefault="00B41D3F" w:rsidP="00B41D3F">
                  <w:pPr>
                    <w:autoSpaceDE w:val="0"/>
                    <w:autoSpaceDN w:val="0"/>
                    <w:adjustRightInd w:val="0"/>
                    <w:jc w:val="both"/>
                    <w:rPr>
                      <w:rFonts w:cs="Arial"/>
                      <w:b/>
                      <w:szCs w:val="20"/>
                    </w:rPr>
                  </w:pPr>
                  <w:r>
                    <w:rPr>
                      <w:rFonts w:cs="Arial"/>
                      <w:b/>
                      <w:szCs w:val="20"/>
                    </w:rPr>
                    <w:t>-</w:t>
                  </w:r>
                </w:p>
              </w:tc>
            </w:tr>
          </w:tbl>
          <w:p w14:paraId="5AE5B919" w14:textId="77777777" w:rsidR="00B41D3F" w:rsidRPr="00DC7421" w:rsidRDefault="00B41D3F" w:rsidP="00B41D3F">
            <w:pPr>
              <w:autoSpaceDE w:val="0"/>
              <w:autoSpaceDN w:val="0"/>
              <w:adjustRightInd w:val="0"/>
              <w:rPr>
                <w:rFonts w:cs="Arial"/>
                <w:b/>
                <w:bCs/>
                <w:color w:val="5F497A"/>
                <w:szCs w:val="20"/>
              </w:rPr>
            </w:pPr>
          </w:p>
          <w:p w14:paraId="39FAD2B8" w14:textId="77777777" w:rsidR="00B41D3F" w:rsidRDefault="00B41D3F" w:rsidP="00B41D3F">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6672A021" w14:textId="77777777" w:rsidR="00B41D3F" w:rsidRDefault="00B41D3F" w:rsidP="00B41D3F">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5675F02C" w14:textId="77777777" w:rsidR="00B41D3F" w:rsidRDefault="00B41D3F" w:rsidP="00B41D3F">
            <w:pPr>
              <w:autoSpaceDE w:val="0"/>
              <w:autoSpaceDN w:val="0"/>
              <w:adjustRightInd w:val="0"/>
              <w:rPr>
                <w:rFonts w:eastAsia="HelenPro-Regular" w:cs="Arial"/>
                <w:szCs w:val="20"/>
              </w:rPr>
            </w:pPr>
            <w:r>
              <w:rPr>
                <w:rFonts w:eastAsia="HelenPro-Regular" w:cs="Arial"/>
                <w:szCs w:val="20"/>
              </w:rPr>
              <w:t>-BIN for “Bilirubin Interference”</w:t>
            </w:r>
          </w:p>
          <w:p w14:paraId="058BAE31" w14:textId="77777777" w:rsidR="00B41D3F" w:rsidRDefault="00B41D3F" w:rsidP="00B41D3F">
            <w:pPr>
              <w:autoSpaceDE w:val="0"/>
              <w:autoSpaceDN w:val="0"/>
              <w:adjustRightInd w:val="0"/>
              <w:rPr>
                <w:rFonts w:eastAsia="HelenPro-Regular" w:cs="Arial"/>
                <w:szCs w:val="20"/>
              </w:rPr>
            </w:pPr>
            <w:r>
              <w:rPr>
                <w:rFonts w:eastAsia="HelenPro-Regular" w:cs="Arial"/>
                <w:szCs w:val="20"/>
              </w:rPr>
              <w:t>-LINT for “Lipid Interference”</w:t>
            </w:r>
          </w:p>
          <w:p w14:paraId="5AA637FC" w14:textId="77777777" w:rsidR="00B41D3F" w:rsidRDefault="00B41D3F" w:rsidP="00B41D3F">
            <w:pPr>
              <w:autoSpaceDE w:val="0"/>
              <w:autoSpaceDN w:val="0"/>
              <w:adjustRightInd w:val="0"/>
              <w:rPr>
                <w:rFonts w:eastAsia="HelenPro-Regular" w:cs="Arial"/>
                <w:szCs w:val="20"/>
              </w:rPr>
            </w:pPr>
          </w:p>
          <w:p w14:paraId="35BEA281" w14:textId="77777777" w:rsidR="00B41D3F" w:rsidRDefault="00B41D3F" w:rsidP="00B41D3F">
            <w:pPr>
              <w:autoSpaceDE w:val="0"/>
              <w:autoSpaceDN w:val="0"/>
              <w:adjustRightInd w:val="0"/>
              <w:rPr>
                <w:rFonts w:eastAsia="HelenPro-Regular" w:cs="Arial"/>
                <w:szCs w:val="20"/>
              </w:rPr>
            </w:pPr>
            <w:r>
              <w:rPr>
                <w:rFonts w:eastAsia="HelenPro-Regular" w:cs="Arial"/>
                <w:szCs w:val="20"/>
              </w:rPr>
              <w:t>No endogenous substance interference has been discovered.</w:t>
            </w:r>
          </w:p>
          <w:p w14:paraId="5CD00011" w14:textId="53F6C617" w:rsidR="000244AC" w:rsidRPr="00DC7421" w:rsidRDefault="000244AC" w:rsidP="00B41D3F">
            <w:pPr>
              <w:autoSpaceDE w:val="0"/>
              <w:autoSpaceDN w:val="0"/>
              <w:adjustRightInd w:val="0"/>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lastRenderedPageBreak/>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1DCBE767" w14:textId="1F8377F7" w:rsidR="0039587D" w:rsidRDefault="002B3C85" w:rsidP="0039587D">
            <w:pPr>
              <w:rPr>
                <w:rFonts w:cs="Arial"/>
                <w:szCs w:val="20"/>
              </w:rPr>
            </w:pPr>
            <w:r w:rsidRPr="002B3C85">
              <w:rPr>
                <w:rFonts w:cs="Arial"/>
                <w:szCs w:val="20"/>
              </w:rPr>
              <w:t>Therapeutic range:    50 - 100 µg/mL</w:t>
            </w:r>
          </w:p>
          <w:p w14:paraId="32792592" w14:textId="77777777" w:rsidR="002B3C85" w:rsidRDefault="002B3C85" w:rsidP="0039587D">
            <w:pPr>
              <w:rPr>
                <w:rFonts w:cs="Arial"/>
                <w:szCs w:val="20"/>
              </w:rPr>
            </w:pPr>
          </w:p>
          <w:p w14:paraId="6CA332FE" w14:textId="77777777" w:rsidR="002B3C85" w:rsidRDefault="002B3C85" w:rsidP="0039587D">
            <w:pPr>
              <w:rPr>
                <w:rFonts w:cs="Arial"/>
                <w:szCs w:val="20"/>
              </w:rPr>
            </w:pPr>
            <w:r>
              <w:rPr>
                <w:rFonts w:cs="Arial"/>
                <w:szCs w:val="20"/>
              </w:rPr>
              <w:t>Manufacturer notes:</w:t>
            </w:r>
          </w:p>
          <w:p w14:paraId="0E4BF036" w14:textId="29695B28" w:rsidR="002B3C85" w:rsidRPr="002B3C85" w:rsidRDefault="002B3C85" w:rsidP="002B3C85">
            <w:pPr>
              <w:rPr>
                <w:rFonts w:cs="Arial"/>
                <w:szCs w:val="20"/>
              </w:rPr>
            </w:pPr>
            <w:r w:rsidRPr="002B3C85">
              <w:rPr>
                <w:rFonts w:cs="Arial"/>
                <w:szCs w:val="20"/>
              </w:rPr>
              <w:t>There is no precise relationship bet</w:t>
            </w:r>
            <w:r>
              <w:rPr>
                <w:rFonts w:cs="Arial"/>
                <w:szCs w:val="20"/>
              </w:rPr>
              <w:t>ween serum valproic acid levels and control of seizures,</w:t>
            </w:r>
            <w:r w:rsidRPr="002B3C85">
              <w:rPr>
                <w:rFonts w:cs="Arial"/>
                <w:szCs w:val="20"/>
              </w:rPr>
              <w:t xml:space="preserve"> although m</w:t>
            </w:r>
            <w:r>
              <w:rPr>
                <w:rFonts w:cs="Arial"/>
                <w:szCs w:val="20"/>
              </w:rPr>
              <w:t xml:space="preserve">ost patients require at least </w:t>
            </w:r>
            <w:r w:rsidRPr="002B3C85">
              <w:rPr>
                <w:rFonts w:cs="Arial"/>
                <w:szCs w:val="20"/>
              </w:rPr>
              <w:t>a serum level of 50 μg/mL (346.5 μm</w:t>
            </w:r>
            <w:r>
              <w:rPr>
                <w:rFonts w:cs="Arial"/>
                <w:szCs w:val="20"/>
              </w:rPr>
              <w:t xml:space="preserve">ol/L) for effective therapy. </w:t>
            </w:r>
            <w:r w:rsidRPr="002B3C85">
              <w:rPr>
                <w:rFonts w:cs="Arial"/>
                <w:szCs w:val="20"/>
              </w:rPr>
              <w:t xml:space="preserve">A therapeutic range of 50 to </w:t>
            </w:r>
            <w:r>
              <w:rPr>
                <w:rFonts w:cs="Arial"/>
                <w:szCs w:val="20"/>
              </w:rPr>
              <w:t xml:space="preserve">100 μg/mL (346.5 to 693 μmol/L) </w:t>
            </w:r>
            <w:r w:rsidRPr="002B3C85">
              <w:rPr>
                <w:rFonts w:cs="Arial"/>
                <w:szCs w:val="20"/>
              </w:rPr>
              <w:t>has been</w:t>
            </w:r>
            <w:r>
              <w:rPr>
                <w:rFonts w:cs="Arial"/>
                <w:szCs w:val="20"/>
              </w:rPr>
              <w:t xml:space="preserve"> suggested for valproic acid. Due to great individual </w:t>
            </w:r>
            <w:r w:rsidRPr="002B3C85">
              <w:rPr>
                <w:rFonts w:cs="Arial"/>
                <w:szCs w:val="20"/>
              </w:rPr>
              <w:t xml:space="preserve">differences in dosage requirements </w:t>
            </w:r>
            <w:r>
              <w:rPr>
                <w:rFonts w:cs="Arial"/>
                <w:szCs w:val="20"/>
              </w:rPr>
              <w:t xml:space="preserve">to achieve efficacious therapy, </w:t>
            </w:r>
            <w:r w:rsidRPr="002B3C85">
              <w:rPr>
                <w:rFonts w:cs="Arial"/>
                <w:szCs w:val="20"/>
              </w:rPr>
              <w:t>determination of valproic acid s</w:t>
            </w:r>
            <w:r>
              <w:rPr>
                <w:rFonts w:cs="Arial"/>
                <w:szCs w:val="20"/>
              </w:rPr>
              <w:t xml:space="preserve">erum concentrations is required </w:t>
            </w:r>
            <w:r w:rsidRPr="002B3C85">
              <w:rPr>
                <w:rFonts w:cs="Arial"/>
                <w:szCs w:val="20"/>
              </w:rPr>
              <w:t>to d</w:t>
            </w:r>
            <w:r>
              <w:rPr>
                <w:rFonts w:cs="Arial"/>
                <w:szCs w:val="20"/>
              </w:rPr>
              <w:t>irect effective therapy.</w:t>
            </w:r>
            <w:r w:rsidRPr="002B3C85">
              <w:rPr>
                <w:rFonts w:cs="Arial"/>
                <w:szCs w:val="20"/>
              </w:rPr>
              <w:t xml:space="preserve"> R</w:t>
            </w:r>
            <w:r>
              <w:rPr>
                <w:rFonts w:cs="Arial"/>
                <w:szCs w:val="20"/>
              </w:rPr>
              <w:t xml:space="preserve">efer to the drug manufacturer’s </w:t>
            </w:r>
            <w:r w:rsidRPr="002B3C85">
              <w:rPr>
                <w:rFonts w:cs="Arial"/>
                <w:szCs w:val="20"/>
              </w:rPr>
              <w:t xml:space="preserve">package insert or the Physicians’ </w:t>
            </w:r>
            <w:r>
              <w:rPr>
                <w:rFonts w:cs="Arial"/>
                <w:szCs w:val="20"/>
              </w:rPr>
              <w:t xml:space="preserve">Desk Reference (PDR) for proper </w:t>
            </w:r>
            <w:r w:rsidRPr="002B3C85">
              <w:rPr>
                <w:rFonts w:cs="Arial"/>
                <w:szCs w:val="20"/>
              </w:rPr>
              <w:t>drug dosage and for valproic acid measurement sampling times.</w:t>
            </w:r>
          </w:p>
          <w:p w14:paraId="3AC3BC0D" w14:textId="77777777" w:rsidR="002B3C85" w:rsidRDefault="002B3C85" w:rsidP="002B3C85">
            <w:pPr>
              <w:rPr>
                <w:rFonts w:cs="Arial"/>
                <w:szCs w:val="20"/>
              </w:rPr>
            </w:pPr>
            <w:r w:rsidRPr="002B3C85">
              <w:rPr>
                <w:rFonts w:cs="Arial"/>
                <w:szCs w:val="20"/>
              </w:rPr>
              <w:t>Valproic acid modulates the action of var</w:t>
            </w:r>
            <w:r>
              <w:rPr>
                <w:rFonts w:cs="Arial"/>
                <w:szCs w:val="20"/>
              </w:rPr>
              <w:t xml:space="preserve">ious other common antiepileptic </w:t>
            </w:r>
            <w:r w:rsidRPr="002B3C85">
              <w:rPr>
                <w:rFonts w:cs="Arial"/>
                <w:szCs w:val="20"/>
              </w:rPr>
              <w:t>drugs. It inhibits the non-re</w:t>
            </w:r>
            <w:r>
              <w:rPr>
                <w:rFonts w:cs="Arial"/>
                <w:szCs w:val="20"/>
              </w:rPr>
              <w:t xml:space="preserve">nal clearance of phenobarbital, </w:t>
            </w:r>
            <w:r w:rsidRPr="002B3C85">
              <w:rPr>
                <w:rFonts w:cs="Arial"/>
                <w:szCs w:val="20"/>
              </w:rPr>
              <w:t>resulting in elevated phenobarbital lev</w:t>
            </w:r>
            <w:r>
              <w:rPr>
                <w:rFonts w:cs="Arial"/>
                <w:szCs w:val="20"/>
              </w:rPr>
              <w:t xml:space="preserve">els. It competes with phenytoin </w:t>
            </w:r>
            <w:r w:rsidRPr="002B3C85">
              <w:rPr>
                <w:rFonts w:cs="Arial"/>
                <w:szCs w:val="20"/>
              </w:rPr>
              <w:t xml:space="preserve">for protein-binding sites. The free </w:t>
            </w:r>
            <w:r>
              <w:rPr>
                <w:rFonts w:cs="Arial"/>
                <w:szCs w:val="20"/>
              </w:rPr>
              <w:t xml:space="preserve">phenytoin concentration remains </w:t>
            </w:r>
            <w:r w:rsidRPr="002B3C85">
              <w:rPr>
                <w:rFonts w:cs="Arial"/>
                <w:szCs w:val="20"/>
              </w:rPr>
              <w:t>approximately the same, but th</w:t>
            </w:r>
            <w:r>
              <w:rPr>
                <w:rFonts w:cs="Arial"/>
                <w:szCs w:val="20"/>
              </w:rPr>
              <w:t xml:space="preserve">e total phenytoin in the plasma </w:t>
            </w:r>
            <w:r w:rsidRPr="002B3C85">
              <w:rPr>
                <w:rFonts w:cs="Arial"/>
                <w:szCs w:val="20"/>
              </w:rPr>
              <w:t xml:space="preserve">decreases. Because the free </w:t>
            </w:r>
            <w:r>
              <w:rPr>
                <w:rFonts w:cs="Arial"/>
                <w:szCs w:val="20"/>
              </w:rPr>
              <w:t xml:space="preserve">phenytoin concentration remains </w:t>
            </w:r>
            <w:r w:rsidRPr="002B3C85">
              <w:rPr>
                <w:rFonts w:cs="Arial"/>
                <w:szCs w:val="20"/>
              </w:rPr>
              <w:t>unchanged, the pharmacological e</w:t>
            </w:r>
            <w:r>
              <w:rPr>
                <w:rFonts w:cs="Arial"/>
                <w:szCs w:val="20"/>
              </w:rPr>
              <w:t xml:space="preserve">ffect is retained. Other common </w:t>
            </w:r>
            <w:r w:rsidRPr="002B3C85">
              <w:rPr>
                <w:rFonts w:cs="Arial"/>
                <w:szCs w:val="20"/>
              </w:rPr>
              <w:t>anti-epileptic drugs that induce hepa</w:t>
            </w:r>
            <w:r>
              <w:rPr>
                <w:rFonts w:cs="Arial"/>
                <w:szCs w:val="20"/>
              </w:rPr>
              <w:t xml:space="preserve">tic oxidative enzymes result in </w:t>
            </w:r>
            <w:r w:rsidRPr="002B3C85">
              <w:rPr>
                <w:rFonts w:cs="Arial"/>
                <w:szCs w:val="20"/>
              </w:rPr>
              <w:t>increased valproic acid clearance</w:t>
            </w:r>
            <w:r>
              <w:rPr>
                <w:rFonts w:cs="Arial"/>
                <w:szCs w:val="20"/>
              </w:rPr>
              <w:t xml:space="preserve">; this increased clearance rate </w:t>
            </w:r>
            <w:r w:rsidRPr="002B3C85">
              <w:rPr>
                <w:rFonts w:cs="Arial"/>
                <w:szCs w:val="20"/>
              </w:rPr>
              <w:t>requires a higher dose to maintain effective therapeutic levels.</w:t>
            </w:r>
          </w:p>
          <w:p w14:paraId="5CD00018" w14:textId="7B27A3CC" w:rsidR="002B3C85" w:rsidRPr="00DC7421" w:rsidRDefault="002B3C85" w:rsidP="002B3C85">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4BE83C20"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1E2DC850" w14:textId="77777777" w:rsidR="00E3253B" w:rsidRDefault="002B3C85" w:rsidP="002B3C85">
            <w:pPr>
              <w:pStyle w:val="Header"/>
              <w:tabs>
                <w:tab w:val="clear" w:pos="4320"/>
                <w:tab w:val="clear" w:pos="8640"/>
              </w:tabs>
              <w:rPr>
                <w:rFonts w:cs="Arial"/>
                <w:szCs w:val="20"/>
              </w:rPr>
            </w:pPr>
            <w:r w:rsidRPr="002B3C85">
              <w:rPr>
                <w:rFonts w:cs="Arial"/>
                <w:szCs w:val="20"/>
              </w:rPr>
              <w:t>&gt;</w:t>
            </w:r>
            <w:r>
              <w:rPr>
                <w:rFonts w:cs="Arial"/>
                <w:szCs w:val="20"/>
              </w:rPr>
              <w:t xml:space="preserve"> 200 </w:t>
            </w:r>
            <w:r w:rsidRPr="002B3C85">
              <w:rPr>
                <w:rFonts w:cs="Arial"/>
                <w:szCs w:val="20"/>
              </w:rPr>
              <w:t>µg/mL</w:t>
            </w:r>
          </w:p>
          <w:p w14:paraId="5CD0001B" w14:textId="5D6A6952" w:rsidR="002B3C85" w:rsidRPr="00DC7421" w:rsidRDefault="002B3C85" w:rsidP="002B3C85">
            <w:pPr>
              <w:pStyle w:val="Header"/>
              <w:tabs>
                <w:tab w:val="clear" w:pos="4320"/>
                <w:tab w:val="clear" w:pos="8640"/>
              </w:tabs>
              <w:rPr>
                <w:rFonts w:cs="Arial"/>
                <w:szCs w:val="20"/>
              </w:rPr>
            </w:pPr>
            <w:r>
              <w:rPr>
                <w:rFonts w:cs="Arial"/>
                <w:szCs w:val="20"/>
              </w:rPr>
              <w:t>Critical values must be called and documented according to the critical values policy.</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0AEB8E64" w14:textId="77777777" w:rsidR="004F3969" w:rsidRDefault="004F3969" w:rsidP="004F3969">
            <w:pPr>
              <w:pStyle w:val="ListParagraph"/>
              <w:numPr>
                <w:ilvl w:val="0"/>
                <w:numId w:val="43"/>
              </w:numPr>
              <w:autoSpaceDE w:val="0"/>
              <w:autoSpaceDN w:val="0"/>
              <w:adjustRightInd w:val="0"/>
              <w:rPr>
                <w:rFonts w:cs="Arial"/>
                <w:bCs/>
                <w:szCs w:val="20"/>
              </w:rPr>
            </w:pPr>
            <w:r w:rsidRPr="004F3969">
              <w:rPr>
                <w:rFonts w:cs="Arial"/>
                <w:bCs/>
                <w:szCs w:val="20"/>
              </w:rPr>
              <w:t>Sodium citrate and</w:t>
            </w:r>
            <w:r w:rsidRPr="004F3969">
              <w:rPr>
                <w:rFonts w:cs="Arial"/>
                <w:bCs/>
                <w:szCs w:val="20"/>
              </w:rPr>
              <w:t xml:space="preserve"> </w:t>
            </w:r>
            <w:r w:rsidRPr="004F3969">
              <w:rPr>
                <w:rFonts w:cs="Arial"/>
                <w:bCs/>
                <w:szCs w:val="20"/>
              </w:rPr>
              <w:t>sodium fluoride</w:t>
            </w:r>
            <w:r w:rsidRPr="004F3969">
              <w:rPr>
                <w:rFonts w:cs="Arial"/>
                <w:bCs/>
                <w:szCs w:val="20"/>
              </w:rPr>
              <w:t xml:space="preserve"> </w:t>
            </w:r>
            <w:r w:rsidRPr="004F3969">
              <w:rPr>
                <w:rFonts w:cs="Arial"/>
                <w:bCs/>
                <w:szCs w:val="20"/>
              </w:rPr>
              <w:t>anticoagulants were</w:t>
            </w:r>
            <w:r w:rsidRPr="004F3969">
              <w:rPr>
                <w:rFonts w:cs="Arial"/>
                <w:bCs/>
                <w:szCs w:val="20"/>
              </w:rPr>
              <w:t xml:space="preserve"> </w:t>
            </w:r>
            <w:r w:rsidRPr="004F3969">
              <w:rPr>
                <w:rFonts w:cs="Arial"/>
                <w:bCs/>
                <w:szCs w:val="20"/>
              </w:rPr>
              <w:t>tested and found to be</w:t>
            </w:r>
            <w:r w:rsidRPr="004F3969">
              <w:rPr>
                <w:rFonts w:cs="Arial"/>
                <w:bCs/>
                <w:szCs w:val="20"/>
              </w:rPr>
              <w:t xml:space="preserve"> </w:t>
            </w:r>
            <w:r w:rsidRPr="004F3969">
              <w:rPr>
                <w:rFonts w:cs="Arial"/>
                <w:bCs/>
                <w:szCs w:val="20"/>
              </w:rPr>
              <w:t>unacceptable.</w:t>
            </w:r>
          </w:p>
          <w:p w14:paraId="7FD6E0A8" w14:textId="77777777" w:rsidR="004F3969" w:rsidRDefault="004F3969" w:rsidP="004F3969">
            <w:pPr>
              <w:pStyle w:val="ListParagraph"/>
              <w:autoSpaceDE w:val="0"/>
              <w:autoSpaceDN w:val="0"/>
              <w:adjustRightInd w:val="0"/>
              <w:ind w:left="360"/>
              <w:rPr>
                <w:rFonts w:cs="Arial"/>
                <w:bCs/>
                <w:szCs w:val="20"/>
              </w:rPr>
            </w:pPr>
          </w:p>
          <w:p w14:paraId="0715BB33" w14:textId="09C258D7" w:rsidR="004F3969" w:rsidRDefault="004F3969" w:rsidP="004F3969">
            <w:pPr>
              <w:pStyle w:val="ListParagraph"/>
              <w:numPr>
                <w:ilvl w:val="0"/>
                <w:numId w:val="43"/>
              </w:numPr>
              <w:autoSpaceDE w:val="0"/>
              <w:autoSpaceDN w:val="0"/>
              <w:adjustRightInd w:val="0"/>
              <w:rPr>
                <w:rFonts w:cs="Arial"/>
                <w:bCs/>
                <w:szCs w:val="20"/>
              </w:rPr>
            </w:pPr>
            <w:r w:rsidRPr="004F3969">
              <w:rPr>
                <w:rFonts w:cs="Arial"/>
                <w:bCs/>
                <w:szCs w:val="20"/>
              </w:rPr>
              <w:t>To confirm that an adequate dose has been prescribed, specimens for the Alinity c Valproic Acid assay should be drawn at trough levels, just prior to a dose. The trough concentration is most indicative of the therapeutic value of valproic acid.</w:t>
            </w:r>
          </w:p>
          <w:p w14:paraId="44031C34" w14:textId="77777777" w:rsidR="004F3969" w:rsidRPr="004F3969" w:rsidRDefault="004F3969" w:rsidP="004F3969">
            <w:pPr>
              <w:pStyle w:val="ListParagraph"/>
              <w:rPr>
                <w:rFonts w:cs="Arial"/>
                <w:bCs/>
                <w:szCs w:val="20"/>
              </w:rPr>
            </w:pPr>
          </w:p>
          <w:p w14:paraId="0D24ACD2" w14:textId="6B1976AE" w:rsidR="002B3C85" w:rsidRDefault="009C1F9C" w:rsidP="009C1F9C">
            <w:pPr>
              <w:pStyle w:val="ListParagraph"/>
              <w:numPr>
                <w:ilvl w:val="0"/>
                <w:numId w:val="43"/>
              </w:numPr>
              <w:autoSpaceDE w:val="0"/>
              <w:autoSpaceDN w:val="0"/>
              <w:adjustRightInd w:val="0"/>
              <w:rPr>
                <w:rFonts w:cs="Arial"/>
                <w:bCs/>
                <w:szCs w:val="20"/>
              </w:rPr>
            </w:pPr>
            <w:r w:rsidRPr="009C1F9C">
              <w:rPr>
                <w:rFonts w:cs="Arial"/>
                <w:bCs/>
                <w:szCs w:val="20"/>
              </w:rPr>
              <w:t>In very rare cases, patient samples may contain heterophile</w:t>
            </w:r>
            <w:r>
              <w:rPr>
                <w:rFonts w:cs="Arial"/>
                <w:bCs/>
                <w:szCs w:val="20"/>
              </w:rPr>
              <w:t xml:space="preserve"> </w:t>
            </w:r>
            <w:r w:rsidRPr="009C1F9C">
              <w:rPr>
                <w:rFonts w:cs="Arial"/>
                <w:bCs/>
                <w:szCs w:val="20"/>
              </w:rPr>
              <w:t>antibodies, which may produce low results with the Alinity c</w:t>
            </w:r>
            <w:r>
              <w:rPr>
                <w:rFonts w:cs="Arial"/>
                <w:bCs/>
                <w:szCs w:val="20"/>
              </w:rPr>
              <w:t xml:space="preserve"> </w:t>
            </w:r>
            <w:r w:rsidRPr="009C1F9C">
              <w:rPr>
                <w:rFonts w:cs="Arial"/>
                <w:bCs/>
                <w:szCs w:val="20"/>
              </w:rPr>
              <w:t>Valproic Acid assay. Interfering heterophile antibodies occur at a</w:t>
            </w:r>
            <w:r>
              <w:rPr>
                <w:rFonts w:cs="Arial"/>
                <w:bCs/>
                <w:szCs w:val="20"/>
              </w:rPr>
              <w:t xml:space="preserve"> </w:t>
            </w:r>
            <w:r w:rsidRPr="009C1F9C">
              <w:rPr>
                <w:rFonts w:cs="Arial"/>
                <w:bCs/>
                <w:szCs w:val="20"/>
              </w:rPr>
              <w:t>low frequency in the general population. These antibodies can</w:t>
            </w:r>
            <w:r>
              <w:rPr>
                <w:rFonts w:cs="Arial"/>
                <w:bCs/>
                <w:szCs w:val="20"/>
              </w:rPr>
              <w:t xml:space="preserve"> </w:t>
            </w:r>
            <w:r w:rsidRPr="009C1F9C">
              <w:rPr>
                <w:rFonts w:cs="Arial"/>
                <w:bCs/>
                <w:szCs w:val="20"/>
              </w:rPr>
              <w:t>cause autoagglutination of the microparticle reagent leading to</w:t>
            </w:r>
            <w:r>
              <w:rPr>
                <w:rFonts w:cs="Arial"/>
                <w:bCs/>
                <w:szCs w:val="20"/>
              </w:rPr>
              <w:t xml:space="preserve"> </w:t>
            </w:r>
            <w:r w:rsidRPr="009C1F9C">
              <w:rPr>
                <w:rFonts w:cs="Arial"/>
                <w:bCs/>
                <w:szCs w:val="20"/>
              </w:rPr>
              <w:t>undetected erroneously low results.</w:t>
            </w:r>
          </w:p>
          <w:p w14:paraId="73A2ED3A" w14:textId="77777777" w:rsidR="009C1F9C" w:rsidRPr="009C1F9C" w:rsidRDefault="009C1F9C" w:rsidP="009C1F9C">
            <w:pPr>
              <w:pStyle w:val="ListParagraph"/>
              <w:autoSpaceDE w:val="0"/>
              <w:autoSpaceDN w:val="0"/>
              <w:adjustRightInd w:val="0"/>
              <w:ind w:left="360"/>
              <w:rPr>
                <w:rFonts w:cs="Arial"/>
                <w:bCs/>
                <w:szCs w:val="20"/>
              </w:rPr>
            </w:pPr>
          </w:p>
          <w:p w14:paraId="717581D7" w14:textId="23417939" w:rsidR="004F3969" w:rsidRPr="002B3C85" w:rsidRDefault="002B3C85" w:rsidP="002B3C85">
            <w:pPr>
              <w:pStyle w:val="ListParagraph"/>
              <w:numPr>
                <w:ilvl w:val="0"/>
                <w:numId w:val="49"/>
              </w:numPr>
              <w:autoSpaceDE w:val="0"/>
              <w:autoSpaceDN w:val="0"/>
              <w:adjustRightInd w:val="0"/>
              <w:rPr>
                <w:rFonts w:cs="Arial"/>
                <w:bCs/>
                <w:szCs w:val="20"/>
              </w:rPr>
            </w:pPr>
            <w:r w:rsidRPr="002B3C85">
              <w:rPr>
                <w:rFonts w:cs="Arial"/>
                <w:bCs/>
                <w:szCs w:val="20"/>
              </w:rPr>
              <w:t>As with all analyte determinations, the valproic acid value should be</w:t>
            </w:r>
            <w:r>
              <w:rPr>
                <w:rFonts w:cs="Arial"/>
                <w:bCs/>
                <w:szCs w:val="20"/>
              </w:rPr>
              <w:t xml:space="preserve"> </w:t>
            </w:r>
            <w:r w:rsidRPr="002B3C85">
              <w:rPr>
                <w:rFonts w:cs="Arial"/>
                <w:bCs/>
                <w:szCs w:val="20"/>
              </w:rPr>
              <w:t>used in conjunction with information available from clinical evaluation</w:t>
            </w:r>
            <w:r>
              <w:rPr>
                <w:rFonts w:cs="Arial"/>
                <w:bCs/>
                <w:szCs w:val="20"/>
              </w:rPr>
              <w:t xml:space="preserve"> </w:t>
            </w:r>
            <w:r w:rsidRPr="002B3C85">
              <w:rPr>
                <w:rFonts w:cs="Arial"/>
                <w:bCs/>
                <w:szCs w:val="20"/>
              </w:rPr>
              <w:t>and other diagnostic procedures.</w:t>
            </w:r>
          </w:p>
          <w:p w14:paraId="5CD00021" w14:textId="602A26EF" w:rsidR="004F3969" w:rsidRPr="00DC7421" w:rsidRDefault="004F3969" w:rsidP="004F3969">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57A4781D" w:rsidR="00F83DB0" w:rsidRPr="002B3C85" w:rsidRDefault="002B3C85" w:rsidP="00F83DB0">
                  <w:pPr>
                    <w:autoSpaceDE w:val="0"/>
                    <w:autoSpaceDN w:val="0"/>
                    <w:adjustRightInd w:val="0"/>
                    <w:rPr>
                      <w:rFonts w:cs="Arial"/>
                      <w:szCs w:val="20"/>
                    </w:rPr>
                  </w:pPr>
                  <w:r w:rsidRPr="002B3C85">
                    <w:rPr>
                      <w:rFonts w:cs="Arial"/>
                      <w:szCs w:val="20"/>
                    </w:rPr>
                    <w:t>1:4 and 1:8</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40784F5" w:rsidR="00F83DB0" w:rsidRPr="002B3C85" w:rsidRDefault="002B3C85" w:rsidP="00F83DB0">
                  <w:pPr>
                    <w:autoSpaceDE w:val="0"/>
                    <w:autoSpaceDN w:val="0"/>
                    <w:adjustRightInd w:val="0"/>
                    <w:rPr>
                      <w:rFonts w:cs="Arial"/>
                      <w:szCs w:val="20"/>
                    </w:rPr>
                  </w:pPr>
                  <w:r w:rsidRPr="002B3C85">
                    <w:rPr>
                      <w:rFonts w:cs="Arial"/>
                      <w:szCs w:val="20"/>
                    </w:rPr>
                    <w:t>None</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107E393C" w:rsidR="00F83DB0" w:rsidRPr="00EC40A2" w:rsidRDefault="002B3C85" w:rsidP="00F83DB0">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66D30BB0" w:rsidR="00F83DB0" w:rsidRPr="00EC40A2" w:rsidRDefault="002B3C85" w:rsidP="00F83DB0">
                  <w:pPr>
                    <w:rPr>
                      <w:rFonts w:cs="Arial"/>
                      <w:szCs w:val="20"/>
                    </w:rPr>
                  </w:pPr>
                  <w:r>
                    <w:rPr>
                      <w:rFonts w:cs="Arial"/>
                      <w:szCs w:val="20"/>
                    </w:rPr>
                    <w:t>Instrument</w:t>
                  </w:r>
                  <w:r w:rsidR="00F83DB0" w:rsidRPr="00EC40A2">
                    <w:rPr>
                      <w:rFonts w:cs="Arial"/>
                      <w:szCs w:val="20"/>
                    </w:rPr>
                    <w:t xml:space="preserve"> Dilution:</w:t>
                  </w: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4"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4C16CB0D"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of </w:t>
                  </w:r>
                  <w:r w:rsidR="002B3C85">
                    <w:rPr>
                      <w:rFonts w:eastAsia="HelenPro-Regular" w:cs="Arial"/>
                      <w:szCs w:val="20"/>
                    </w:rPr>
                    <w:t>13</w:t>
                  </w:r>
                  <w:r w:rsidRPr="00EC40A2">
                    <w:rPr>
                      <w:rFonts w:eastAsia="HelenPro-Regular" w:cs="Arial"/>
                      <w:szCs w:val="20"/>
                    </w:rPr>
                    <w:t>,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0BA69FB5"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2E960B5D" w:rsidR="00EA580E" w:rsidRDefault="00EA580E" w:rsidP="00EA580E">
            <w:pPr>
              <w:rPr>
                <w:rFonts w:cs="Arial"/>
                <w:b/>
                <w:bCs/>
                <w:color w:val="7030A0"/>
                <w:szCs w:val="20"/>
              </w:rPr>
            </w:pPr>
          </w:p>
          <w:p w14:paraId="7EEC7ABE" w14:textId="65A20A48"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9C1F9C">
              <w:rPr>
                <w:rFonts w:cs="Arial"/>
                <w:szCs w:val="20"/>
              </w:rPr>
              <w:t>13</w:t>
            </w:r>
            <w:r w:rsidR="00E47DE5">
              <w:rPr>
                <w:rFonts w:cs="Arial"/>
                <w:szCs w:val="20"/>
              </w:rPr>
              <w:t xml:space="preserve"> </w:t>
            </w:r>
            <w:r>
              <w:rPr>
                <w:rFonts w:cs="Arial"/>
                <w:szCs w:val="20"/>
              </w:rPr>
              <w:t xml:space="preserve">and </w:t>
            </w:r>
            <w:r w:rsidR="009C1F9C">
              <w:rPr>
                <w:rFonts w:cs="Arial"/>
                <w:szCs w:val="20"/>
              </w:rPr>
              <w:t>150</w:t>
            </w:r>
            <w:r w:rsidR="00E47DE5" w:rsidRPr="00DC7421">
              <w:rPr>
                <w:rFonts w:cs="Arial"/>
                <w:szCs w:val="20"/>
              </w:rPr>
              <w:t xml:space="preserve"> </w:t>
            </w:r>
            <w:r w:rsidRPr="00DC7421">
              <w:rPr>
                <w:rFonts w:cs="Arial"/>
                <w:szCs w:val="20"/>
              </w:rPr>
              <w:t>without error messages are released</w:t>
            </w:r>
          </w:p>
          <w:p w14:paraId="512DB6C5" w14:textId="75EA5A85" w:rsidR="00F84C8E" w:rsidRPr="00DC7421" w:rsidRDefault="00F84C8E" w:rsidP="00F84C8E">
            <w:pPr>
              <w:numPr>
                <w:ilvl w:val="0"/>
                <w:numId w:val="40"/>
              </w:numPr>
              <w:rPr>
                <w:rFonts w:cs="Arial"/>
                <w:szCs w:val="20"/>
              </w:rPr>
            </w:pPr>
            <w:r>
              <w:rPr>
                <w:rFonts w:cs="Arial"/>
                <w:szCs w:val="20"/>
              </w:rPr>
              <w:t xml:space="preserve">Results below </w:t>
            </w:r>
            <w:r w:rsidR="009C1F9C">
              <w:rPr>
                <w:rFonts w:cs="Arial"/>
                <w:szCs w:val="20"/>
              </w:rPr>
              <w:t>13</w:t>
            </w:r>
            <w:r w:rsidR="00E47DE5">
              <w:rPr>
                <w:rFonts w:cs="Arial"/>
                <w:szCs w:val="20"/>
              </w:rPr>
              <w:t xml:space="preserve"> </w:t>
            </w:r>
            <w:r>
              <w:rPr>
                <w:rFonts w:cs="Arial"/>
                <w:szCs w:val="20"/>
              </w:rPr>
              <w:t xml:space="preserve">without error messages are reported as &lt; </w:t>
            </w:r>
            <w:r w:rsidR="009C1F9C">
              <w:rPr>
                <w:rFonts w:cs="Arial"/>
                <w:szCs w:val="20"/>
              </w:rPr>
              <w:t>13</w:t>
            </w:r>
            <w:r>
              <w:rPr>
                <w:rFonts w:cs="Arial"/>
                <w:szCs w:val="20"/>
              </w:rPr>
              <w:t>.</w:t>
            </w:r>
          </w:p>
          <w:p w14:paraId="61C98532" w14:textId="7B0ED766" w:rsidR="00F84C8E" w:rsidRDefault="00F84C8E" w:rsidP="00F84C8E">
            <w:pPr>
              <w:numPr>
                <w:ilvl w:val="0"/>
                <w:numId w:val="40"/>
              </w:numPr>
              <w:rPr>
                <w:rFonts w:cs="Arial"/>
                <w:szCs w:val="20"/>
              </w:rPr>
            </w:pPr>
            <w:r>
              <w:rPr>
                <w:rFonts w:cs="Arial"/>
                <w:szCs w:val="20"/>
              </w:rPr>
              <w:t>Results &gt;</w:t>
            </w:r>
            <w:r w:rsidR="009C1F9C">
              <w:rPr>
                <w:rFonts w:cs="Arial"/>
                <w:szCs w:val="20"/>
              </w:rPr>
              <w:t xml:space="preserve"> 150</w:t>
            </w:r>
            <w:r w:rsidR="00E47DE5">
              <w:rPr>
                <w:rFonts w:cs="Arial"/>
                <w:szCs w:val="20"/>
              </w:rPr>
              <w:t xml:space="preserve"> </w:t>
            </w:r>
            <w:r>
              <w:rPr>
                <w:rFonts w:cs="Arial"/>
                <w:szCs w:val="20"/>
              </w:rPr>
              <w:t xml:space="preserve">should be diluted using the onboard automated </w:t>
            </w:r>
            <w:r w:rsidR="009C1F9C">
              <w:rPr>
                <w:rFonts w:cs="Arial"/>
                <w:szCs w:val="20"/>
              </w:rPr>
              <w:t>1:4 dilution.  Results greater than 600 following this dilution should be further diluted using the automated 1:8 dilution</w:t>
            </w:r>
            <w:r>
              <w:rPr>
                <w:rFonts w:cs="Arial"/>
                <w:szCs w:val="20"/>
              </w:rPr>
              <w:t>.  Release results witho</w:t>
            </w:r>
            <w:r w:rsidR="009C1F9C">
              <w:rPr>
                <w:rFonts w:cs="Arial"/>
                <w:szCs w:val="20"/>
              </w:rPr>
              <w:t>ut error messages following either</w:t>
            </w:r>
            <w:r>
              <w:rPr>
                <w:rFonts w:cs="Arial"/>
                <w:szCs w:val="20"/>
              </w:rPr>
              <w:t xml:space="preserve"> dilution.</w:t>
            </w:r>
          </w:p>
          <w:p w14:paraId="1516BBCC" w14:textId="31FE8AAF" w:rsidR="00EA580E" w:rsidRPr="00F84C8E" w:rsidRDefault="00F84C8E" w:rsidP="009C1F9C">
            <w:pPr>
              <w:numPr>
                <w:ilvl w:val="0"/>
                <w:numId w:val="40"/>
              </w:numPr>
              <w:rPr>
                <w:rFonts w:cs="Arial"/>
                <w:szCs w:val="20"/>
              </w:rPr>
            </w:pPr>
            <w:r>
              <w:rPr>
                <w:rFonts w:cs="Arial"/>
                <w:szCs w:val="20"/>
              </w:rPr>
              <w:t xml:space="preserve">Results &gt; </w:t>
            </w:r>
            <w:r w:rsidR="009C1F9C">
              <w:rPr>
                <w:rFonts w:cs="Arial"/>
                <w:szCs w:val="20"/>
              </w:rPr>
              <w:t>1200</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9C1F9C">
              <w:rPr>
                <w:rFonts w:cs="Arial"/>
                <w:szCs w:val="20"/>
              </w:rPr>
              <w:t>1200</w:t>
            </w:r>
            <w:r w:rsidR="009C1F9C">
              <w:t xml:space="preserve"> </w:t>
            </w:r>
            <w:r w:rsidR="009C1F9C" w:rsidRPr="009C1F9C">
              <w:rPr>
                <w:rFonts w:cs="Arial"/>
                <w:szCs w:val="20"/>
              </w:rPr>
              <w:t>µg/mL</w:t>
            </w:r>
            <w:r w:rsidR="009C1F9C">
              <w:rPr>
                <w:rFonts w:cs="Arial"/>
                <w:szCs w:val="20"/>
              </w:rPr>
              <w:t>.</w:t>
            </w:r>
          </w:p>
          <w:p w14:paraId="5CD0003C" w14:textId="77777777" w:rsidR="00F83DB0" w:rsidRPr="00DC7421" w:rsidRDefault="00F83DB0" w:rsidP="00374877">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lastRenderedPageBreak/>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374877">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7916AB85" w14:textId="6EA8CC5E" w:rsidR="009C1F9C" w:rsidRPr="009C1F9C" w:rsidRDefault="009C1F9C" w:rsidP="009C1F9C">
            <w:pPr>
              <w:numPr>
                <w:ilvl w:val="0"/>
                <w:numId w:val="33"/>
              </w:numPr>
              <w:rPr>
                <w:rFonts w:cs="Arial"/>
                <w:szCs w:val="20"/>
              </w:rPr>
            </w:pPr>
            <w:r>
              <w:rPr>
                <w:rFonts w:cs="Arial"/>
                <w:szCs w:val="20"/>
              </w:rPr>
              <w:t>Abbott Alinity c Valproic Acid</w:t>
            </w:r>
            <w:r w:rsidRPr="009C1F9C">
              <w:rPr>
                <w:rFonts w:cs="Arial"/>
                <w:szCs w:val="20"/>
              </w:rPr>
              <w:t xml:space="preserve"> Reagent Kit Instructions for Use, Abbott Diagnostics Division, Ab</w:t>
            </w:r>
            <w:r>
              <w:rPr>
                <w:rFonts w:cs="Arial"/>
                <w:szCs w:val="20"/>
              </w:rPr>
              <w:t>bott Park, IL USA.  Revised October</w:t>
            </w:r>
            <w:r w:rsidRPr="009C1F9C">
              <w:rPr>
                <w:rFonts w:cs="Arial"/>
                <w:szCs w:val="20"/>
              </w:rPr>
              <w:t xml:space="preserve"> 2018</w:t>
            </w:r>
          </w:p>
          <w:p w14:paraId="75BEF504" w14:textId="2DA46084" w:rsidR="009C1F9C" w:rsidRPr="009C1F9C" w:rsidRDefault="009C1F9C" w:rsidP="009C1F9C">
            <w:pPr>
              <w:numPr>
                <w:ilvl w:val="0"/>
                <w:numId w:val="33"/>
              </w:numPr>
              <w:rPr>
                <w:rFonts w:cs="Arial"/>
                <w:szCs w:val="20"/>
              </w:rPr>
            </w:pPr>
            <w:r w:rsidRPr="009C1F9C">
              <w:rPr>
                <w:rFonts w:cs="Arial"/>
                <w:szCs w:val="20"/>
              </w:rPr>
              <w:t>A</w:t>
            </w:r>
            <w:r>
              <w:rPr>
                <w:rFonts w:cs="Arial"/>
                <w:szCs w:val="20"/>
              </w:rPr>
              <w:t>bbott Alinity c TDM Multiconstituent</w:t>
            </w:r>
            <w:r w:rsidRPr="009C1F9C">
              <w:rPr>
                <w:rFonts w:cs="Arial"/>
                <w:szCs w:val="20"/>
              </w:rPr>
              <w:t xml:space="preserve"> Calibrator Package Insert, Abbott Diagnostics Division, Abbott Park, IL USA.  Revised July 2018</w:t>
            </w:r>
          </w:p>
          <w:p w14:paraId="39CA8347" w14:textId="77777777" w:rsidR="009C1F9C" w:rsidRPr="009C1F9C" w:rsidRDefault="009C1F9C" w:rsidP="009C1F9C">
            <w:pPr>
              <w:numPr>
                <w:ilvl w:val="0"/>
                <w:numId w:val="33"/>
              </w:numPr>
              <w:rPr>
                <w:rFonts w:cs="Arial"/>
                <w:szCs w:val="20"/>
              </w:rPr>
            </w:pPr>
            <w:r w:rsidRPr="009C1F9C">
              <w:rPr>
                <w:rFonts w:cs="Arial"/>
                <w:szCs w:val="20"/>
              </w:rPr>
              <w:t>Bio-Rad Liquichek Immunoassay Plus Package Insert, Bio-Rad Laboratories, Irvine CA USA.</w:t>
            </w:r>
          </w:p>
          <w:p w14:paraId="5CD00046" w14:textId="2B3BFEEF" w:rsidR="00E3253B" w:rsidRPr="00DC7421" w:rsidRDefault="00E3253B" w:rsidP="009C1F9C">
            <w:pPr>
              <w:ind w:left="360"/>
              <w:rPr>
                <w:rFonts w:cs="Arial"/>
                <w:szCs w:val="20"/>
              </w:rPr>
            </w:pPr>
          </w:p>
        </w:tc>
      </w:tr>
      <w:tr w:rsidR="00F50200" w14:paraId="5CD0004D" w14:textId="77777777" w:rsidTr="003748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3748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0D1B2C6D"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297FF18" w:rsidR="00F50200" w:rsidRPr="00DC7421" w:rsidRDefault="0020469A">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19F6271B" w:rsidR="00F50200" w:rsidRPr="00DC7421" w:rsidRDefault="0020469A">
            <w:pPr>
              <w:rPr>
                <w:rFonts w:cs="Arial"/>
                <w:iCs/>
                <w:szCs w:val="20"/>
              </w:rPr>
            </w:pPr>
            <w:r>
              <w:rPr>
                <w:rFonts w:cs="Arial"/>
                <w:iCs/>
                <w:szCs w:val="20"/>
              </w:rPr>
              <w:t>April 28,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374877">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71B51C38" w:rsidR="00F50200" w:rsidRPr="00F84C8E" w:rsidRDefault="009C1F9C">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4C087E57" w:rsidR="00F50200" w:rsidRPr="00F84C8E" w:rsidRDefault="009C1F9C">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7CE39BF4" w:rsidR="00F50200" w:rsidRPr="00F84C8E" w:rsidRDefault="009C1F9C">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42E2E35D" w:rsidR="00F50200" w:rsidRPr="00F84C8E" w:rsidRDefault="009C1F9C">
            <w:pPr>
              <w:rPr>
                <w:rFonts w:cs="Arial"/>
                <w:iCs/>
                <w:szCs w:val="20"/>
              </w:rPr>
            </w:pPr>
            <w:r>
              <w:rPr>
                <w:rFonts w:cs="Arial"/>
                <w:iCs/>
                <w:szCs w:val="20"/>
              </w:rPr>
              <w:t>Corrected analyzer for Mpls, Added correct QC material, changed sample aliquot tube type, added AMR, ref interval, references, dilutions, interferences and limitations.</w:t>
            </w: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1D3403CF" w:rsidR="00B13C1A" w:rsidRPr="002E718D" w:rsidRDefault="00B13C1A" w:rsidP="002E718D">
    <w:pPr>
      <w:ind w:left="-1260" w:right="-1260"/>
      <w:rPr>
        <w:rFonts w:cs="Arial"/>
        <w:sz w:val="16"/>
      </w:rPr>
    </w:pPr>
    <w:r>
      <w:rPr>
        <w:rFonts w:cs="Arial"/>
        <w:sz w:val="16"/>
      </w:rPr>
      <w:t>Laboratory, Chi</w:t>
    </w:r>
    <w:r w:rsidR="00B41D3F">
      <w:rPr>
        <w:rFonts w:cs="Arial"/>
        <w:sz w:val="16"/>
      </w:rPr>
      <w:t>ldren’s</w:t>
    </w:r>
    <w:r>
      <w:rPr>
        <w:rFonts w:cs="Arial"/>
        <w:sz w:val="16"/>
      </w:rPr>
      <w:t xml:space="preserve">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8D2903">
      <w:rPr>
        <w:noProof/>
        <w:sz w:val="18"/>
      </w:rPr>
      <w:t>4</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8D2903">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4980FBAD"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4F3969">
      <w:rPr>
        <w:rFonts w:cs="Arial"/>
      </w:rPr>
      <w:t>6.941 Valproic Acid</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7444051E" w:rsidR="00B13C1A" w:rsidRDefault="00B13C1A">
    <w:pPr>
      <w:ind w:left="-1260" w:right="-1260"/>
      <w:rPr>
        <w:rFonts w:cs="Arial"/>
      </w:rPr>
    </w:pPr>
    <w:r>
      <w:rPr>
        <w:rFonts w:cs="Arial"/>
      </w:rPr>
      <w:t xml:space="preserve">Effective Date: </w:t>
    </w:r>
    <w:r w:rsidR="004F3969">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440CB4"/>
    <w:multiLevelType w:val="hybridMultilevel"/>
    <w:tmpl w:val="5BB4A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1AB4242"/>
    <w:multiLevelType w:val="hybridMultilevel"/>
    <w:tmpl w:val="28C4475A"/>
    <w:lvl w:ilvl="0" w:tplc="3A7CF4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CDD454B"/>
    <w:multiLevelType w:val="hybridMultilevel"/>
    <w:tmpl w:val="0ABAC53E"/>
    <w:lvl w:ilvl="0" w:tplc="D8D8907A">
      <w:start w:val="2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9351A"/>
    <w:multiLevelType w:val="hybridMultilevel"/>
    <w:tmpl w:val="2C8ED2BA"/>
    <w:lvl w:ilvl="0" w:tplc="5AF272F8">
      <w:start w:val="2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54019"/>
    <w:multiLevelType w:val="hybridMultilevel"/>
    <w:tmpl w:val="4CB88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A635C"/>
    <w:multiLevelType w:val="hybridMultilevel"/>
    <w:tmpl w:val="23A2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A6C2006"/>
    <w:multiLevelType w:val="hybridMultilevel"/>
    <w:tmpl w:val="6E006F66"/>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36"/>
  </w:num>
  <w:num w:numId="4">
    <w:abstractNumId w:val="41"/>
  </w:num>
  <w:num w:numId="5">
    <w:abstractNumId w:val="6"/>
  </w:num>
  <w:num w:numId="6">
    <w:abstractNumId w:val="11"/>
  </w:num>
  <w:num w:numId="7">
    <w:abstractNumId w:val="30"/>
  </w:num>
  <w:num w:numId="8">
    <w:abstractNumId w:val="25"/>
  </w:num>
  <w:num w:numId="9">
    <w:abstractNumId w:val="14"/>
  </w:num>
  <w:num w:numId="10">
    <w:abstractNumId w:val="2"/>
  </w:num>
  <w:num w:numId="11">
    <w:abstractNumId w:val="31"/>
  </w:num>
  <w:num w:numId="12">
    <w:abstractNumId w:val="9"/>
  </w:num>
  <w:num w:numId="13">
    <w:abstractNumId w:val="34"/>
  </w:num>
  <w:num w:numId="14">
    <w:abstractNumId w:val="43"/>
  </w:num>
  <w:num w:numId="15">
    <w:abstractNumId w:val="22"/>
  </w:num>
  <w:num w:numId="16">
    <w:abstractNumId w:val="1"/>
  </w:num>
  <w:num w:numId="17">
    <w:abstractNumId w:val="46"/>
  </w:num>
  <w:num w:numId="18">
    <w:abstractNumId w:val="12"/>
  </w:num>
  <w:num w:numId="19">
    <w:abstractNumId w:val="21"/>
  </w:num>
  <w:num w:numId="20">
    <w:abstractNumId w:val="29"/>
  </w:num>
  <w:num w:numId="21">
    <w:abstractNumId w:val="39"/>
  </w:num>
  <w:num w:numId="22">
    <w:abstractNumId w:val="44"/>
  </w:num>
  <w:num w:numId="23">
    <w:abstractNumId w:val="27"/>
  </w:num>
  <w:num w:numId="24">
    <w:abstractNumId w:val="7"/>
  </w:num>
  <w:num w:numId="25">
    <w:abstractNumId w:val="19"/>
  </w:num>
  <w:num w:numId="26">
    <w:abstractNumId w:val="13"/>
  </w:num>
  <w:num w:numId="27">
    <w:abstractNumId w:val="8"/>
  </w:num>
  <w:num w:numId="28">
    <w:abstractNumId w:val="26"/>
  </w:num>
  <w:num w:numId="29">
    <w:abstractNumId w:val="38"/>
  </w:num>
  <w:num w:numId="30">
    <w:abstractNumId w:val="35"/>
  </w:num>
  <w:num w:numId="31">
    <w:abstractNumId w:val="24"/>
  </w:num>
  <w:num w:numId="32">
    <w:abstractNumId w:val="18"/>
  </w:num>
  <w:num w:numId="33">
    <w:abstractNumId w:val="5"/>
  </w:num>
  <w:num w:numId="34">
    <w:abstractNumId w:val="42"/>
  </w:num>
  <w:num w:numId="35">
    <w:abstractNumId w:val="40"/>
  </w:num>
  <w:num w:numId="36">
    <w:abstractNumId w:val="17"/>
  </w:num>
  <w:num w:numId="37">
    <w:abstractNumId w:val="45"/>
  </w:num>
  <w:num w:numId="38">
    <w:abstractNumId w:val="0"/>
  </w:num>
  <w:num w:numId="39">
    <w:abstractNumId w:val="10"/>
  </w:num>
  <w:num w:numId="40">
    <w:abstractNumId w:val="28"/>
  </w:num>
  <w:num w:numId="41">
    <w:abstractNumId w:val="40"/>
  </w:num>
  <w:num w:numId="42">
    <w:abstractNumId w:val="21"/>
  </w:num>
  <w:num w:numId="43">
    <w:abstractNumId w:val="4"/>
  </w:num>
  <w:num w:numId="44">
    <w:abstractNumId w:val="37"/>
  </w:num>
  <w:num w:numId="45">
    <w:abstractNumId w:val="33"/>
  </w:num>
  <w:num w:numId="46">
    <w:abstractNumId w:val="16"/>
  </w:num>
  <w:num w:numId="47">
    <w:abstractNumId w:val="23"/>
  </w:num>
  <w:num w:numId="48">
    <w:abstractNumId w:val="2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1102B2"/>
    <w:rsid w:val="00115DD6"/>
    <w:rsid w:val="001241E4"/>
    <w:rsid w:val="0017089C"/>
    <w:rsid w:val="001A1584"/>
    <w:rsid w:val="001B58ED"/>
    <w:rsid w:val="001C1CFA"/>
    <w:rsid w:val="001C641E"/>
    <w:rsid w:val="001D1786"/>
    <w:rsid w:val="001D284B"/>
    <w:rsid w:val="001F5D12"/>
    <w:rsid w:val="0020469A"/>
    <w:rsid w:val="00227B21"/>
    <w:rsid w:val="00233AA0"/>
    <w:rsid w:val="00234774"/>
    <w:rsid w:val="002462C0"/>
    <w:rsid w:val="00250A09"/>
    <w:rsid w:val="00252F1D"/>
    <w:rsid w:val="002A3FA3"/>
    <w:rsid w:val="002B3C85"/>
    <w:rsid w:val="002C12BF"/>
    <w:rsid w:val="002C29CB"/>
    <w:rsid w:val="002C3006"/>
    <w:rsid w:val="002E0417"/>
    <w:rsid w:val="002E718D"/>
    <w:rsid w:val="002F5C68"/>
    <w:rsid w:val="002F5F18"/>
    <w:rsid w:val="0030640D"/>
    <w:rsid w:val="003100D1"/>
    <w:rsid w:val="003145F4"/>
    <w:rsid w:val="003278F7"/>
    <w:rsid w:val="00370B0F"/>
    <w:rsid w:val="00374877"/>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698D"/>
    <w:rsid w:val="004A75EC"/>
    <w:rsid w:val="004B5D63"/>
    <w:rsid w:val="004C14CE"/>
    <w:rsid w:val="004C6A64"/>
    <w:rsid w:val="004E71AC"/>
    <w:rsid w:val="004F3969"/>
    <w:rsid w:val="00504F3B"/>
    <w:rsid w:val="005125A4"/>
    <w:rsid w:val="005665A7"/>
    <w:rsid w:val="005705B9"/>
    <w:rsid w:val="00575F3F"/>
    <w:rsid w:val="005A7373"/>
    <w:rsid w:val="005B66A7"/>
    <w:rsid w:val="005C6F36"/>
    <w:rsid w:val="006200C0"/>
    <w:rsid w:val="00646E63"/>
    <w:rsid w:val="00655B61"/>
    <w:rsid w:val="00685D61"/>
    <w:rsid w:val="00693888"/>
    <w:rsid w:val="006A26B2"/>
    <w:rsid w:val="006A2770"/>
    <w:rsid w:val="006A41B1"/>
    <w:rsid w:val="006A5A84"/>
    <w:rsid w:val="006B78CE"/>
    <w:rsid w:val="006C5661"/>
    <w:rsid w:val="006C7814"/>
    <w:rsid w:val="007132A9"/>
    <w:rsid w:val="00747868"/>
    <w:rsid w:val="007B1809"/>
    <w:rsid w:val="007B2A3E"/>
    <w:rsid w:val="007B410A"/>
    <w:rsid w:val="007F5B07"/>
    <w:rsid w:val="008044BA"/>
    <w:rsid w:val="0081197E"/>
    <w:rsid w:val="0081598A"/>
    <w:rsid w:val="00824C10"/>
    <w:rsid w:val="0085668E"/>
    <w:rsid w:val="008A71A5"/>
    <w:rsid w:val="008A7CDA"/>
    <w:rsid w:val="008B53E5"/>
    <w:rsid w:val="008D2903"/>
    <w:rsid w:val="008D3369"/>
    <w:rsid w:val="008D7EF5"/>
    <w:rsid w:val="008F2C66"/>
    <w:rsid w:val="00914DEC"/>
    <w:rsid w:val="00944DFA"/>
    <w:rsid w:val="009475C8"/>
    <w:rsid w:val="00950E15"/>
    <w:rsid w:val="00981A4A"/>
    <w:rsid w:val="00984816"/>
    <w:rsid w:val="009A1A3D"/>
    <w:rsid w:val="009C08FA"/>
    <w:rsid w:val="009C1F9C"/>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1526"/>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41D3F"/>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955F6"/>
    <w:rsid w:val="00D95C4B"/>
    <w:rsid w:val="00DC24D6"/>
    <w:rsid w:val="00DC7091"/>
    <w:rsid w:val="00DC7421"/>
    <w:rsid w:val="00DF5549"/>
    <w:rsid w:val="00DF6343"/>
    <w:rsid w:val="00E049CF"/>
    <w:rsid w:val="00E1104A"/>
    <w:rsid w:val="00E246BA"/>
    <w:rsid w:val="00E3253B"/>
    <w:rsid w:val="00E47DE5"/>
    <w:rsid w:val="00E55C7B"/>
    <w:rsid w:val="00E93074"/>
    <w:rsid w:val="00EA2B3F"/>
    <w:rsid w:val="00EA580E"/>
    <w:rsid w:val="00EB4B6C"/>
    <w:rsid w:val="00EE145B"/>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486088E5-01B6-45A3-B360-8B0A61C6A90A}">
  <ds:schemaRefs>
    <ds:schemaRef ds:uri="c1848e11-9cf6-4ce4-877e-6837d2c2fa23"/>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199f0838-75a6-4f0c-9be1-f2c07140bccc"/>
    <ds:schemaRef ds:uri="http://schemas.microsoft.com/office/2006/metadata/properties"/>
    <ds:schemaRef ds:uri="http://schemas.microsoft.com/office/infopath/2007/PartnerControls"/>
    <ds:schemaRef ds:uri="http://schemas.microsoft.com/sharepoint.v3"/>
    <ds:schemaRef ds:uri="http://schemas.microsoft.com/sharepoint/v3/fields"/>
    <ds:schemaRef ds:uri="http://schemas.microsoft.com/sharepoint/v3"/>
    <ds:schemaRef ds:uri="http://purl.org/dc/terms/"/>
  </ds:schemaRefs>
</ds:datastoreItem>
</file>

<file path=customXml/itemProps3.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A73B6F03-9363-475B-A739-66AE9028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6</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13480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7</cp:revision>
  <cp:lastPrinted>2020-04-15T15:00:00Z</cp:lastPrinted>
  <dcterms:created xsi:type="dcterms:W3CDTF">2020-11-03T20:47:00Z</dcterms:created>
  <dcterms:modified xsi:type="dcterms:W3CDTF">2020-11-11T00:02:00Z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