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4FCAE8D5" w:rsidR="006C5661" w:rsidRDefault="00392AF6">
            <w:pPr>
              <w:rPr>
                <w:rFonts w:cs="Arial"/>
                <w:b/>
                <w:bCs/>
                <w:color w:val="0000FF"/>
              </w:rPr>
            </w:pPr>
            <w:r w:rsidRPr="00392AF6">
              <w:rPr>
                <w:rFonts w:cs="Arial"/>
                <w:b/>
                <w:bCs/>
                <w:color w:val="0000FF"/>
                <w:sz w:val="36"/>
              </w:rPr>
              <w:t>Salicylate</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261BB2FB" w:rsidR="00E3253B" w:rsidRDefault="00A34EE2" w:rsidP="00AC266E">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1874C0">
              <w:rPr>
                <w:rStyle w:val="A7"/>
                <w:rFonts w:cs="Arial"/>
                <w:b w:val="0"/>
                <w:bCs w:val="0"/>
                <w:sz w:val="20"/>
                <w:szCs w:val="20"/>
              </w:rPr>
              <w:t xml:space="preserve"> for performing SALICYLATE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sidR="001874C0">
              <w:rPr>
                <w:rStyle w:val="A7"/>
                <w:rFonts w:cs="Arial"/>
                <w:b w:val="0"/>
                <w:bCs w:val="0"/>
                <w:sz w:val="20"/>
                <w:szCs w:val="20"/>
              </w:rPr>
              <w:t xml:space="preserve">  </w:t>
            </w:r>
            <w:r>
              <w:rPr>
                <w:rStyle w:val="A7"/>
                <w:rFonts w:cs="Arial"/>
                <w:b w:val="0"/>
                <w:bCs w:val="0"/>
                <w:sz w:val="20"/>
                <w:szCs w:val="20"/>
              </w:rPr>
              <w:t xml:space="preserve"> </w:t>
            </w:r>
            <w:r w:rsidR="00AC266E" w:rsidRPr="00AC266E">
              <w:rPr>
                <w:rStyle w:val="A7"/>
                <w:rFonts w:cs="Arial"/>
                <w:b w:val="0"/>
                <w:bCs w:val="0"/>
                <w:sz w:val="20"/>
                <w:szCs w:val="20"/>
              </w:rPr>
              <w:t>The Alinity c Salicylate assay is intended for the quantitative</w:t>
            </w:r>
            <w:r w:rsidR="00AC266E">
              <w:rPr>
                <w:rStyle w:val="A7"/>
                <w:rFonts w:cs="Arial"/>
                <w:b w:val="0"/>
                <w:bCs w:val="0"/>
                <w:sz w:val="20"/>
                <w:szCs w:val="20"/>
              </w:rPr>
              <w:t xml:space="preserve"> </w:t>
            </w:r>
            <w:r w:rsidR="00AC266E" w:rsidRPr="00AC266E">
              <w:rPr>
                <w:rStyle w:val="A7"/>
                <w:rFonts w:cs="Arial"/>
                <w:b w:val="0"/>
                <w:bCs w:val="0"/>
                <w:sz w:val="20"/>
                <w:szCs w:val="20"/>
              </w:rPr>
              <w:t>determination of salicylate in human serum or plasma on the Alinity</w:t>
            </w:r>
            <w:r w:rsidR="00AC266E">
              <w:rPr>
                <w:rStyle w:val="A7"/>
                <w:rFonts w:cs="Arial"/>
                <w:b w:val="0"/>
                <w:bCs w:val="0"/>
                <w:sz w:val="20"/>
                <w:szCs w:val="20"/>
              </w:rPr>
              <w:t xml:space="preserve"> </w:t>
            </w:r>
            <w:r w:rsidR="00AC266E" w:rsidRPr="00AC266E">
              <w:rPr>
                <w:rStyle w:val="A7"/>
                <w:rFonts w:cs="Arial"/>
                <w:b w:val="0"/>
                <w:bCs w:val="0"/>
                <w:sz w:val="20"/>
                <w:szCs w:val="20"/>
              </w:rPr>
              <w:t>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2F320540"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EC6AA0D" w14:textId="24D6E89D" w:rsidR="00392AF6" w:rsidRDefault="00392AF6" w:rsidP="00392AF6">
            <w:pPr>
              <w:pStyle w:val="Header"/>
              <w:rPr>
                <w:rFonts w:cs="Arial"/>
                <w:color w:val="000000"/>
                <w:szCs w:val="20"/>
              </w:rPr>
            </w:pPr>
            <w:r w:rsidRPr="00392AF6">
              <w:rPr>
                <w:rFonts w:cs="Arial"/>
                <w:color w:val="000000"/>
                <w:szCs w:val="20"/>
              </w:rPr>
              <w:t>Salicylate hydroxylase catalyzes t</w:t>
            </w:r>
            <w:r>
              <w:rPr>
                <w:rFonts w:cs="Arial"/>
                <w:color w:val="000000"/>
                <w:szCs w:val="20"/>
              </w:rPr>
              <w:t xml:space="preserve">he conversion of salicylate and </w:t>
            </w:r>
            <w:r w:rsidRPr="00392AF6">
              <w:rPr>
                <w:rFonts w:cs="Arial"/>
                <w:color w:val="000000"/>
                <w:szCs w:val="20"/>
              </w:rPr>
              <w:t>NADH to catechol and NAD+</w:t>
            </w:r>
            <w:r>
              <w:rPr>
                <w:rFonts w:cs="Arial"/>
                <w:color w:val="000000"/>
                <w:szCs w:val="20"/>
              </w:rPr>
              <w:t xml:space="preserve"> in the presence of oxygen. The </w:t>
            </w:r>
            <w:r w:rsidRPr="00392AF6">
              <w:rPr>
                <w:rFonts w:cs="Arial"/>
                <w:color w:val="000000"/>
                <w:szCs w:val="20"/>
              </w:rPr>
              <w:t>resulting decrease in absorbance a</w:t>
            </w:r>
            <w:r>
              <w:rPr>
                <w:rFonts w:cs="Arial"/>
                <w:color w:val="000000"/>
                <w:szCs w:val="20"/>
              </w:rPr>
              <w:t xml:space="preserve">t 340 nm, due to the conversion </w:t>
            </w:r>
            <w:r w:rsidRPr="00392AF6">
              <w:rPr>
                <w:rFonts w:cs="Arial"/>
                <w:color w:val="000000"/>
                <w:szCs w:val="20"/>
              </w:rPr>
              <w:t>of NADH to NAD+, is directly propo</w:t>
            </w:r>
            <w:r>
              <w:rPr>
                <w:rFonts w:cs="Arial"/>
                <w:color w:val="000000"/>
                <w:szCs w:val="20"/>
              </w:rPr>
              <w:t xml:space="preserve">rtional to the concentration of </w:t>
            </w:r>
            <w:r w:rsidRPr="00392AF6">
              <w:rPr>
                <w:rFonts w:cs="Arial"/>
                <w:color w:val="000000"/>
                <w:szCs w:val="20"/>
              </w:rPr>
              <w:t>salicylate in the sample.</w:t>
            </w:r>
          </w:p>
          <w:p w14:paraId="63A698EA" w14:textId="77777777" w:rsidR="00392AF6" w:rsidRPr="00392AF6" w:rsidRDefault="00392AF6" w:rsidP="00392AF6">
            <w:pPr>
              <w:pStyle w:val="Header"/>
              <w:rPr>
                <w:rFonts w:cs="Arial"/>
                <w:color w:val="000000"/>
                <w:szCs w:val="20"/>
              </w:rPr>
            </w:pPr>
          </w:p>
          <w:p w14:paraId="167688CC" w14:textId="77777777" w:rsidR="00392AF6" w:rsidRDefault="00392AF6" w:rsidP="00392AF6">
            <w:pPr>
              <w:pStyle w:val="Header"/>
              <w:rPr>
                <w:rFonts w:cs="Arial"/>
                <w:color w:val="000000"/>
                <w:szCs w:val="20"/>
              </w:rPr>
            </w:pPr>
            <w:r w:rsidRPr="00392AF6">
              <w:rPr>
                <w:rFonts w:cs="Arial"/>
                <w:b/>
                <w:color w:val="000000"/>
                <w:szCs w:val="20"/>
              </w:rPr>
              <w:t>Methodology:</w:t>
            </w:r>
            <w:r w:rsidRPr="00392AF6">
              <w:rPr>
                <w:rFonts w:cs="Arial"/>
                <w:color w:val="000000"/>
                <w:szCs w:val="20"/>
              </w:rPr>
              <w:t xml:space="preserve"> Enzymatic / Colorimetric</w:t>
            </w:r>
          </w:p>
          <w:p w14:paraId="0FAE14AA" w14:textId="77777777" w:rsidR="00AC266E" w:rsidRPr="00392AF6" w:rsidRDefault="00AC266E" w:rsidP="00392AF6">
            <w:pPr>
              <w:pStyle w:val="Header"/>
              <w:rPr>
                <w:rFonts w:cs="Arial"/>
                <w:color w:val="000000"/>
                <w:szCs w:val="20"/>
              </w:rPr>
            </w:pPr>
          </w:p>
          <w:p w14:paraId="43523157" w14:textId="77777777" w:rsidR="006C5661" w:rsidRDefault="00392AF6" w:rsidP="00392AF6">
            <w:pPr>
              <w:pStyle w:val="Header"/>
              <w:rPr>
                <w:rFonts w:cs="Arial"/>
                <w:color w:val="000000"/>
                <w:szCs w:val="20"/>
              </w:rPr>
            </w:pPr>
            <w:r w:rsidRPr="00392AF6">
              <w:rPr>
                <w:rFonts w:cs="Arial"/>
                <w:color w:val="000000"/>
                <w:szCs w:val="20"/>
              </w:rPr>
              <w:t>For additional information on system</w:t>
            </w:r>
            <w:r>
              <w:rPr>
                <w:rFonts w:cs="Arial"/>
                <w:color w:val="000000"/>
                <w:szCs w:val="20"/>
              </w:rPr>
              <w:t xml:space="preserve"> and assay technology, refer to </w:t>
            </w:r>
            <w:r w:rsidRPr="00392AF6">
              <w:rPr>
                <w:rFonts w:cs="Arial"/>
                <w:color w:val="000000"/>
                <w:szCs w:val="20"/>
              </w:rPr>
              <w:t>the Alinity ci-series Operations Manual, Section 3.</w:t>
            </w:r>
          </w:p>
          <w:p w14:paraId="5CCFFF81" w14:textId="6E7ECCC9" w:rsidR="00AC266E" w:rsidRPr="00DC7421" w:rsidRDefault="00AC266E" w:rsidP="00392AF6">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2370716" w14:textId="19B12714" w:rsidR="00392AF6" w:rsidRPr="00392AF6" w:rsidRDefault="00392AF6" w:rsidP="00392AF6">
            <w:r w:rsidRPr="00392AF6">
              <w:t xml:space="preserve">Salicylate is a common drug </w:t>
            </w:r>
            <w:r>
              <w:t>used for its analgesic and anti-i</w:t>
            </w:r>
            <w:r w:rsidRPr="00392AF6">
              <w:t>nflammatory</w:t>
            </w:r>
            <w:r>
              <w:t xml:space="preserve"> </w:t>
            </w:r>
            <w:r w:rsidRPr="00392AF6">
              <w:t>properties. Its accessibility leads to its implication in a</w:t>
            </w:r>
            <w:r>
              <w:t xml:space="preserve"> </w:t>
            </w:r>
            <w:r w:rsidRPr="00392AF6">
              <w:t>large number of accidental ingestions by children and it is a common</w:t>
            </w:r>
            <w:r>
              <w:t xml:space="preserve"> </w:t>
            </w:r>
            <w:r w:rsidRPr="00392AF6">
              <w:t>choice among adults and adolescents for attempted suicidal</w:t>
            </w:r>
            <w:r>
              <w:t xml:space="preserve"> poisoning.</w:t>
            </w:r>
          </w:p>
          <w:p w14:paraId="3C34E1DD" w14:textId="77777777" w:rsidR="00392AF6" w:rsidRDefault="00392AF6" w:rsidP="00392AF6"/>
          <w:p w14:paraId="7B4FBAE0" w14:textId="0629E545" w:rsidR="00392AF6" w:rsidRDefault="00392AF6" w:rsidP="00392AF6">
            <w:r w:rsidRPr="00392AF6">
              <w:t>Salicylate overdose results in disturbances of the central nervous</w:t>
            </w:r>
            <w:r>
              <w:t xml:space="preserve"> </w:t>
            </w:r>
            <w:r w:rsidRPr="00392AF6">
              <w:t>system and the gastrointestinal tract, as well as encephalopathy</w:t>
            </w:r>
            <w:r>
              <w:t xml:space="preserve"> </w:t>
            </w:r>
            <w:r w:rsidRPr="00392AF6">
              <w:t>and renal failure. Salicylate intoxication represents an acute medical</w:t>
            </w:r>
            <w:r>
              <w:t xml:space="preserve"> </w:t>
            </w:r>
            <w:r w:rsidRPr="00392AF6">
              <w:t>emergency. Rapid quantitation of the drug is necessary for effective</w:t>
            </w:r>
            <w:r>
              <w:t xml:space="preserve"> </w:t>
            </w:r>
            <w:r w:rsidRPr="00392AF6">
              <w:t>patient management.</w:t>
            </w:r>
          </w:p>
          <w:p w14:paraId="104D315B" w14:textId="77777777" w:rsidR="00392AF6" w:rsidRPr="00392AF6" w:rsidRDefault="00392AF6" w:rsidP="00392AF6"/>
          <w:p w14:paraId="433BA61B" w14:textId="77777777" w:rsidR="002462C0" w:rsidRDefault="00392AF6" w:rsidP="00392AF6">
            <w:r w:rsidRPr="00392AF6">
              <w:t>This enzymatic Salicylate assay provides a rapid, specific, and</w:t>
            </w:r>
            <w:r>
              <w:t xml:space="preserve"> </w:t>
            </w:r>
            <w:r w:rsidRPr="00392AF6">
              <w:t>simplified method for salicylate determination. It is based on the</w:t>
            </w:r>
            <w:r>
              <w:t xml:space="preserve"> </w:t>
            </w:r>
            <w:r w:rsidRPr="00392AF6">
              <w:t>action of salicylate hydroxylase on salicylate and NADH which results</w:t>
            </w:r>
            <w:r>
              <w:t xml:space="preserve"> </w:t>
            </w:r>
            <w:r w:rsidRPr="00392AF6">
              <w:t>in a decrease in absorbance proportional to the amount of salicylate</w:t>
            </w:r>
            <w:r>
              <w:t xml:space="preserve"> </w:t>
            </w:r>
            <w:r w:rsidRPr="00392AF6">
              <w:t>present.</w:t>
            </w:r>
          </w:p>
          <w:p w14:paraId="5CCFFF86" w14:textId="17B80F0C" w:rsidR="00AC266E" w:rsidRPr="00370B0F" w:rsidRDefault="00AC266E" w:rsidP="00392AF6"/>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1874C0" w:rsidRDefault="00E3253B">
            <w:pPr>
              <w:rPr>
                <w:rFonts w:cs="Arial"/>
                <w:b/>
                <w:bCs/>
                <w:color w:val="0000FF"/>
                <w:szCs w:val="20"/>
              </w:rPr>
            </w:pPr>
            <w:r w:rsidRPr="001874C0">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2F986BCB" w:rsidR="006200C0" w:rsidRPr="001874C0" w:rsidRDefault="006200C0" w:rsidP="006200C0">
            <w:pPr>
              <w:autoSpaceDE w:val="0"/>
              <w:autoSpaceDN w:val="0"/>
              <w:adjustRightInd w:val="0"/>
              <w:rPr>
                <w:rFonts w:cs="Arial"/>
                <w:b/>
                <w:bCs/>
                <w:szCs w:val="20"/>
              </w:rPr>
            </w:pPr>
            <w:r w:rsidRPr="001874C0">
              <w:rPr>
                <w:rFonts w:cs="Arial"/>
                <w:b/>
                <w:bCs/>
                <w:color w:val="7030A0"/>
                <w:szCs w:val="20"/>
              </w:rPr>
              <w:t>Minneapolis: Abbott Alinity c</w:t>
            </w:r>
            <w:r w:rsidR="001874C0" w:rsidRPr="001874C0">
              <w:rPr>
                <w:rFonts w:cs="Arial"/>
                <w:b/>
                <w:bCs/>
                <w:color w:val="7030A0"/>
                <w:szCs w:val="20"/>
              </w:rPr>
              <w:t>i</w:t>
            </w:r>
            <w:r w:rsidRPr="001874C0">
              <w:rPr>
                <w:rFonts w:cs="Arial"/>
                <w:b/>
                <w:bCs/>
                <w:color w:val="7030A0"/>
                <w:szCs w:val="20"/>
              </w:rPr>
              <w:t xml:space="preserve"> (Sunquest</w:t>
            </w:r>
            <w:r w:rsidR="001874C0" w:rsidRPr="001874C0">
              <w:rPr>
                <w:rFonts w:cs="Arial"/>
                <w:b/>
                <w:bCs/>
                <w:color w:val="7030A0"/>
                <w:szCs w:val="20"/>
              </w:rPr>
              <w:t xml:space="preserve"> method code: MAC</w:t>
            </w:r>
            <w:r w:rsidRPr="001874C0">
              <w:rPr>
                <w:rFonts w:cs="Arial"/>
                <w:b/>
                <w:bCs/>
                <w:color w:val="7030A0"/>
                <w:szCs w:val="20"/>
              </w:rPr>
              <w:t>C)</w:t>
            </w:r>
          </w:p>
          <w:p w14:paraId="056C0EB6" w14:textId="77777777" w:rsidR="006200C0" w:rsidRPr="001874C0" w:rsidRDefault="007F5B07" w:rsidP="006B78CE">
            <w:pPr>
              <w:pStyle w:val="BodyText2"/>
              <w:spacing w:after="60" w:line="240" w:lineRule="auto"/>
              <w:rPr>
                <w:rFonts w:cs="Arial"/>
                <w:b/>
                <w:bCs/>
                <w:color w:val="984806" w:themeColor="accent6" w:themeShade="80"/>
                <w:szCs w:val="20"/>
              </w:rPr>
            </w:pPr>
            <w:r w:rsidRPr="001874C0">
              <w:rPr>
                <w:rFonts w:cs="Arial"/>
                <w:b/>
                <w:bCs/>
                <w:color w:val="984806" w:themeColor="accent6" w:themeShade="80"/>
                <w:szCs w:val="20"/>
              </w:rPr>
              <w:t xml:space="preserve">St. Paul: Abbott </w:t>
            </w:r>
            <w:r w:rsidR="009C5A69" w:rsidRPr="001874C0">
              <w:rPr>
                <w:rFonts w:cs="Arial"/>
                <w:b/>
                <w:bCs/>
                <w:color w:val="984806" w:themeColor="accent6" w:themeShade="80"/>
                <w:szCs w:val="20"/>
              </w:rPr>
              <w:t>Alinity c</w:t>
            </w:r>
            <w:r w:rsidRPr="001874C0">
              <w:rPr>
                <w:rFonts w:cs="Arial"/>
                <w:b/>
                <w:bCs/>
                <w:color w:val="984806" w:themeColor="accent6" w:themeShade="80"/>
                <w:szCs w:val="20"/>
              </w:rPr>
              <w:t xml:space="preserve"> (Sunquest method code:</w:t>
            </w:r>
            <w:r w:rsidR="00F467F3" w:rsidRPr="001874C0">
              <w:rPr>
                <w:rFonts w:cs="Arial"/>
                <w:b/>
                <w:bCs/>
                <w:color w:val="984806" w:themeColor="accent6" w:themeShade="80"/>
                <w:szCs w:val="20"/>
              </w:rPr>
              <w:t xml:space="preserve"> SALIC</w:t>
            </w:r>
            <w:r w:rsidRPr="001874C0">
              <w:rPr>
                <w:rFonts w:cs="Arial"/>
                <w:b/>
                <w:bCs/>
                <w:color w:val="984806" w:themeColor="accent6" w:themeShade="80"/>
                <w:szCs w:val="20"/>
              </w:rPr>
              <w:t>)</w:t>
            </w:r>
          </w:p>
          <w:p w14:paraId="5CCFFF89" w14:textId="1D7D05EE" w:rsidR="001874C0" w:rsidRPr="001874C0" w:rsidRDefault="001874C0" w:rsidP="006B78CE">
            <w:pPr>
              <w:pStyle w:val="BodyText2"/>
              <w:spacing w:after="60" w:line="240" w:lineRule="auto"/>
              <w:rPr>
                <w:rFonts w:cs="Arial"/>
                <w:bCs/>
                <w:color w:val="7030A0"/>
                <w:szCs w:val="20"/>
              </w:rPr>
            </w:pPr>
            <w:r w:rsidRPr="001874C0">
              <w:rPr>
                <w:rFonts w:cs="Arial"/>
                <w:bCs/>
                <w:szCs w:val="20"/>
              </w:rPr>
              <w:t>Backup: Opposite Campus</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7912F7A1" w:rsidR="00370B0F" w:rsidRPr="00AC266E" w:rsidRDefault="00392AF6" w:rsidP="00504F3B">
            <w:pPr>
              <w:rPr>
                <w:b/>
              </w:rPr>
            </w:pPr>
            <w:r w:rsidRPr="00AC266E">
              <w:rPr>
                <w:b/>
              </w:rPr>
              <w:t>SAL</w:t>
            </w:r>
            <w:r w:rsidR="00AC266E" w:rsidRPr="00AC266E">
              <w:rPr>
                <w:b/>
              </w:rPr>
              <w:t>I</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55A488B5"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7B3B5B">
              <w:rPr>
                <w:rStyle w:val="BoldBodyText"/>
                <w:rFonts w:ascii="Arial" w:hAnsi="Arial" w:cs="Arial"/>
                <w:b w:val="0"/>
                <w:bCs w:val="0"/>
                <w:sz w:val="20"/>
                <w:szCs w:val="20"/>
              </w:rPr>
              <w:t>Plasma or Serum (with or without gel barrier)</w:t>
            </w:r>
          </w:p>
          <w:p w14:paraId="34021B1C" w14:textId="241D638B" w:rsidR="00981A4A" w:rsidRPr="007B3B5B" w:rsidRDefault="0017089C">
            <w:pPr>
              <w:rPr>
                <w:rFonts w:cs="Arial"/>
                <w:szCs w:val="20"/>
              </w:rPr>
            </w:pPr>
            <w:r w:rsidRPr="009475C8">
              <w:rPr>
                <w:rFonts w:cs="Arial"/>
                <w:b/>
                <w:szCs w:val="20"/>
              </w:rPr>
              <w:t>Preferred:</w:t>
            </w:r>
            <w:r w:rsidR="006C5661" w:rsidRPr="009475C8">
              <w:rPr>
                <w:rFonts w:cs="Arial"/>
                <w:b/>
                <w:szCs w:val="20"/>
              </w:rPr>
              <w:t xml:space="preserve"> </w:t>
            </w:r>
            <w:r w:rsidR="007B3B5B">
              <w:rPr>
                <w:rFonts w:cs="Arial"/>
                <w:szCs w:val="20"/>
              </w:rPr>
              <w:t>Lithium Heparin</w:t>
            </w:r>
          </w:p>
          <w:p w14:paraId="60FE11B0" w14:textId="5D822660" w:rsidR="0017089C" w:rsidRPr="007B3B5B" w:rsidRDefault="0017089C">
            <w:pPr>
              <w:rPr>
                <w:rFonts w:cs="Arial"/>
                <w:szCs w:val="20"/>
              </w:rPr>
            </w:pPr>
            <w:r w:rsidRPr="009475C8">
              <w:rPr>
                <w:rFonts w:cs="Arial"/>
                <w:b/>
                <w:szCs w:val="20"/>
              </w:rPr>
              <w:t>Alternative:</w:t>
            </w:r>
            <w:r w:rsidR="007B3B5B">
              <w:rPr>
                <w:rFonts w:cs="Arial"/>
                <w:b/>
                <w:szCs w:val="20"/>
              </w:rPr>
              <w:t xml:space="preserve"> </w:t>
            </w:r>
            <w:r w:rsidR="007B3B5B">
              <w:rPr>
                <w:rFonts w:cs="Arial"/>
                <w:szCs w:val="20"/>
              </w:rPr>
              <w:t>SST, EDTA, Sodium Heparin</w:t>
            </w:r>
          </w:p>
          <w:p w14:paraId="34F12611" w14:textId="77777777" w:rsidR="0017089C" w:rsidRPr="00DC7421" w:rsidRDefault="0017089C">
            <w:pPr>
              <w:rPr>
                <w:rFonts w:cs="Arial"/>
                <w:szCs w:val="20"/>
              </w:rPr>
            </w:pPr>
          </w:p>
          <w:p w14:paraId="5CCFFF96" w14:textId="6610941A"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7B3B5B">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7B3B5B">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52A5F26D" w:rsidR="0017089C" w:rsidRPr="009475C8" w:rsidRDefault="0017089C">
            <w:pPr>
              <w:pStyle w:val="Header"/>
              <w:tabs>
                <w:tab w:val="clear" w:pos="4320"/>
                <w:tab w:val="clear" w:pos="8640"/>
              </w:tabs>
              <w:rPr>
                <w:rFonts w:cs="Arial"/>
                <w:b/>
                <w:szCs w:val="20"/>
              </w:rPr>
            </w:pPr>
            <w:r w:rsidRPr="00AC266E">
              <w:rPr>
                <w:rFonts w:cs="Arial"/>
                <w:b/>
                <w:szCs w:val="20"/>
              </w:rPr>
              <w:t>20 to 25°C</w:t>
            </w:r>
            <w:r w:rsidR="00AC266E">
              <w:rPr>
                <w:rFonts w:cs="Arial"/>
                <w:b/>
                <w:szCs w:val="20"/>
              </w:rPr>
              <w:t xml:space="preserve">: </w:t>
            </w:r>
            <w:r w:rsidR="00AC266E">
              <w:rPr>
                <w:rFonts w:cs="Arial"/>
                <w:szCs w:val="20"/>
              </w:rPr>
              <w:t>Not tested</w:t>
            </w:r>
            <w:r w:rsidR="00437425" w:rsidRPr="009475C8">
              <w:rPr>
                <w:rFonts w:cs="Arial"/>
                <w:b/>
                <w:szCs w:val="20"/>
              </w:rPr>
              <w:tab/>
            </w:r>
          </w:p>
          <w:p w14:paraId="5CCFFF99" w14:textId="25CAA458" w:rsidR="00E3253B" w:rsidRPr="009475C8" w:rsidRDefault="007B3B5B">
            <w:pPr>
              <w:pStyle w:val="Header"/>
              <w:tabs>
                <w:tab w:val="clear" w:pos="4320"/>
                <w:tab w:val="clear" w:pos="8640"/>
              </w:tabs>
              <w:rPr>
                <w:rFonts w:cs="Arial"/>
                <w:b/>
                <w:szCs w:val="20"/>
              </w:rPr>
            </w:pPr>
            <w:r>
              <w:rPr>
                <w:rFonts w:cs="Arial"/>
                <w:b/>
                <w:szCs w:val="20"/>
              </w:rPr>
              <w:t>4</w:t>
            </w:r>
            <w:r w:rsidR="00BD0AE4" w:rsidRPr="009475C8">
              <w:rPr>
                <w:rFonts w:cs="Arial"/>
                <w:b/>
                <w:szCs w:val="20"/>
              </w:rPr>
              <w:t xml:space="preserve"> to 8°C</w:t>
            </w:r>
            <w:r>
              <w:rPr>
                <w:rFonts w:cs="Arial"/>
                <w:b/>
                <w:szCs w:val="20"/>
              </w:rPr>
              <w:t xml:space="preserve">: </w:t>
            </w:r>
            <w:r>
              <w:rPr>
                <w:rFonts w:cs="Arial"/>
                <w:szCs w:val="20"/>
              </w:rPr>
              <w:t>14 days</w:t>
            </w:r>
            <w:r w:rsidR="00437425" w:rsidRPr="009475C8">
              <w:rPr>
                <w:rFonts w:cs="Arial"/>
                <w:b/>
                <w:szCs w:val="20"/>
              </w:rPr>
              <w:tab/>
            </w:r>
          </w:p>
          <w:p w14:paraId="594E4A3A" w14:textId="6E914025" w:rsidR="00BD0AE4" w:rsidRDefault="00BD0AE4">
            <w:pPr>
              <w:pStyle w:val="Header"/>
              <w:tabs>
                <w:tab w:val="clear" w:pos="4320"/>
                <w:tab w:val="clear" w:pos="8640"/>
              </w:tabs>
              <w:rPr>
                <w:rFonts w:cs="Arial"/>
                <w:szCs w:val="20"/>
              </w:rPr>
            </w:pPr>
            <w:r w:rsidRPr="009475C8">
              <w:rPr>
                <w:rFonts w:cs="Arial"/>
                <w:b/>
                <w:szCs w:val="20"/>
              </w:rPr>
              <w:t>-20°C</w:t>
            </w:r>
            <w:r w:rsidR="007B3B5B">
              <w:rPr>
                <w:rFonts w:cs="Arial"/>
                <w:b/>
                <w:szCs w:val="20"/>
              </w:rPr>
              <w:t xml:space="preserve">: </w:t>
            </w:r>
            <w:r w:rsidR="007B3B5B">
              <w:rPr>
                <w:rFonts w:cs="Arial"/>
                <w:szCs w:val="20"/>
              </w:rPr>
              <w:t>6 months</w:t>
            </w:r>
            <w:r w:rsidR="00437425">
              <w:rPr>
                <w:rFonts w:cs="Arial"/>
                <w:szCs w:val="20"/>
              </w:rPr>
              <w:tab/>
            </w:r>
            <w:r w:rsidR="00437425">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140A8570" w14:textId="77777777" w:rsidR="00AC266E" w:rsidRPr="00AC266E" w:rsidRDefault="00AC266E" w:rsidP="00AC266E">
            <w:pPr>
              <w:numPr>
                <w:ilvl w:val="0"/>
                <w:numId w:val="26"/>
              </w:numPr>
              <w:jc w:val="both"/>
              <w:rPr>
                <w:rFonts w:cs="Arial"/>
                <w:szCs w:val="20"/>
              </w:rPr>
            </w:pPr>
            <w:r w:rsidRPr="00AC266E">
              <w:rPr>
                <w:rFonts w:cs="Arial"/>
                <w:szCs w:val="20"/>
              </w:rPr>
              <w:t>Whole blood specimens should be centrifuged following complete clot formation, according to Specimen Processing procedures prior to analysis.</w:t>
            </w:r>
          </w:p>
          <w:p w14:paraId="72ADE31D" w14:textId="77777777" w:rsidR="00AC266E" w:rsidRPr="00AC266E" w:rsidRDefault="00AC266E" w:rsidP="00AC266E">
            <w:pPr>
              <w:numPr>
                <w:ilvl w:val="0"/>
                <w:numId w:val="26"/>
              </w:numPr>
              <w:jc w:val="both"/>
              <w:rPr>
                <w:rFonts w:cs="Arial"/>
                <w:szCs w:val="20"/>
              </w:rPr>
            </w:pPr>
            <w:r w:rsidRPr="00AC266E">
              <w:rPr>
                <w:rFonts w:cs="Arial"/>
                <w:szCs w:val="20"/>
              </w:rPr>
              <w:t>Serum or plasma should be physically separated from cells as soon as possible with a maximum limit of two hours from the time of collection.</w:t>
            </w:r>
          </w:p>
          <w:p w14:paraId="13EED00A" w14:textId="77777777" w:rsidR="00AC266E" w:rsidRPr="00AC266E" w:rsidRDefault="00AC266E" w:rsidP="00AC266E">
            <w:pPr>
              <w:numPr>
                <w:ilvl w:val="0"/>
                <w:numId w:val="26"/>
              </w:numPr>
              <w:jc w:val="both"/>
              <w:rPr>
                <w:rFonts w:cs="Arial"/>
                <w:szCs w:val="20"/>
              </w:rPr>
            </w:pPr>
            <w:r w:rsidRPr="00AC266E">
              <w:rPr>
                <w:rFonts w:cs="Arial"/>
                <w:szCs w:val="20"/>
              </w:rPr>
              <w:t xml:space="preserve">Specimens should be free of particulate matter. </w:t>
            </w:r>
          </w:p>
          <w:p w14:paraId="4BAFD6E4" w14:textId="3EBB2667" w:rsidR="00AC266E" w:rsidRPr="00AC266E" w:rsidRDefault="00AC266E" w:rsidP="00AC266E">
            <w:pPr>
              <w:numPr>
                <w:ilvl w:val="0"/>
                <w:numId w:val="26"/>
              </w:numPr>
              <w:jc w:val="both"/>
              <w:rPr>
                <w:rFonts w:cs="Arial"/>
                <w:szCs w:val="20"/>
              </w:rPr>
            </w:pPr>
            <w:r w:rsidRPr="00AC266E">
              <w:rPr>
                <w:rFonts w:cs="Arial"/>
                <w:szCs w:val="20"/>
              </w:rPr>
              <w:t xml:space="preserve">Transfer serum or plasma </w:t>
            </w:r>
            <w:r>
              <w:rPr>
                <w:rFonts w:cs="Arial"/>
                <w:szCs w:val="20"/>
              </w:rPr>
              <w:t xml:space="preserve">directly </w:t>
            </w:r>
            <w:r w:rsidRPr="00AC266E">
              <w:rPr>
                <w:rFonts w:cs="Arial"/>
                <w:szCs w:val="20"/>
              </w:rPr>
              <w:t xml:space="preserve">to a properly labeled </w:t>
            </w:r>
            <w:r>
              <w:rPr>
                <w:rFonts w:cs="Arial"/>
                <w:szCs w:val="20"/>
              </w:rPr>
              <w:t xml:space="preserve">pilot tube.  </w:t>
            </w:r>
          </w:p>
          <w:p w14:paraId="33D3B8B4" w14:textId="09B0F5FA" w:rsidR="00AC266E" w:rsidRPr="00AC266E" w:rsidRDefault="00AC266E" w:rsidP="00AC266E">
            <w:pPr>
              <w:numPr>
                <w:ilvl w:val="0"/>
                <w:numId w:val="26"/>
              </w:numPr>
              <w:jc w:val="both"/>
              <w:rPr>
                <w:rFonts w:cs="Arial"/>
                <w:szCs w:val="20"/>
              </w:rPr>
            </w:pPr>
            <w:r>
              <w:rPr>
                <w:rFonts w:cs="Arial"/>
                <w:szCs w:val="20"/>
              </w:rPr>
              <w:t xml:space="preserve"> </w:t>
            </w:r>
            <w:r w:rsidRPr="00AC266E">
              <w:rPr>
                <w:rFonts w:cs="Arial"/>
                <w:szCs w:val="20"/>
              </w:rPr>
              <w:t xml:space="preserve">Architect and Alinity systems utilize a specimen level detect mechanism, so special racks specific to tube-type are not required.  </w:t>
            </w:r>
          </w:p>
          <w:p w14:paraId="5C619CFE" w14:textId="77777777" w:rsidR="00AC266E" w:rsidRPr="00AC266E" w:rsidRDefault="00AC266E" w:rsidP="00AC266E">
            <w:pPr>
              <w:numPr>
                <w:ilvl w:val="0"/>
                <w:numId w:val="26"/>
              </w:numPr>
              <w:jc w:val="both"/>
              <w:rPr>
                <w:rFonts w:cs="Arial"/>
                <w:szCs w:val="20"/>
              </w:rPr>
            </w:pPr>
            <w:r w:rsidRPr="00AC266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72A6BA0C" w:rsidR="007B410A" w:rsidRPr="00DA1749"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013C6084"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sidR="00D827BF">
              <w:rPr>
                <w:rFonts w:cs="Arial"/>
                <w:color w:val="000000"/>
                <w:szCs w:val="20"/>
              </w:rPr>
              <w:t xml:space="preserve">ges in an upright position for 24 </w:t>
            </w:r>
            <w:r>
              <w:rPr>
                <w:rFonts w:cs="Arial"/>
                <w:color w:val="000000"/>
                <w:szCs w:val="20"/>
              </w:rPr>
              <w:t>hour</w:t>
            </w:r>
            <w:r w:rsidR="00D827BF">
              <w:rPr>
                <w:rFonts w:cs="Arial"/>
                <w:color w:val="000000"/>
                <w:szCs w:val="20"/>
              </w:rPr>
              <w:t>s</w:t>
            </w:r>
            <w:r w:rsidRPr="00DC7421">
              <w:rPr>
                <w:rFonts w:cs="Arial"/>
                <w:color w:val="000000"/>
                <w:szCs w:val="20"/>
              </w:rPr>
              <w:t xml:space="preserve"> before use to allow bubbles that may have formed to dissipate. </w:t>
            </w:r>
          </w:p>
          <w:p w14:paraId="666CE016" w14:textId="0F486563"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115DD6">
              <w:rPr>
                <w:rFonts w:cs="Arial"/>
                <w:color w:val="000000"/>
                <w:szCs w:val="20"/>
              </w:rPr>
              <w:t>8</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DA1749">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239A29F5" w:rsidR="0081197E" w:rsidRPr="00DC7421" w:rsidRDefault="007B3B5B" w:rsidP="007B3B5B">
                  <w:pPr>
                    <w:autoSpaceDE w:val="0"/>
                    <w:autoSpaceDN w:val="0"/>
                    <w:adjustRightInd w:val="0"/>
                    <w:rPr>
                      <w:rFonts w:cs="Arial"/>
                      <w:szCs w:val="20"/>
                    </w:rPr>
                  </w:pPr>
                  <w:r w:rsidRPr="007B3B5B">
                    <w:rPr>
                      <w:rFonts w:cs="Arial"/>
                      <w:szCs w:val="20"/>
                    </w:rPr>
                    <w:t xml:space="preserve">Alinity c Salicylate Reagent Kit </w:t>
                  </w:r>
                </w:p>
              </w:tc>
              <w:tc>
                <w:tcPr>
                  <w:tcW w:w="1710" w:type="dxa"/>
                  <w:vAlign w:val="center"/>
                </w:tcPr>
                <w:p w14:paraId="78062055" w14:textId="3B33A876" w:rsidR="0081197E" w:rsidRPr="00DC7421" w:rsidRDefault="00DA1749" w:rsidP="0081197E">
                  <w:pPr>
                    <w:pStyle w:val="BodyText"/>
                    <w:tabs>
                      <w:tab w:val="left" w:pos="3240"/>
                    </w:tabs>
                    <w:rPr>
                      <w:rFonts w:cs="Arial"/>
                      <w:szCs w:val="20"/>
                    </w:rPr>
                  </w:pPr>
                  <w:r w:rsidRPr="00DA1749">
                    <w:rPr>
                      <w:rFonts w:cs="Arial"/>
                      <w:szCs w:val="20"/>
                    </w:rPr>
                    <w:t>08P5920</w:t>
                  </w:r>
                </w:p>
              </w:tc>
              <w:tc>
                <w:tcPr>
                  <w:tcW w:w="4533" w:type="dxa"/>
                  <w:vAlign w:val="center"/>
                </w:tcPr>
                <w:p w14:paraId="043863BD" w14:textId="77777777" w:rsidR="00DA1749" w:rsidRPr="00DC7421" w:rsidRDefault="00DA1749" w:rsidP="00DA1749">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Pr="00D827BF">
                    <w:rPr>
                      <w:rFonts w:ascii="Arial" w:hAnsi="Arial" w:cs="Arial"/>
                      <w:bCs/>
                    </w:rPr>
                    <w:t>2 to 8°C</w:t>
                  </w:r>
                </w:p>
                <w:p w14:paraId="02570828" w14:textId="77777777" w:rsidR="00DA1749" w:rsidRPr="00560621" w:rsidRDefault="00DA1749" w:rsidP="00DA1749">
                  <w:pPr>
                    <w:pStyle w:val="Reagents"/>
                    <w:spacing w:after="80"/>
                    <w:rPr>
                      <w:rFonts w:ascii="Arial" w:hAnsi="Arial" w:cs="Arial"/>
                      <w:bCs/>
                    </w:rPr>
                  </w:pPr>
                  <w:r w:rsidRPr="00DC7421">
                    <w:rPr>
                      <w:rFonts w:ascii="Arial" w:hAnsi="Arial" w:cs="Arial"/>
                      <w:b/>
                      <w:bCs/>
                    </w:rPr>
                    <w:t xml:space="preserve">Unopened: </w:t>
                  </w:r>
                  <w:r>
                    <w:rPr>
                      <w:rFonts w:ascii="Arial" w:hAnsi="Arial" w:cs="Arial"/>
                      <w:bCs/>
                    </w:rPr>
                    <w:t>Until manufacturer’s printed expiration date</w:t>
                  </w:r>
                </w:p>
                <w:p w14:paraId="2EC23D08" w14:textId="044EAA19" w:rsidR="0081197E" w:rsidRPr="003F688A" w:rsidRDefault="0081197E" w:rsidP="00DA1749">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DA1749">
                    <w:rPr>
                      <w:rFonts w:ascii="Arial" w:hAnsi="Arial" w:cs="Arial"/>
                      <w:bCs/>
                    </w:rPr>
                    <w:t>43 days</w:t>
                  </w:r>
                </w:p>
              </w:tc>
            </w:tr>
            <w:tr w:rsidR="0081197E" w:rsidRPr="00DC7421" w14:paraId="2A1E45AA" w14:textId="77777777" w:rsidTr="00413A69">
              <w:tc>
                <w:tcPr>
                  <w:tcW w:w="2857" w:type="dxa"/>
                  <w:vAlign w:val="center"/>
                </w:tcPr>
                <w:p w14:paraId="417AB88A" w14:textId="4E30EE95" w:rsidR="0081197E" w:rsidRPr="00DC7421" w:rsidRDefault="00D827BF" w:rsidP="0081197E">
                  <w:pPr>
                    <w:pStyle w:val="BodyText"/>
                    <w:spacing w:after="0"/>
                    <w:rPr>
                      <w:rFonts w:cs="Arial"/>
                      <w:szCs w:val="20"/>
                    </w:rPr>
                  </w:pPr>
                  <w:r w:rsidRPr="00D827BF">
                    <w:rPr>
                      <w:rFonts w:cs="Arial"/>
                      <w:szCs w:val="20"/>
                    </w:rPr>
                    <w:t>Alinity c Salicylate Calibrator Kit</w:t>
                  </w:r>
                </w:p>
              </w:tc>
              <w:tc>
                <w:tcPr>
                  <w:tcW w:w="1710" w:type="dxa"/>
                  <w:vAlign w:val="center"/>
                </w:tcPr>
                <w:p w14:paraId="1C065F4D" w14:textId="0CFB22B8" w:rsidR="00D827BF" w:rsidRPr="00DC7421" w:rsidRDefault="00DA1749" w:rsidP="0081197E">
                  <w:pPr>
                    <w:rPr>
                      <w:rFonts w:cs="Arial"/>
                      <w:szCs w:val="20"/>
                    </w:rPr>
                  </w:pPr>
                  <w:r w:rsidRPr="00DA1749">
                    <w:rPr>
                      <w:rFonts w:cs="Arial"/>
                      <w:szCs w:val="20"/>
                    </w:rPr>
                    <w:t>08P5901</w:t>
                  </w:r>
                </w:p>
              </w:tc>
              <w:tc>
                <w:tcPr>
                  <w:tcW w:w="4533" w:type="dxa"/>
                  <w:vAlign w:val="center"/>
                </w:tcPr>
                <w:p w14:paraId="3B82C64B" w14:textId="52C8BC84"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D827BF" w:rsidRPr="00D827BF">
                    <w:rPr>
                      <w:rFonts w:ascii="Arial" w:hAnsi="Arial" w:cs="Arial"/>
                      <w:bCs/>
                    </w:rPr>
                    <w:t>2 to 8°C</w:t>
                  </w:r>
                </w:p>
                <w:p w14:paraId="22FE035D" w14:textId="4B605836" w:rsidR="0081197E" w:rsidRPr="00560621" w:rsidRDefault="0081197E" w:rsidP="0081197E">
                  <w:pPr>
                    <w:pStyle w:val="Reagents"/>
                    <w:spacing w:after="80"/>
                    <w:rPr>
                      <w:rFonts w:ascii="Arial" w:hAnsi="Arial" w:cs="Arial"/>
                      <w:bCs/>
                    </w:rPr>
                  </w:pPr>
                  <w:r w:rsidRPr="00DC7421">
                    <w:rPr>
                      <w:rFonts w:ascii="Arial" w:hAnsi="Arial" w:cs="Arial"/>
                      <w:b/>
                      <w:bCs/>
                    </w:rPr>
                    <w:t xml:space="preserve">Unopened: </w:t>
                  </w:r>
                  <w:r w:rsidR="00DA1749">
                    <w:rPr>
                      <w:rFonts w:ascii="Arial" w:hAnsi="Arial" w:cs="Arial"/>
                      <w:bCs/>
                    </w:rPr>
                    <w:t>Until manufacturer’s printed expiration d</w:t>
                  </w:r>
                  <w:r w:rsidR="00560621">
                    <w:rPr>
                      <w:rFonts w:ascii="Arial" w:hAnsi="Arial" w:cs="Arial"/>
                      <w:bCs/>
                    </w:rPr>
                    <w:t>ate</w:t>
                  </w:r>
                </w:p>
                <w:p w14:paraId="05D3D1A4" w14:textId="1687A116" w:rsidR="0081197E" w:rsidRPr="00560621" w:rsidRDefault="0081197E" w:rsidP="006A41B1">
                  <w:pPr>
                    <w:pStyle w:val="BodyText"/>
                    <w:spacing w:after="80"/>
                    <w:rPr>
                      <w:rFonts w:cs="Arial"/>
                      <w:szCs w:val="20"/>
                    </w:rPr>
                  </w:pPr>
                  <w:r w:rsidRPr="00DC7421">
                    <w:rPr>
                      <w:rFonts w:cs="Arial"/>
                      <w:b/>
                      <w:bCs/>
                      <w:szCs w:val="20"/>
                    </w:rPr>
                    <w:t xml:space="preserve">Opened expiration: </w:t>
                  </w:r>
                  <w:r w:rsidR="00560621">
                    <w:rPr>
                      <w:rFonts w:cs="Arial"/>
                      <w:bCs/>
                      <w:szCs w:val="20"/>
                    </w:rPr>
                    <w:t>Until expiration date (store tightly capped with new replacement cap)</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2DB91924" w14:textId="4ECAA5D5" w:rsidR="007B3B5B" w:rsidRDefault="007B3B5B" w:rsidP="007B3B5B">
            <w:pPr>
              <w:rPr>
                <w:szCs w:val="20"/>
              </w:rPr>
            </w:pPr>
            <w:r w:rsidRPr="007B3B5B">
              <w:rPr>
                <w:szCs w:val="20"/>
              </w:rPr>
              <w:t>This product requires the handling of human specimens.</w:t>
            </w:r>
            <w:r>
              <w:rPr>
                <w:szCs w:val="20"/>
              </w:rPr>
              <w:t xml:space="preserve"> </w:t>
            </w:r>
            <w:r w:rsidRPr="007B3B5B">
              <w:rPr>
                <w:szCs w:val="20"/>
              </w:rPr>
              <w:t>It is recommended that all human-sourced materials be considered</w:t>
            </w:r>
            <w:r>
              <w:rPr>
                <w:szCs w:val="20"/>
              </w:rPr>
              <w:t xml:space="preserve"> </w:t>
            </w:r>
            <w:r w:rsidRPr="007B3B5B">
              <w:rPr>
                <w:szCs w:val="20"/>
              </w:rPr>
              <w:t>potentially infectious and handled in accordance with the OSHA</w:t>
            </w:r>
            <w:r>
              <w:rPr>
                <w:szCs w:val="20"/>
              </w:rPr>
              <w:t xml:space="preserve"> </w:t>
            </w:r>
            <w:r w:rsidRPr="007B3B5B">
              <w:rPr>
                <w:szCs w:val="20"/>
              </w:rPr>
              <w:t>Standard on Bloodborne Pathogens. Biosafety Level 2 or other</w:t>
            </w:r>
            <w:r>
              <w:rPr>
                <w:szCs w:val="20"/>
              </w:rPr>
              <w:t xml:space="preserve"> </w:t>
            </w:r>
            <w:r w:rsidRPr="007B3B5B">
              <w:rPr>
                <w:szCs w:val="20"/>
              </w:rPr>
              <w:t>appropriate biosafety practices should be used for materials that</w:t>
            </w:r>
            <w:r>
              <w:rPr>
                <w:szCs w:val="20"/>
              </w:rPr>
              <w:t xml:space="preserve"> </w:t>
            </w:r>
            <w:r w:rsidRPr="007B3B5B">
              <w:rPr>
                <w:szCs w:val="20"/>
              </w:rPr>
              <w:t>contain or are suspected of containing infectious agents.</w:t>
            </w:r>
          </w:p>
          <w:p w14:paraId="4F48B05F" w14:textId="77777777" w:rsidR="007B3B5B" w:rsidRPr="007B3B5B" w:rsidRDefault="007B3B5B" w:rsidP="007B3B5B">
            <w:pPr>
              <w:rPr>
                <w:szCs w:val="20"/>
              </w:rPr>
            </w:pPr>
          </w:p>
          <w:p w14:paraId="310642C3" w14:textId="7FDC1AE0" w:rsidR="007B3B5B" w:rsidRPr="007B3B5B" w:rsidRDefault="007B3B5B" w:rsidP="007B3B5B">
            <w:pPr>
              <w:rPr>
                <w:szCs w:val="20"/>
              </w:rPr>
            </w:pPr>
            <w:r w:rsidRPr="007B3B5B">
              <w:rPr>
                <w:i/>
                <w:szCs w:val="20"/>
              </w:rPr>
              <w:t xml:space="preserve">The following warnings and precautions apply to: </w:t>
            </w:r>
            <w:r w:rsidRPr="007B3B5B">
              <w:rPr>
                <w:b/>
                <w:szCs w:val="20"/>
              </w:rPr>
              <w:t>R2</w:t>
            </w:r>
          </w:p>
          <w:p w14:paraId="583BEDA8" w14:textId="39FFFBA3" w:rsidR="007B3B5B" w:rsidRPr="007B3B5B" w:rsidRDefault="007B3B5B" w:rsidP="007B3B5B">
            <w:pPr>
              <w:rPr>
                <w:szCs w:val="20"/>
              </w:rPr>
            </w:pPr>
            <w:r>
              <w:rPr>
                <w:szCs w:val="20"/>
              </w:rPr>
              <w:t xml:space="preserve">     </w:t>
            </w:r>
            <w:r w:rsidRPr="007B3B5B">
              <w:rPr>
                <w:szCs w:val="20"/>
              </w:rPr>
              <w:t>Contains tris hydroxymethyl aminomethane* and sodium azide.</w:t>
            </w:r>
          </w:p>
          <w:p w14:paraId="0E19366D" w14:textId="2C656439" w:rsidR="007B3B5B" w:rsidRPr="007B3B5B" w:rsidRDefault="007B3B5B" w:rsidP="007B3B5B">
            <w:pPr>
              <w:rPr>
                <w:szCs w:val="20"/>
              </w:rPr>
            </w:pPr>
            <w:r>
              <w:rPr>
                <w:szCs w:val="20"/>
              </w:rPr>
              <w:t xml:space="preserve">     </w:t>
            </w:r>
            <w:r w:rsidRPr="007B3B5B">
              <w:rPr>
                <w:szCs w:val="20"/>
              </w:rPr>
              <w:t>Causes mild skin irritation.</w:t>
            </w:r>
          </w:p>
          <w:p w14:paraId="05C97A8A" w14:textId="48C2A78A" w:rsidR="009475C8" w:rsidRDefault="007B3B5B" w:rsidP="007B3B5B">
            <w:pPr>
              <w:rPr>
                <w:szCs w:val="20"/>
              </w:rPr>
            </w:pPr>
            <w:r>
              <w:rPr>
                <w:szCs w:val="20"/>
              </w:rPr>
              <w:t xml:space="preserve">     </w:t>
            </w:r>
            <w:r w:rsidRPr="007B3B5B">
              <w:rPr>
                <w:szCs w:val="20"/>
              </w:rPr>
              <w:t>Contact with acids liberates very toxic gas.</w:t>
            </w:r>
          </w:p>
          <w:p w14:paraId="17A960A0" w14:textId="77777777" w:rsidR="00560621" w:rsidRDefault="00560621" w:rsidP="007B3B5B">
            <w:pPr>
              <w:rPr>
                <w:szCs w:val="20"/>
              </w:rPr>
            </w:pPr>
          </w:p>
          <w:p w14:paraId="6C3B81EF" w14:textId="05B7F343" w:rsidR="00560621" w:rsidRDefault="00560621" w:rsidP="00560621">
            <w:pPr>
              <w:rPr>
                <w:szCs w:val="20"/>
              </w:rPr>
            </w:pPr>
            <w:r w:rsidRPr="00560621">
              <w:rPr>
                <w:szCs w:val="20"/>
              </w:rPr>
              <w:t xml:space="preserve">The </w:t>
            </w:r>
            <w:r w:rsidRPr="00560621">
              <w:rPr>
                <w:i/>
                <w:szCs w:val="20"/>
              </w:rPr>
              <w:t>Salicylate Calibrator</w:t>
            </w:r>
            <w:r w:rsidRPr="00560621">
              <w:rPr>
                <w:szCs w:val="20"/>
              </w:rPr>
              <w:t xml:space="preserve"> is traceable to a secondary reference</w:t>
            </w:r>
            <w:r>
              <w:rPr>
                <w:szCs w:val="20"/>
              </w:rPr>
              <w:t xml:space="preserve"> </w:t>
            </w:r>
            <w:r w:rsidRPr="00560621">
              <w:rPr>
                <w:szCs w:val="20"/>
              </w:rPr>
              <w:t>material prepared gravimetrically from USP grade salicylate and</w:t>
            </w:r>
            <w:r>
              <w:rPr>
                <w:szCs w:val="20"/>
              </w:rPr>
              <w:t xml:space="preserve"> </w:t>
            </w:r>
            <w:r w:rsidRPr="00560621">
              <w:rPr>
                <w:szCs w:val="20"/>
              </w:rPr>
              <w:t xml:space="preserve">verified with a manual </w:t>
            </w:r>
            <w:proofErr w:type="spellStart"/>
            <w:r w:rsidRPr="00560621">
              <w:rPr>
                <w:szCs w:val="20"/>
              </w:rPr>
              <w:t>Trinder</w:t>
            </w:r>
            <w:proofErr w:type="spellEnd"/>
            <w:r w:rsidRPr="00560621">
              <w:rPr>
                <w:szCs w:val="20"/>
              </w:rPr>
              <w:t xml:space="preserve"> absorbance reference method.</w:t>
            </w:r>
          </w:p>
          <w:p w14:paraId="1D6EAD2B" w14:textId="77777777" w:rsidR="009475C8" w:rsidRDefault="009475C8">
            <w:pPr>
              <w:rPr>
                <w:szCs w:val="20"/>
              </w:rPr>
            </w:pPr>
          </w:p>
          <w:p w14:paraId="5EFA9057" w14:textId="187619D3" w:rsidR="009475C8" w:rsidRDefault="009475C8">
            <w:r>
              <w:rPr>
                <w:szCs w:val="20"/>
              </w:rPr>
              <w:t xml:space="preserve">Safety data sheets (MSDS/SDS) available on </w:t>
            </w:r>
            <w:hyperlink r:id="rId12"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DA1749">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1204FA9B" w:rsidR="00F50200" w:rsidRPr="00DC7421" w:rsidRDefault="00DA1749" w:rsidP="00A32948">
                  <w:pPr>
                    <w:pStyle w:val="CalVerTable"/>
                    <w:ind w:left="0" w:firstLine="0"/>
                    <w:rPr>
                      <w:rFonts w:ascii="Arial" w:hAnsi="Arial" w:cs="Arial"/>
                    </w:rPr>
                  </w:pPr>
                  <w:r>
                    <w:rPr>
                      <w:rFonts w:ascii="Arial" w:hAnsi="Arial" w:cs="Arial"/>
                    </w:rPr>
                    <w:t>5 to 100 mg/dL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640EBE6F" w:rsidR="00F50200" w:rsidRPr="00DC7421" w:rsidRDefault="00DA1749" w:rsidP="00440E37">
                  <w:pPr>
                    <w:pStyle w:val="BodyText"/>
                    <w:rPr>
                      <w:rFonts w:cs="Arial"/>
                      <w:szCs w:val="20"/>
                    </w:rPr>
                  </w:pPr>
                  <w:r>
                    <w:rPr>
                      <w:rFonts w:cs="Arial"/>
                      <w:szCs w:val="20"/>
                    </w:rPr>
                    <w:t xml:space="preserve">Abbott Alinity c Salicylate </w:t>
                  </w:r>
                  <w:proofErr w:type="spellStart"/>
                  <w:r>
                    <w:rPr>
                      <w:rFonts w:cs="Arial"/>
                      <w:szCs w:val="20"/>
                    </w:rPr>
                    <w:t>Calibrartor</w:t>
                  </w:r>
                  <w:proofErr w:type="spellEnd"/>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150E9019" w:rsidR="005B66A7" w:rsidRPr="00DC7421" w:rsidRDefault="00DA1749" w:rsidP="001D1786">
                  <w:pPr>
                    <w:pStyle w:val="CalVerTable"/>
                    <w:ind w:left="0" w:firstLine="0"/>
                    <w:rPr>
                      <w:rFonts w:ascii="Arial" w:hAnsi="Arial" w:cs="Arial"/>
                    </w:rPr>
                  </w:pPr>
                  <w:r>
                    <w:rPr>
                      <w:rFonts w:ascii="Arial" w:hAnsi="Arial" w:cs="Arial"/>
                    </w:rPr>
                    <w:t>Concentration 20.7 mg/dL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DD99C26" w:rsidR="00F50200" w:rsidRPr="00DC7421" w:rsidRDefault="00DA1749" w:rsidP="005B66A7">
                  <w:pPr>
                    <w:pStyle w:val="CalVerTable"/>
                    <w:ind w:left="0" w:firstLine="0"/>
                    <w:rPr>
                      <w:rFonts w:ascii="Arial" w:hAnsi="Arial" w:cs="Arial"/>
                    </w:rPr>
                  </w:pPr>
                  <w:r>
                    <w:rPr>
                      <w:rFonts w:ascii="Arial" w:hAnsi="Arial" w:cs="Arial"/>
                    </w:rPr>
                    <w:t>1 Level</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1B1FF144" w:rsidR="00F50200" w:rsidRPr="00DC7421" w:rsidRDefault="00DA1749" w:rsidP="004A698D">
                  <w:pPr>
                    <w:pStyle w:val="Pa10"/>
                    <w:rPr>
                      <w:rFonts w:ascii="Arial" w:hAnsi="Arial" w:cs="Arial"/>
                      <w:sz w:val="20"/>
                      <w:szCs w:val="20"/>
                    </w:rPr>
                  </w:pPr>
                  <w:r>
                    <w:rPr>
                      <w:rFonts w:ascii="Arial" w:hAnsi="Arial" w:cs="Arial"/>
                      <w:sz w:val="20"/>
                      <w:szCs w:val="20"/>
                    </w:rPr>
                    <w:t>43 day stability</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1E708EAF" w:rsidR="00F50200" w:rsidRPr="00DC7421" w:rsidRDefault="009475C8" w:rsidP="00DA1749">
                  <w:pPr>
                    <w:autoSpaceDE w:val="0"/>
                    <w:autoSpaceDN w:val="0"/>
                    <w:adjustRightInd w:val="0"/>
                    <w:rPr>
                      <w:rFonts w:cs="Arial"/>
                      <w:szCs w:val="20"/>
                    </w:rPr>
                  </w:pPr>
                  <w:r w:rsidRPr="00DC7421">
                    <w:rPr>
                      <w:rFonts w:cs="Arial"/>
                      <w:szCs w:val="20"/>
                    </w:rPr>
                    <w:t xml:space="preserve">AMR is </w:t>
                  </w:r>
                  <w:r w:rsidRPr="00DA1749">
                    <w:rPr>
                      <w:rFonts w:cs="Arial"/>
                      <w:szCs w:val="20"/>
                    </w:rPr>
                    <w:t>verified twice annually using the Maine Standards</w:t>
                  </w:r>
                  <w:r w:rsidR="00DA1749" w:rsidRPr="00DA1749">
                    <w:rPr>
                      <w:rFonts w:cs="Arial"/>
                      <w:szCs w:val="20"/>
                    </w:rPr>
                    <w:t xml:space="preserve"> CHEM TDM1 </w:t>
                  </w:r>
                  <w:r w:rsidR="00DA1749">
                    <w:rPr>
                      <w:rFonts w:cs="Arial"/>
                      <w:szCs w:val="20"/>
                    </w:rPr>
                    <w:t xml:space="preserve">Product # </w:t>
                  </w:r>
                  <w:r w:rsidR="00DA1749" w:rsidRPr="00DA1749">
                    <w:rPr>
                      <w:rFonts w:cs="Arial"/>
                      <w:szCs w:val="20"/>
                    </w:rPr>
                    <w:t>301ab</w:t>
                  </w:r>
                  <w:r w:rsidRPr="00DA1749">
                    <w:rPr>
                      <w:rFonts w:cs="Arial"/>
                      <w:szCs w:val="20"/>
                    </w:rPr>
                    <w:t xml:space="preserve"> by running all applicable levels in triplicate.  Assay results are submitted to Maine Standards for compilation and comparison to peers.  Results are reviewed and approved by the Technical Specialist.  Questionable results</w:t>
                  </w:r>
                  <w:r w:rsidRPr="00DC7421">
                    <w:rPr>
                      <w:rFonts w:cs="Arial"/>
                      <w:szCs w:val="20"/>
                    </w:rPr>
                    <w:t xml:space="preserve"> are investigated and c</w:t>
                  </w:r>
                  <w:r>
                    <w:rPr>
                      <w:rFonts w:cs="Arial"/>
                      <w:szCs w:val="20"/>
                    </w:rPr>
                    <w:t>orrective actions documented.</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0F035362" w14:textId="581D6259" w:rsidR="00A95234" w:rsidRPr="00560643" w:rsidRDefault="00DA1749" w:rsidP="00A95234">
            <w:r>
              <w:rPr>
                <w:rFonts w:cs="Arial"/>
                <w:b/>
                <w:szCs w:val="20"/>
              </w:rPr>
              <w:t xml:space="preserve">QC Material: </w:t>
            </w:r>
            <w:r w:rsidR="00A95234">
              <w:rPr>
                <w:rFonts w:cs="Arial"/>
                <w:szCs w:val="20"/>
              </w:rPr>
              <w:t>Bio-Rad Liquichek</w:t>
            </w:r>
            <w:r w:rsidR="00A95234">
              <w:rPr>
                <w:rFonts w:cs="Arial"/>
                <w:szCs w:val="20"/>
              </w:rPr>
              <w:sym w:font="Symbol" w:char="F0D4"/>
            </w:r>
            <w:r w:rsidR="00A95234">
              <w:rPr>
                <w:rFonts w:cs="Arial"/>
                <w:szCs w:val="20"/>
              </w:rPr>
              <w:t xml:space="preserve"> </w:t>
            </w:r>
            <w:r>
              <w:rPr>
                <w:rFonts w:cs="Arial"/>
                <w:szCs w:val="20"/>
              </w:rPr>
              <w:t>Immunoassay Plus Control Levels 1 and 3</w:t>
            </w:r>
          </w:p>
          <w:p w14:paraId="0DA294A5" w14:textId="77777777" w:rsidR="00A95234" w:rsidRDefault="00A95234" w:rsidP="00A95234">
            <w:pPr>
              <w:autoSpaceDE w:val="0"/>
              <w:autoSpaceDN w:val="0"/>
              <w:adjustRightInd w:val="0"/>
              <w:jc w:val="both"/>
              <w:rPr>
                <w:rFonts w:cs="Arial"/>
                <w:szCs w:val="20"/>
              </w:rPr>
            </w:pPr>
          </w:p>
          <w:p w14:paraId="312D40B4" w14:textId="54CC8F89" w:rsidR="00A95234" w:rsidRDefault="00A95234" w:rsidP="00A95234">
            <w:pPr>
              <w:autoSpaceDE w:val="0"/>
              <w:autoSpaceDN w:val="0"/>
              <w:adjustRightInd w:val="0"/>
              <w:jc w:val="both"/>
              <w:rPr>
                <w:rFonts w:cs="Arial"/>
                <w:szCs w:val="20"/>
              </w:rPr>
            </w:pPr>
            <w:r>
              <w:rPr>
                <w:rFonts w:cs="Arial"/>
                <w:b/>
                <w:bCs/>
                <w:szCs w:val="20"/>
              </w:rPr>
              <w:t xml:space="preserve">Frequency: </w:t>
            </w:r>
            <w:r w:rsidR="00DA1749">
              <w:rPr>
                <w:rFonts w:cs="Arial"/>
                <w:szCs w:val="20"/>
              </w:rPr>
              <w:t>Two</w:t>
            </w:r>
            <w:r>
              <w:rPr>
                <w:rFonts w:cs="Arial"/>
                <w:szCs w:val="20"/>
              </w:rPr>
              <w:t xml:space="preserve"> levels each day of use</w:t>
            </w:r>
          </w:p>
          <w:p w14:paraId="30180D29" w14:textId="77777777" w:rsidR="00A95234" w:rsidRDefault="00A95234" w:rsidP="00A95234">
            <w:pPr>
              <w:autoSpaceDE w:val="0"/>
              <w:autoSpaceDN w:val="0"/>
              <w:adjustRightInd w:val="0"/>
              <w:jc w:val="both"/>
              <w:rPr>
                <w:rFonts w:cs="Arial"/>
                <w:szCs w:val="20"/>
              </w:rPr>
            </w:pPr>
          </w:p>
          <w:p w14:paraId="25BDBA95" w14:textId="1293F9F9" w:rsidR="00A95234" w:rsidRDefault="00A95234" w:rsidP="00A95234">
            <w:pPr>
              <w:autoSpaceDE w:val="0"/>
              <w:autoSpaceDN w:val="0"/>
              <w:adjustRightInd w:val="0"/>
              <w:rPr>
                <w:rFonts w:eastAsia="HelveticaNeueLTPro-Cn" w:cs="Arial"/>
                <w:szCs w:val="20"/>
              </w:rPr>
            </w:pPr>
            <w:r>
              <w:rPr>
                <w:rFonts w:cs="Arial"/>
                <w:b/>
                <w:bCs/>
                <w:szCs w:val="20"/>
              </w:rPr>
              <w:t xml:space="preserve">Stability: </w:t>
            </w:r>
            <w:r>
              <w:rPr>
                <w:rFonts w:cs="Arial"/>
                <w:bCs/>
                <w:szCs w:val="20"/>
              </w:rPr>
              <w:t>Stable until the expiration date when stored frozen between -20 and -40</w:t>
            </w:r>
            <w:r>
              <w:rPr>
                <w:rFonts w:eastAsia="HelveticaNeueLTPro-Cn" w:cs="Arial"/>
                <w:szCs w:val="20"/>
              </w:rPr>
              <w:t xml:space="preserve">°C. </w:t>
            </w:r>
            <w:r>
              <w:rPr>
                <w:rFonts w:cs="Arial"/>
                <w:bCs/>
                <w:szCs w:val="20"/>
              </w:rPr>
              <w:t xml:space="preserve"> </w:t>
            </w:r>
            <w:r>
              <w:rPr>
                <w:rFonts w:eastAsia="HelveticaNeueLTPro-Cn" w:cs="Arial"/>
                <w:szCs w:val="20"/>
              </w:rPr>
              <w:t>Once thawed, opened, and stored tightly capped at 2 to 8°</w:t>
            </w:r>
            <w:r w:rsidR="00DA1749">
              <w:rPr>
                <w:rFonts w:eastAsia="HelveticaNeueLTPro-Cn" w:cs="Arial"/>
                <w:szCs w:val="20"/>
              </w:rPr>
              <w:t>C, this product is stable for 5</w:t>
            </w:r>
            <w:r>
              <w:rPr>
                <w:rFonts w:eastAsia="HelveticaNeueLTPro-Cn" w:cs="Arial"/>
                <w:szCs w:val="20"/>
              </w:rPr>
              <w:t xml:space="preserve"> days</w:t>
            </w:r>
            <w:r w:rsidR="00DA1749">
              <w:rPr>
                <w:rFonts w:eastAsia="HelveticaNeueLTPro-Cn" w:cs="Arial"/>
                <w:szCs w:val="20"/>
              </w:rPr>
              <w:t xml:space="preserve"> in Minneapolis</w:t>
            </w:r>
            <w:r w:rsidR="00316AC9">
              <w:rPr>
                <w:rFonts w:eastAsia="HelveticaNeueLTPro-Cn" w:cs="Arial"/>
                <w:szCs w:val="20"/>
              </w:rPr>
              <w:t xml:space="preserve"> (due to Estradiol on this control)</w:t>
            </w:r>
            <w:r w:rsidR="00DA1749">
              <w:rPr>
                <w:rFonts w:eastAsia="HelveticaNeueLTPro-Cn" w:cs="Arial"/>
                <w:szCs w:val="20"/>
              </w:rPr>
              <w:t xml:space="preserve"> and 14 days in Saint Paul</w:t>
            </w:r>
            <w:r>
              <w:rPr>
                <w:rFonts w:eastAsia="HelveticaNeueLTPro-Cn" w:cs="Arial"/>
                <w:szCs w:val="20"/>
              </w:rPr>
              <w:t xml:space="preserve">.  </w:t>
            </w:r>
          </w:p>
          <w:p w14:paraId="7AABB40D" w14:textId="77777777" w:rsidR="00A95234" w:rsidRDefault="00A95234" w:rsidP="00A95234">
            <w:pPr>
              <w:autoSpaceDE w:val="0"/>
              <w:autoSpaceDN w:val="0"/>
              <w:adjustRightInd w:val="0"/>
              <w:jc w:val="both"/>
              <w:rPr>
                <w:rFonts w:cs="Arial"/>
                <w:szCs w:val="20"/>
              </w:rPr>
            </w:pPr>
          </w:p>
          <w:p w14:paraId="28275355" w14:textId="77777777" w:rsidR="00A95234" w:rsidRDefault="00A95234" w:rsidP="00A95234">
            <w:pPr>
              <w:autoSpaceDE w:val="0"/>
              <w:autoSpaceDN w:val="0"/>
              <w:adjustRightInd w:val="0"/>
              <w:rPr>
                <w:rFonts w:cs="Arial"/>
                <w:szCs w:val="20"/>
              </w:rPr>
            </w:pPr>
            <w:r>
              <w:rPr>
                <w:rFonts w:cs="Arial"/>
                <w:b/>
                <w:bCs/>
                <w:szCs w:val="20"/>
              </w:rPr>
              <w:t>Preparation</w:t>
            </w:r>
            <w:r>
              <w:rPr>
                <w:rFonts w:cs="Arial"/>
                <w:szCs w:val="20"/>
              </w:rPr>
              <w:t xml:space="preserve">: </w:t>
            </w:r>
          </w:p>
          <w:p w14:paraId="07B49A0E" w14:textId="77777777" w:rsidR="00A95234" w:rsidRDefault="00A95234" w:rsidP="00A95234">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3686CB13" w14:textId="77777777" w:rsidR="00A95234" w:rsidRDefault="00A95234" w:rsidP="00A95234">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6C297662" w14:textId="77777777" w:rsidR="00A95234" w:rsidRDefault="00A95234" w:rsidP="00A95234">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0DAF8FAE" w14:textId="77777777" w:rsidR="00A95234" w:rsidRDefault="00A95234" w:rsidP="00A95234">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2327C647" w14:textId="77777777" w:rsidR="00A95234" w:rsidRDefault="00A95234" w:rsidP="00A95234">
            <w:pPr>
              <w:pStyle w:val="ListParagraph"/>
              <w:numPr>
                <w:ilvl w:val="0"/>
                <w:numId w:val="41"/>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47EE50E2" w14:textId="77777777" w:rsidR="00A95234" w:rsidRDefault="00A95234" w:rsidP="00A95234">
            <w:pPr>
              <w:pStyle w:val="ListParagraph"/>
              <w:autoSpaceDE w:val="0"/>
              <w:autoSpaceDN w:val="0"/>
              <w:adjustRightInd w:val="0"/>
              <w:ind w:left="360"/>
              <w:rPr>
                <w:rFonts w:eastAsia="HelveticaNeueLTPro-Cn" w:cs="Arial"/>
                <w:szCs w:val="20"/>
              </w:rPr>
            </w:pPr>
          </w:p>
          <w:p w14:paraId="1CA1C5B2" w14:textId="77777777" w:rsidR="00A95234" w:rsidRDefault="00A95234" w:rsidP="00A95234">
            <w:pPr>
              <w:jc w:val="both"/>
              <w:rPr>
                <w:rFonts w:cs="Arial"/>
                <w:szCs w:val="20"/>
              </w:rPr>
            </w:pPr>
            <w:r>
              <w:rPr>
                <w:rFonts w:cs="Arial"/>
                <w:b/>
                <w:bCs/>
                <w:szCs w:val="20"/>
              </w:rPr>
              <w:t>Acceptable ranges:</w:t>
            </w:r>
            <w:r>
              <w:rPr>
                <w:rFonts w:cs="Arial"/>
                <w:szCs w:val="20"/>
              </w:rPr>
              <w:t xml:space="preserve"> </w:t>
            </w:r>
          </w:p>
          <w:p w14:paraId="0529FE1B" w14:textId="77777777" w:rsidR="00A95234" w:rsidRDefault="00A95234" w:rsidP="00A95234">
            <w:pPr>
              <w:pStyle w:val="ListParagraph"/>
              <w:numPr>
                <w:ilvl w:val="0"/>
                <w:numId w:val="42"/>
              </w:numPr>
              <w:jc w:val="both"/>
              <w:rPr>
                <w:rFonts w:cs="Arial"/>
                <w:szCs w:val="20"/>
              </w:rPr>
            </w:pPr>
            <w:r>
              <w:rPr>
                <w:rFonts w:cs="Arial"/>
                <w:szCs w:val="20"/>
              </w:rPr>
              <w:t xml:space="preserve">Non-Bio-Rad controls will utilize manufacturer ranges and 2 SD Westgard rules.  </w:t>
            </w:r>
          </w:p>
          <w:p w14:paraId="37060D61" w14:textId="77777777" w:rsidR="00A95234" w:rsidRDefault="00A95234" w:rsidP="00A95234">
            <w:pPr>
              <w:pStyle w:val="ListParagraph"/>
              <w:numPr>
                <w:ilvl w:val="0"/>
                <w:numId w:val="42"/>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7E3C0539" w14:textId="5571DBB4" w:rsidR="00A95234" w:rsidRDefault="00A95234" w:rsidP="00A95234">
            <w:pPr>
              <w:pStyle w:val="ListParagraph"/>
              <w:numPr>
                <w:ilvl w:val="0"/>
                <w:numId w:val="42"/>
              </w:numPr>
              <w:jc w:val="both"/>
              <w:rPr>
                <w:rFonts w:cs="Arial"/>
                <w:szCs w:val="20"/>
              </w:rPr>
            </w:pPr>
            <w:r>
              <w:rPr>
                <w:rFonts w:cs="Arial"/>
                <w:szCs w:val="20"/>
              </w:rPr>
              <w:t xml:space="preserve">Refer to the Westgard Rules in Chemistry procedure for current Westgard rules in place for each analyte.  </w:t>
            </w:r>
          </w:p>
          <w:p w14:paraId="5FA14461" w14:textId="77777777" w:rsidR="00A95234" w:rsidRDefault="00A95234" w:rsidP="00A95234">
            <w:pPr>
              <w:numPr>
                <w:ilvl w:val="0"/>
                <w:numId w:val="42"/>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48C93400" w14:textId="77777777" w:rsidR="00A95234" w:rsidRDefault="00A95234" w:rsidP="00A95234">
            <w:pPr>
              <w:numPr>
                <w:ilvl w:val="0"/>
                <w:numId w:val="42"/>
              </w:numPr>
              <w:autoSpaceDE w:val="0"/>
              <w:autoSpaceDN w:val="0"/>
              <w:adjustRightInd w:val="0"/>
              <w:jc w:val="both"/>
              <w:rPr>
                <w:rFonts w:cs="Arial"/>
                <w:color w:val="000000"/>
                <w:szCs w:val="20"/>
              </w:rPr>
            </w:pPr>
            <w:r>
              <w:rPr>
                <w:rFonts w:cs="Arial"/>
                <w:szCs w:val="20"/>
              </w:rPr>
              <w:t xml:space="preserve">In the event of a QC failure, refer to the </w:t>
            </w:r>
            <w:hyperlink r:id="rId13" w:history="1">
              <w:r>
                <w:rPr>
                  <w:rStyle w:val="Hyperlink"/>
                  <w:rFonts w:cs="Arial"/>
                  <w:szCs w:val="20"/>
                </w:rPr>
                <w:t>Unity Real Time QC Review, General User</w:t>
              </w:r>
            </w:hyperlink>
            <w:r>
              <w:rPr>
                <w:rFonts w:cs="Arial"/>
                <w:szCs w:val="20"/>
              </w:rPr>
              <w:t xml:space="preserve"> and navigate to the QC Troubleshooting section.</w:t>
            </w:r>
          </w:p>
          <w:p w14:paraId="69DCBA04" w14:textId="77777777" w:rsidR="00A95234" w:rsidRDefault="00A95234" w:rsidP="00A95234">
            <w:pPr>
              <w:numPr>
                <w:ilvl w:val="0"/>
                <w:numId w:val="42"/>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6961BC0" w14:textId="77777777" w:rsidR="00316AC9" w:rsidRPr="00234207" w:rsidRDefault="00316AC9" w:rsidP="00316AC9">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316AC9" w:rsidRPr="006A26B2" w14:paraId="489D6987" w14:textId="77777777" w:rsidTr="00817F9E">
              <w:tc>
                <w:tcPr>
                  <w:tcW w:w="472" w:type="dxa"/>
                </w:tcPr>
                <w:p w14:paraId="57B37362" w14:textId="77777777" w:rsidR="00316AC9" w:rsidRPr="006A26B2" w:rsidRDefault="00316AC9" w:rsidP="00316AC9">
                  <w:pPr>
                    <w:autoSpaceDE w:val="0"/>
                    <w:autoSpaceDN w:val="0"/>
                    <w:adjustRightInd w:val="0"/>
                    <w:jc w:val="both"/>
                    <w:rPr>
                      <w:rFonts w:cs="Arial"/>
                      <w:b/>
                      <w:szCs w:val="20"/>
                    </w:rPr>
                  </w:pPr>
                  <w:r w:rsidRPr="006A26B2">
                    <w:rPr>
                      <w:rFonts w:cs="Arial"/>
                      <w:b/>
                      <w:szCs w:val="20"/>
                    </w:rPr>
                    <w:t>H</w:t>
                  </w:r>
                </w:p>
              </w:tc>
              <w:tc>
                <w:tcPr>
                  <w:tcW w:w="394" w:type="dxa"/>
                </w:tcPr>
                <w:p w14:paraId="1A5E6041" w14:textId="77777777" w:rsidR="00316AC9" w:rsidRPr="006A26B2" w:rsidRDefault="00316AC9" w:rsidP="00316AC9">
                  <w:pPr>
                    <w:autoSpaceDE w:val="0"/>
                    <w:autoSpaceDN w:val="0"/>
                    <w:adjustRightInd w:val="0"/>
                    <w:jc w:val="both"/>
                    <w:rPr>
                      <w:rFonts w:cs="Arial"/>
                      <w:b/>
                      <w:szCs w:val="20"/>
                    </w:rPr>
                  </w:pPr>
                  <w:r w:rsidRPr="006A26B2">
                    <w:rPr>
                      <w:rFonts w:cs="Arial"/>
                      <w:b/>
                      <w:szCs w:val="20"/>
                    </w:rPr>
                    <w:t>I</w:t>
                  </w:r>
                </w:p>
              </w:tc>
              <w:tc>
                <w:tcPr>
                  <w:tcW w:w="443" w:type="dxa"/>
                </w:tcPr>
                <w:p w14:paraId="319F5570" w14:textId="77777777" w:rsidR="00316AC9" w:rsidRPr="006A26B2" w:rsidRDefault="00316AC9" w:rsidP="00316AC9">
                  <w:pPr>
                    <w:autoSpaceDE w:val="0"/>
                    <w:autoSpaceDN w:val="0"/>
                    <w:adjustRightInd w:val="0"/>
                    <w:jc w:val="both"/>
                    <w:rPr>
                      <w:rFonts w:cs="Arial"/>
                      <w:b/>
                      <w:szCs w:val="20"/>
                    </w:rPr>
                  </w:pPr>
                  <w:r w:rsidRPr="006A26B2">
                    <w:rPr>
                      <w:rFonts w:cs="Arial"/>
                      <w:b/>
                      <w:szCs w:val="20"/>
                    </w:rPr>
                    <w:t>L</w:t>
                  </w:r>
                </w:p>
              </w:tc>
            </w:tr>
            <w:tr w:rsidR="00316AC9" w:rsidRPr="006A26B2" w14:paraId="293413F3" w14:textId="77777777" w:rsidTr="00817F9E">
              <w:tc>
                <w:tcPr>
                  <w:tcW w:w="472" w:type="dxa"/>
                </w:tcPr>
                <w:p w14:paraId="59E63097" w14:textId="77777777" w:rsidR="00316AC9" w:rsidRPr="006A26B2" w:rsidRDefault="00316AC9" w:rsidP="00316AC9">
                  <w:pPr>
                    <w:autoSpaceDE w:val="0"/>
                    <w:autoSpaceDN w:val="0"/>
                    <w:adjustRightInd w:val="0"/>
                    <w:jc w:val="both"/>
                    <w:rPr>
                      <w:rFonts w:cs="Arial"/>
                      <w:b/>
                      <w:szCs w:val="20"/>
                    </w:rPr>
                  </w:pPr>
                  <w:r>
                    <w:rPr>
                      <w:rFonts w:cs="Arial"/>
                      <w:b/>
                      <w:szCs w:val="20"/>
                    </w:rPr>
                    <w:t>-</w:t>
                  </w:r>
                </w:p>
              </w:tc>
              <w:tc>
                <w:tcPr>
                  <w:tcW w:w="394" w:type="dxa"/>
                </w:tcPr>
                <w:p w14:paraId="6EE2F4CF" w14:textId="77777777" w:rsidR="00316AC9" w:rsidRPr="006A26B2" w:rsidRDefault="00316AC9" w:rsidP="00316AC9">
                  <w:pPr>
                    <w:autoSpaceDE w:val="0"/>
                    <w:autoSpaceDN w:val="0"/>
                    <w:adjustRightInd w:val="0"/>
                    <w:jc w:val="both"/>
                    <w:rPr>
                      <w:rFonts w:cs="Arial"/>
                      <w:b/>
                      <w:szCs w:val="20"/>
                    </w:rPr>
                  </w:pPr>
                  <w:r>
                    <w:rPr>
                      <w:rFonts w:cs="Arial"/>
                      <w:b/>
                      <w:szCs w:val="20"/>
                    </w:rPr>
                    <w:t>-</w:t>
                  </w:r>
                </w:p>
              </w:tc>
              <w:tc>
                <w:tcPr>
                  <w:tcW w:w="443" w:type="dxa"/>
                </w:tcPr>
                <w:p w14:paraId="13D68EE1" w14:textId="77777777" w:rsidR="00316AC9" w:rsidRPr="006A26B2" w:rsidRDefault="00316AC9" w:rsidP="00316AC9">
                  <w:pPr>
                    <w:autoSpaceDE w:val="0"/>
                    <w:autoSpaceDN w:val="0"/>
                    <w:adjustRightInd w:val="0"/>
                    <w:jc w:val="both"/>
                    <w:rPr>
                      <w:rFonts w:cs="Arial"/>
                      <w:b/>
                      <w:szCs w:val="20"/>
                    </w:rPr>
                  </w:pPr>
                  <w:r>
                    <w:rPr>
                      <w:rFonts w:cs="Arial"/>
                      <w:b/>
                      <w:szCs w:val="20"/>
                    </w:rPr>
                    <w:t>-</w:t>
                  </w:r>
                </w:p>
              </w:tc>
            </w:tr>
          </w:tbl>
          <w:p w14:paraId="4DEE0C52" w14:textId="77777777" w:rsidR="00316AC9" w:rsidRPr="00DC7421" w:rsidRDefault="00316AC9" w:rsidP="00316AC9">
            <w:pPr>
              <w:autoSpaceDE w:val="0"/>
              <w:autoSpaceDN w:val="0"/>
              <w:adjustRightInd w:val="0"/>
              <w:rPr>
                <w:rFonts w:cs="Arial"/>
                <w:b/>
                <w:bCs/>
                <w:color w:val="5F497A"/>
                <w:szCs w:val="20"/>
              </w:rPr>
            </w:pPr>
          </w:p>
          <w:p w14:paraId="405B84B9" w14:textId="77777777" w:rsidR="00316AC9" w:rsidRDefault="00316AC9" w:rsidP="00316AC9">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11FF8C5E" w14:textId="77777777" w:rsidR="00316AC9" w:rsidRDefault="00316AC9" w:rsidP="00316AC9">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3B8BFDA" w14:textId="77777777" w:rsidR="00316AC9" w:rsidRDefault="00316AC9" w:rsidP="00316AC9">
            <w:pPr>
              <w:autoSpaceDE w:val="0"/>
              <w:autoSpaceDN w:val="0"/>
              <w:adjustRightInd w:val="0"/>
              <w:rPr>
                <w:rFonts w:eastAsia="HelenPro-Regular" w:cs="Arial"/>
                <w:szCs w:val="20"/>
              </w:rPr>
            </w:pPr>
            <w:r>
              <w:rPr>
                <w:rFonts w:eastAsia="HelenPro-Regular" w:cs="Arial"/>
                <w:szCs w:val="20"/>
              </w:rPr>
              <w:t>-BIN for “Bilirubin Interference”</w:t>
            </w:r>
          </w:p>
          <w:p w14:paraId="4B85FE7B" w14:textId="6E80A1DA" w:rsidR="00847B1A" w:rsidRDefault="00316AC9" w:rsidP="00847B1A">
            <w:pPr>
              <w:autoSpaceDE w:val="0"/>
              <w:autoSpaceDN w:val="0"/>
              <w:adjustRightInd w:val="0"/>
              <w:rPr>
                <w:rFonts w:eastAsia="HelenPro-Regular" w:cs="Arial"/>
                <w:szCs w:val="20"/>
              </w:rPr>
            </w:pPr>
            <w:r>
              <w:rPr>
                <w:rFonts w:eastAsia="HelenPro-Regular" w:cs="Arial"/>
                <w:szCs w:val="20"/>
              </w:rPr>
              <w:t>-LINT for “Lipid Interference”</w:t>
            </w:r>
          </w:p>
          <w:p w14:paraId="3339B7AC" w14:textId="77777777" w:rsidR="00847B1A" w:rsidRDefault="00847B1A" w:rsidP="00847B1A">
            <w:pPr>
              <w:autoSpaceDE w:val="0"/>
              <w:autoSpaceDN w:val="0"/>
              <w:adjustRightInd w:val="0"/>
              <w:rPr>
                <w:rFonts w:eastAsia="HelenPro-Regular" w:cs="Arial"/>
                <w:szCs w:val="20"/>
              </w:rPr>
            </w:pPr>
          </w:p>
          <w:p w14:paraId="57CE1AFC" w14:textId="2B443455" w:rsidR="00847B1A" w:rsidRDefault="00847B1A" w:rsidP="00847B1A">
            <w:pPr>
              <w:autoSpaceDE w:val="0"/>
              <w:autoSpaceDN w:val="0"/>
              <w:adjustRightInd w:val="0"/>
              <w:rPr>
                <w:rFonts w:eastAsia="HelenPro-Regular" w:cs="Arial"/>
                <w:szCs w:val="20"/>
              </w:rPr>
            </w:pPr>
            <w:r>
              <w:rPr>
                <w:rFonts w:eastAsia="HelenPro-Regular" w:cs="Arial"/>
                <w:szCs w:val="20"/>
              </w:rPr>
              <w:t xml:space="preserve">You and </w:t>
            </w:r>
            <w:proofErr w:type="spellStart"/>
            <w:r>
              <w:rPr>
                <w:rFonts w:eastAsia="HelenPro-Regular" w:cs="Arial"/>
                <w:szCs w:val="20"/>
              </w:rPr>
              <w:t>Bittikofer</w:t>
            </w:r>
            <w:proofErr w:type="spellEnd"/>
            <w:r>
              <w:rPr>
                <w:rFonts w:eastAsia="HelenPro-Regular" w:cs="Arial"/>
                <w:szCs w:val="20"/>
              </w:rPr>
              <w:t xml:space="preserve"> </w:t>
            </w:r>
            <w:r w:rsidRPr="00847B1A">
              <w:rPr>
                <w:rFonts w:eastAsia="HelenPro-Regular" w:cs="Arial"/>
                <w:szCs w:val="20"/>
              </w:rPr>
              <w:t>tested 61 commonly administered drugs for</w:t>
            </w:r>
            <w:r>
              <w:rPr>
                <w:rFonts w:eastAsia="HelenPro-Regular" w:cs="Arial"/>
                <w:szCs w:val="20"/>
              </w:rPr>
              <w:t xml:space="preserve"> </w:t>
            </w:r>
            <w:r w:rsidRPr="00847B1A">
              <w:rPr>
                <w:rFonts w:eastAsia="HelenPro-Regular" w:cs="Arial"/>
                <w:szCs w:val="20"/>
              </w:rPr>
              <w:t>potential interference in an evaluation of another assay using the</w:t>
            </w:r>
            <w:r>
              <w:rPr>
                <w:rFonts w:eastAsia="HelenPro-Regular" w:cs="Arial"/>
                <w:szCs w:val="20"/>
              </w:rPr>
              <w:t xml:space="preserve"> </w:t>
            </w:r>
            <w:r w:rsidRPr="00847B1A">
              <w:rPr>
                <w:rFonts w:eastAsia="HelenPro-Regular" w:cs="Arial"/>
                <w:szCs w:val="20"/>
              </w:rPr>
              <w:t>same enzymatic methodology. None of the evaluated drugs interfered</w:t>
            </w:r>
            <w:r>
              <w:rPr>
                <w:rFonts w:eastAsia="HelenPro-Regular" w:cs="Arial"/>
                <w:szCs w:val="20"/>
              </w:rPr>
              <w:t xml:space="preserve"> </w:t>
            </w:r>
            <w:r w:rsidRPr="00847B1A">
              <w:rPr>
                <w:rFonts w:eastAsia="HelenPro-Regular" w:cs="Arial"/>
                <w:szCs w:val="20"/>
              </w:rPr>
              <w:t>with the measurement of salicylate.</w:t>
            </w:r>
            <w:r>
              <w:rPr>
                <w:rFonts w:eastAsia="HelenPro-Regular" w:cs="Arial"/>
                <w:szCs w:val="20"/>
              </w:rPr>
              <w:t xml:space="preserve">  Se exceptions below and Instructions for Use for more information.</w:t>
            </w:r>
          </w:p>
          <w:p w14:paraId="18EE19E1" w14:textId="77777777" w:rsidR="00847B1A" w:rsidRDefault="00847B1A" w:rsidP="00847B1A">
            <w:pPr>
              <w:autoSpaceDE w:val="0"/>
              <w:autoSpaceDN w:val="0"/>
              <w:adjustRightInd w:val="0"/>
              <w:rPr>
                <w:rFonts w:eastAsia="HelenPro-Regular" w:cs="Arial"/>
                <w:szCs w:val="20"/>
              </w:rPr>
            </w:pPr>
          </w:p>
          <w:p w14:paraId="3379B015" w14:textId="77777777" w:rsidR="00847B1A" w:rsidRDefault="00847B1A" w:rsidP="00847B1A">
            <w:pPr>
              <w:pStyle w:val="ListParagraph"/>
              <w:numPr>
                <w:ilvl w:val="0"/>
                <w:numId w:val="43"/>
              </w:numPr>
              <w:autoSpaceDE w:val="0"/>
              <w:autoSpaceDN w:val="0"/>
              <w:adjustRightInd w:val="0"/>
              <w:rPr>
                <w:rFonts w:cs="Arial"/>
                <w:bCs/>
                <w:szCs w:val="20"/>
              </w:rPr>
            </w:pPr>
            <w:proofErr w:type="spellStart"/>
            <w:r w:rsidRPr="00847B1A">
              <w:rPr>
                <w:rFonts w:cs="Arial"/>
                <w:bCs/>
                <w:szCs w:val="20"/>
              </w:rPr>
              <w:t>Sulfapyridine</w:t>
            </w:r>
            <w:proofErr w:type="spellEnd"/>
            <w:r w:rsidRPr="00847B1A">
              <w:rPr>
                <w:rFonts w:cs="Arial"/>
                <w:bCs/>
                <w:szCs w:val="20"/>
              </w:rPr>
              <w:t xml:space="preserve"> at elevated levels (300 mg/L) may lead to falsely low results.</w:t>
            </w:r>
          </w:p>
          <w:p w14:paraId="5E64F3AA" w14:textId="77777777" w:rsidR="00847B1A" w:rsidRPr="00847B1A" w:rsidRDefault="00847B1A" w:rsidP="00847B1A">
            <w:pPr>
              <w:pStyle w:val="ListParagraph"/>
              <w:autoSpaceDE w:val="0"/>
              <w:autoSpaceDN w:val="0"/>
              <w:adjustRightInd w:val="0"/>
              <w:ind w:left="360"/>
              <w:rPr>
                <w:rFonts w:cs="Arial"/>
                <w:bCs/>
                <w:szCs w:val="20"/>
              </w:rPr>
            </w:pPr>
          </w:p>
          <w:p w14:paraId="61E49906" w14:textId="77777777" w:rsidR="00847B1A" w:rsidRDefault="00847B1A" w:rsidP="00847B1A">
            <w:pPr>
              <w:pStyle w:val="ListParagraph"/>
              <w:numPr>
                <w:ilvl w:val="0"/>
                <w:numId w:val="43"/>
              </w:numPr>
              <w:autoSpaceDE w:val="0"/>
              <w:autoSpaceDN w:val="0"/>
              <w:adjustRightInd w:val="0"/>
              <w:rPr>
                <w:rFonts w:cs="Arial"/>
                <w:bCs/>
                <w:szCs w:val="20"/>
              </w:rPr>
            </w:pPr>
            <w:r w:rsidRPr="00847B1A">
              <w:rPr>
                <w:rFonts w:cs="Arial"/>
                <w:bCs/>
                <w:szCs w:val="20"/>
              </w:rPr>
              <w:t>Sulfasalazine at elevated levels (300 mg/L) may lead to falsely high results.</w:t>
            </w:r>
          </w:p>
          <w:p w14:paraId="5CD00011" w14:textId="3E0BCE45" w:rsidR="00847B1A" w:rsidRPr="00847B1A" w:rsidRDefault="00847B1A" w:rsidP="00847B1A">
            <w:pPr>
              <w:autoSpaceDE w:val="0"/>
              <w:autoSpaceDN w:val="0"/>
              <w:adjustRightInd w:val="0"/>
              <w:rPr>
                <w:rFonts w:eastAsia="HelenPro-Regular"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11BB0EE3" w14:textId="729869DB" w:rsidR="00316AC9" w:rsidRDefault="00316AC9" w:rsidP="0039587D">
            <w:pPr>
              <w:rPr>
                <w:rFonts w:cs="Arial"/>
                <w:szCs w:val="20"/>
              </w:rPr>
            </w:pPr>
            <w:r w:rsidRPr="00316AC9">
              <w:rPr>
                <w:rFonts w:cs="Arial"/>
                <w:szCs w:val="20"/>
              </w:rPr>
              <w:t xml:space="preserve">Therapeutic 15 </w:t>
            </w:r>
            <w:r>
              <w:rPr>
                <w:rFonts w:cs="Arial"/>
                <w:szCs w:val="20"/>
              </w:rPr>
              <w:t>–</w:t>
            </w:r>
            <w:r w:rsidRPr="00316AC9">
              <w:rPr>
                <w:rFonts w:cs="Arial"/>
                <w:szCs w:val="20"/>
              </w:rPr>
              <w:t xml:space="preserve"> 30</w:t>
            </w:r>
            <w:r>
              <w:rPr>
                <w:rFonts w:cs="Arial"/>
                <w:szCs w:val="20"/>
              </w:rPr>
              <w:t xml:space="preserve"> mg/dL</w:t>
            </w:r>
            <w:r w:rsidRPr="00316AC9">
              <w:rPr>
                <w:rFonts w:cs="Arial"/>
                <w:szCs w:val="20"/>
              </w:rPr>
              <w:t xml:space="preserve"> </w:t>
            </w:r>
          </w:p>
          <w:p w14:paraId="5FF7DA33" w14:textId="3A9D4520" w:rsidR="00316AC9" w:rsidRDefault="00316AC9" w:rsidP="0039587D">
            <w:pPr>
              <w:rPr>
                <w:rFonts w:cs="Arial"/>
                <w:szCs w:val="20"/>
              </w:rPr>
            </w:pPr>
            <w:r>
              <w:rPr>
                <w:rFonts w:cs="Arial"/>
                <w:szCs w:val="20"/>
              </w:rPr>
              <w:t>Toxic Levels &gt; 30 mg/dL</w:t>
            </w:r>
            <w:r w:rsidRPr="00316AC9">
              <w:rPr>
                <w:rFonts w:cs="Arial"/>
                <w:szCs w:val="20"/>
              </w:rPr>
              <w:t xml:space="preserve"> </w:t>
            </w:r>
          </w:p>
          <w:p w14:paraId="2DE15D8A" w14:textId="77777777" w:rsidR="0039587D" w:rsidRDefault="00316AC9" w:rsidP="0039587D">
            <w:pPr>
              <w:rPr>
                <w:rFonts w:cs="Arial"/>
                <w:szCs w:val="20"/>
              </w:rPr>
            </w:pPr>
            <w:r w:rsidRPr="00316AC9">
              <w:rPr>
                <w:rFonts w:cs="Arial"/>
                <w:szCs w:val="20"/>
              </w:rPr>
              <w:t>Lethal &gt; 70</w:t>
            </w:r>
            <w:r>
              <w:rPr>
                <w:rFonts w:cs="Arial"/>
                <w:szCs w:val="20"/>
              </w:rPr>
              <w:t xml:space="preserve"> mg/dL</w:t>
            </w:r>
          </w:p>
          <w:p w14:paraId="5CD00018" w14:textId="7756FD1F" w:rsidR="00847B1A" w:rsidRPr="00DC7421" w:rsidRDefault="00847B1A" w:rsidP="0039587D">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3008BA6E" w14:textId="77777777" w:rsidR="00E3253B" w:rsidRPr="00316AC9" w:rsidRDefault="00316AC9" w:rsidP="001C641E">
            <w:pPr>
              <w:pStyle w:val="Header"/>
              <w:tabs>
                <w:tab w:val="clear" w:pos="4320"/>
                <w:tab w:val="clear" w:pos="8640"/>
              </w:tabs>
              <w:rPr>
                <w:rFonts w:cs="Arial"/>
                <w:b/>
                <w:szCs w:val="20"/>
              </w:rPr>
            </w:pPr>
            <w:r w:rsidRPr="00316AC9">
              <w:rPr>
                <w:rFonts w:cs="Arial"/>
                <w:b/>
                <w:szCs w:val="20"/>
              </w:rPr>
              <w:t>&gt;30 mg/dL</w:t>
            </w:r>
          </w:p>
          <w:p w14:paraId="5CD0001B" w14:textId="3CA64044" w:rsidR="00316AC9" w:rsidRPr="00DC7421" w:rsidRDefault="00316AC9" w:rsidP="001C641E">
            <w:pPr>
              <w:pStyle w:val="Header"/>
              <w:tabs>
                <w:tab w:val="clear" w:pos="4320"/>
                <w:tab w:val="clear" w:pos="8640"/>
              </w:tabs>
              <w:rPr>
                <w:rFonts w:cs="Arial"/>
                <w:szCs w:val="20"/>
              </w:rPr>
            </w:pPr>
            <w:r>
              <w:rPr>
                <w:rFonts w:cs="Arial"/>
                <w:szCs w:val="20"/>
              </w:rPr>
              <w:t>Critical Values must be documented and called according to the critical values policy.</w:t>
            </w:r>
          </w:p>
        </w:tc>
      </w:tr>
      <w:tr w:rsidR="00E3253B" w14:paraId="5CD00022" w14:textId="77777777" w:rsidTr="007132A9">
        <w:trPr>
          <w:tblHeader/>
        </w:trPr>
        <w:tc>
          <w:tcPr>
            <w:tcW w:w="1800" w:type="dxa"/>
            <w:tcBorders>
              <w:top w:val="nil"/>
              <w:left w:val="nil"/>
              <w:bottom w:val="nil"/>
              <w:right w:val="nil"/>
            </w:tcBorders>
          </w:tcPr>
          <w:p w14:paraId="5CD0001D" w14:textId="59E4E15B"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1FFDAACD" w14:textId="0E8A58F2" w:rsidR="00847B1A" w:rsidRDefault="00847B1A" w:rsidP="00847B1A">
            <w:pPr>
              <w:pStyle w:val="ListParagraph"/>
              <w:numPr>
                <w:ilvl w:val="0"/>
                <w:numId w:val="43"/>
              </w:numPr>
              <w:autoSpaceDE w:val="0"/>
              <w:autoSpaceDN w:val="0"/>
              <w:adjustRightInd w:val="0"/>
              <w:rPr>
                <w:rFonts w:cs="Arial"/>
                <w:bCs/>
                <w:szCs w:val="20"/>
              </w:rPr>
            </w:pPr>
            <w:proofErr w:type="spellStart"/>
            <w:r w:rsidRPr="00847B1A">
              <w:rPr>
                <w:rFonts w:cs="Arial"/>
                <w:bCs/>
                <w:szCs w:val="20"/>
              </w:rPr>
              <w:t>Sulfapyridine</w:t>
            </w:r>
            <w:proofErr w:type="spellEnd"/>
            <w:r w:rsidRPr="00847B1A">
              <w:rPr>
                <w:rFonts w:cs="Arial"/>
                <w:bCs/>
                <w:szCs w:val="20"/>
              </w:rPr>
              <w:t xml:space="preserve"> at elevated levels (300 mg/L) may lead to falsely low results.</w:t>
            </w:r>
          </w:p>
          <w:p w14:paraId="7C79A1A6" w14:textId="77777777" w:rsidR="00847B1A" w:rsidRPr="00847B1A" w:rsidRDefault="00847B1A" w:rsidP="00847B1A">
            <w:pPr>
              <w:pStyle w:val="ListParagraph"/>
              <w:autoSpaceDE w:val="0"/>
              <w:autoSpaceDN w:val="0"/>
              <w:adjustRightInd w:val="0"/>
              <w:ind w:left="360"/>
              <w:rPr>
                <w:rFonts w:cs="Arial"/>
                <w:bCs/>
                <w:szCs w:val="20"/>
              </w:rPr>
            </w:pPr>
          </w:p>
          <w:p w14:paraId="613B4F1E" w14:textId="77777777" w:rsidR="00DC7421" w:rsidRDefault="00847B1A" w:rsidP="00847B1A">
            <w:pPr>
              <w:pStyle w:val="ListParagraph"/>
              <w:numPr>
                <w:ilvl w:val="0"/>
                <w:numId w:val="43"/>
              </w:numPr>
              <w:autoSpaceDE w:val="0"/>
              <w:autoSpaceDN w:val="0"/>
              <w:adjustRightInd w:val="0"/>
              <w:rPr>
                <w:rFonts w:cs="Arial"/>
                <w:bCs/>
                <w:szCs w:val="20"/>
              </w:rPr>
            </w:pPr>
            <w:r w:rsidRPr="00847B1A">
              <w:rPr>
                <w:rFonts w:cs="Arial"/>
                <w:bCs/>
                <w:szCs w:val="20"/>
              </w:rPr>
              <w:t>Sulfasalazine at elevated levels (300 mg/L) may lead to falsely high results.</w:t>
            </w:r>
          </w:p>
          <w:p w14:paraId="4AC4F66E" w14:textId="77777777" w:rsidR="00847B1A" w:rsidRPr="00847B1A" w:rsidRDefault="00847B1A" w:rsidP="00847B1A">
            <w:pPr>
              <w:pStyle w:val="ListParagraph"/>
              <w:rPr>
                <w:rFonts w:cs="Arial"/>
                <w:bCs/>
                <w:szCs w:val="20"/>
              </w:rPr>
            </w:pPr>
          </w:p>
          <w:p w14:paraId="40C7C45D" w14:textId="41EDECAB" w:rsidR="00847B1A" w:rsidRPr="00847B1A" w:rsidRDefault="00847B1A" w:rsidP="00772CC3">
            <w:pPr>
              <w:pStyle w:val="ListParagraph"/>
              <w:numPr>
                <w:ilvl w:val="0"/>
                <w:numId w:val="43"/>
              </w:numPr>
              <w:autoSpaceDE w:val="0"/>
              <w:autoSpaceDN w:val="0"/>
              <w:adjustRightInd w:val="0"/>
              <w:rPr>
                <w:rFonts w:cs="Arial"/>
                <w:bCs/>
                <w:szCs w:val="20"/>
              </w:rPr>
            </w:pPr>
            <w:r w:rsidRPr="00847B1A">
              <w:rPr>
                <w:rFonts w:cs="Arial"/>
                <w:bCs/>
                <w:szCs w:val="20"/>
              </w:rPr>
              <w:t xml:space="preserve">Salicylate blood levels do not correlate well with degree of toxicity in chronic </w:t>
            </w:r>
            <w:proofErr w:type="spellStart"/>
            <w:r w:rsidRPr="00847B1A">
              <w:rPr>
                <w:rFonts w:cs="Arial"/>
                <w:bCs/>
                <w:szCs w:val="20"/>
              </w:rPr>
              <w:t>salicylism</w:t>
            </w:r>
            <w:proofErr w:type="spellEnd"/>
            <w:r w:rsidRPr="00847B1A">
              <w:rPr>
                <w:rFonts w:cs="Arial"/>
                <w:bCs/>
                <w:szCs w:val="20"/>
              </w:rPr>
              <w:t>. Other drugs may displace protein-bound salicylate leading to increased toxicity. Salicylate doses in patients on chronic therapy may approach toxic levels. Salicylate levels in such patients</w:t>
            </w:r>
            <w:r>
              <w:rPr>
                <w:rFonts w:cs="Arial"/>
                <w:bCs/>
                <w:szCs w:val="20"/>
              </w:rPr>
              <w:t xml:space="preserve"> </w:t>
            </w:r>
            <w:r w:rsidRPr="00847B1A">
              <w:rPr>
                <w:rFonts w:cs="Arial"/>
                <w:bCs/>
                <w:szCs w:val="20"/>
              </w:rPr>
              <w:t>are best performed just prior to the next dose.</w:t>
            </w:r>
          </w:p>
          <w:p w14:paraId="5CD00021" w14:textId="75186D27" w:rsidR="00847B1A" w:rsidRPr="00847B1A" w:rsidRDefault="00847B1A" w:rsidP="00847B1A">
            <w:pPr>
              <w:pStyle w:val="ListParagraph"/>
              <w:autoSpaceDE w:val="0"/>
              <w:autoSpaceDN w:val="0"/>
              <w:adjustRightInd w:val="0"/>
              <w:ind w:left="36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7B6878D4" w14:textId="77777777" w:rsidR="00F83DB0" w:rsidRDefault="00F83DB0" w:rsidP="0039587D">
            <w:pPr>
              <w:rPr>
                <w:rFonts w:cs="Arial"/>
                <w:b/>
                <w:bCs/>
                <w:color w:val="0000FF"/>
                <w:szCs w:val="20"/>
              </w:rPr>
            </w:pPr>
          </w:p>
          <w:p w14:paraId="3CAD869B" w14:textId="71203399" w:rsidR="00847B1A" w:rsidRPr="00C00B65" w:rsidRDefault="00847B1A" w:rsidP="0039587D">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7A3A53DD" w:rsidR="00F83DB0" w:rsidRPr="00847B1A" w:rsidRDefault="007B3B5B" w:rsidP="00F83DB0">
                  <w:pPr>
                    <w:autoSpaceDE w:val="0"/>
                    <w:autoSpaceDN w:val="0"/>
                    <w:adjustRightInd w:val="0"/>
                    <w:rPr>
                      <w:rFonts w:cs="Arial"/>
                      <w:szCs w:val="20"/>
                    </w:rPr>
                  </w:pPr>
                  <w:r w:rsidRPr="00847B1A">
                    <w:rPr>
                      <w:rFonts w:cs="Arial"/>
                      <w:szCs w:val="20"/>
                    </w:rPr>
                    <w:t>1:5</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1D8BAE05" w:rsidR="00F83DB0" w:rsidRPr="00847B1A" w:rsidRDefault="00A23086" w:rsidP="00847B1A">
                  <w:pPr>
                    <w:autoSpaceDE w:val="0"/>
                    <w:autoSpaceDN w:val="0"/>
                    <w:adjustRightInd w:val="0"/>
                    <w:rPr>
                      <w:rFonts w:cs="Arial"/>
                      <w:szCs w:val="20"/>
                    </w:rPr>
                  </w:pPr>
                  <w:r w:rsidRPr="00847B1A">
                    <w:rPr>
                      <w:rFonts w:cs="Arial"/>
                      <w:szCs w:val="20"/>
                    </w:rPr>
                    <w:t>N</w:t>
                  </w:r>
                  <w:r w:rsidR="00847B1A">
                    <w:rPr>
                      <w:rFonts w:cs="Arial"/>
                      <w:szCs w:val="20"/>
                    </w:rPr>
                    <w:t>one</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619A6C9" w:rsidR="00F83DB0" w:rsidRPr="00847B1A" w:rsidRDefault="00847B1A"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71F04DC8" w:rsidR="00F83DB0" w:rsidRPr="00EC40A2" w:rsidRDefault="00F83DB0" w:rsidP="00F83DB0">
                  <w:pPr>
                    <w:rPr>
                      <w:rFonts w:cs="Arial"/>
                      <w:szCs w:val="20"/>
                    </w:rPr>
                  </w:pPr>
                </w:p>
              </w:tc>
              <w:tc>
                <w:tcPr>
                  <w:tcW w:w="7200" w:type="dxa"/>
                </w:tcPr>
                <w:p w14:paraId="3AB4E9ED" w14:textId="77777777" w:rsidR="00F83DB0" w:rsidRPr="00847B1A" w:rsidRDefault="00F83DB0" w:rsidP="00F83DB0">
                  <w:pPr>
                    <w:autoSpaceDE w:val="0"/>
                    <w:autoSpaceDN w:val="0"/>
                    <w:adjustRightInd w:val="0"/>
                    <w:rPr>
                      <w:rFonts w:eastAsia="HelenPro-Regular" w:cs="Arial"/>
                      <w:szCs w:val="20"/>
                    </w:rPr>
                  </w:pPr>
                  <w:r w:rsidRPr="00847B1A">
                    <w:rPr>
                      <w:rFonts w:cs="Arial"/>
                      <w:szCs w:val="20"/>
                    </w:rPr>
                    <w:t xml:space="preserve">Follow Abbott </w:t>
                  </w:r>
                  <w:hyperlink r:id="rId14" w:history="1">
                    <w:r w:rsidRPr="00847B1A">
                      <w:rPr>
                        <w:rStyle w:val="Hyperlink"/>
                        <w:rFonts w:cs="Arial"/>
                        <w:szCs w:val="20"/>
                      </w:rPr>
                      <w:t>Alinity Operator’s Manual</w:t>
                    </w:r>
                  </w:hyperlink>
                  <w:r w:rsidRPr="00847B1A">
                    <w:rPr>
                      <w:rFonts w:cs="Arial"/>
                      <w:szCs w:val="20"/>
                    </w:rPr>
                    <w:t xml:space="preserve"> instructions for programming automated dilutions.  </w:t>
                  </w:r>
                  <w:r w:rsidRPr="00847B1A">
                    <w:rPr>
                      <w:rFonts w:eastAsia="HelenPro-Regular" w:cs="Arial"/>
                      <w:szCs w:val="20"/>
                    </w:rPr>
                    <w:t xml:space="preserve">The system will automatically calculate the concentration of the sample and report the result.  </w:t>
                  </w:r>
                </w:p>
                <w:p w14:paraId="497F0B2E" w14:textId="77777777" w:rsidR="00F83DB0" w:rsidRPr="00847B1A" w:rsidRDefault="00F83DB0" w:rsidP="00F83DB0">
                  <w:pPr>
                    <w:autoSpaceDE w:val="0"/>
                    <w:autoSpaceDN w:val="0"/>
                    <w:adjustRightInd w:val="0"/>
                    <w:rPr>
                      <w:rFonts w:eastAsia="HelenPro-Regular" w:cs="Arial"/>
                      <w:szCs w:val="20"/>
                    </w:rPr>
                  </w:pPr>
                </w:p>
                <w:p w14:paraId="29DCB4A3" w14:textId="2881C050" w:rsidR="00F83DB0" w:rsidRPr="00847B1A" w:rsidRDefault="00F83DB0" w:rsidP="00F83DB0">
                  <w:pPr>
                    <w:autoSpaceDE w:val="0"/>
                    <w:autoSpaceDN w:val="0"/>
                    <w:adjustRightInd w:val="0"/>
                    <w:rPr>
                      <w:rFonts w:eastAsia="HelenPro-Regular" w:cs="Arial"/>
                      <w:szCs w:val="20"/>
                    </w:rPr>
                  </w:pPr>
                  <w:r w:rsidRPr="00847B1A">
                    <w:rPr>
                      <w:rFonts w:eastAsia="HelenPro-Regular" w:cs="Arial"/>
                      <w:szCs w:val="20"/>
                    </w:rPr>
                    <w:t xml:space="preserve">If a diluted sample result is less than the lower value of the measuring interval of </w:t>
                  </w:r>
                  <w:r w:rsidR="00847B1A">
                    <w:rPr>
                      <w:rFonts w:eastAsia="HelenPro-Regular" w:cs="Arial"/>
                      <w:szCs w:val="20"/>
                    </w:rPr>
                    <w:t>5 mg/dL</w:t>
                  </w:r>
                  <w:r w:rsidRPr="00847B1A">
                    <w:rPr>
                      <w:rFonts w:eastAsia="HelenPro-Regular" w:cs="Arial"/>
                      <w:szCs w:val="20"/>
                    </w:rPr>
                    <w:t>, do not report the result. Rerun and/or investigate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1EB4C0F0"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306602">
              <w:rPr>
                <w:rFonts w:cs="Arial"/>
                <w:szCs w:val="20"/>
              </w:rPr>
              <w:t xml:space="preserve">5 </w:t>
            </w:r>
            <w:r>
              <w:rPr>
                <w:rFonts w:cs="Arial"/>
                <w:szCs w:val="20"/>
              </w:rPr>
              <w:t xml:space="preserve">and </w:t>
            </w:r>
            <w:r w:rsidR="00306602">
              <w:rPr>
                <w:rFonts w:cs="Arial"/>
                <w:szCs w:val="20"/>
              </w:rPr>
              <w:t>30</w:t>
            </w:r>
            <w:r w:rsidR="00E47DE5" w:rsidRPr="00DC7421">
              <w:rPr>
                <w:rFonts w:cs="Arial"/>
                <w:szCs w:val="20"/>
              </w:rPr>
              <w:t xml:space="preserve"> </w:t>
            </w:r>
            <w:r w:rsidRPr="00DC7421">
              <w:rPr>
                <w:rFonts w:cs="Arial"/>
                <w:szCs w:val="20"/>
              </w:rPr>
              <w:t>without error messages are released</w:t>
            </w:r>
          </w:p>
          <w:p w14:paraId="512DB6C5" w14:textId="1345729F" w:rsidR="00F84C8E" w:rsidRDefault="00F84C8E" w:rsidP="00F84C8E">
            <w:pPr>
              <w:numPr>
                <w:ilvl w:val="0"/>
                <w:numId w:val="40"/>
              </w:numPr>
              <w:rPr>
                <w:rFonts w:cs="Arial"/>
                <w:szCs w:val="20"/>
              </w:rPr>
            </w:pPr>
            <w:r>
              <w:rPr>
                <w:rFonts w:cs="Arial"/>
                <w:szCs w:val="20"/>
              </w:rPr>
              <w:t xml:space="preserve">Results below </w:t>
            </w:r>
            <w:r w:rsidR="00306602">
              <w:rPr>
                <w:rFonts w:cs="Arial"/>
                <w:szCs w:val="20"/>
              </w:rPr>
              <w:t>5</w:t>
            </w:r>
            <w:r w:rsidR="00E47DE5">
              <w:rPr>
                <w:rFonts w:cs="Arial"/>
                <w:szCs w:val="20"/>
              </w:rPr>
              <w:t xml:space="preserve"> </w:t>
            </w:r>
            <w:r>
              <w:rPr>
                <w:rFonts w:cs="Arial"/>
                <w:szCs w:val="20"/>
              </w:rPr>
              <w:t>without error messages are reported as &lt;</w:t>
            </w:r>
            <w:r w:rsidR="00306602">
              <w:rPr>
                <w:rFonts w:cs="Arial"/>
                <w:szCs w:val="20"/>
              </w:rPr>
              <w:t xml:space="preserve"> 5</w:t>
            </w:r>
            <w:r>
              <w:rPr>
                <w:rFonts w:cs="Arial"/>
                <w:szCs w:val="20"/>
              </w:rPr>
              <w:t xml:space="preserve"> </w:t>
            </w:r>
            <w:r w:rsidR="00306602">
              <w:rPr>
                <w:rFonts w:cs="Arial"/>
                <w:szCs w:val="20"/>
              </w:rPr>
              <w:t>mg/dL</w:t>
            </w:r>
            <w:r>
              <w:rPr>
                <w:rFonts w:cs="Arial"/>
                <w:szCs w:val="20"/>
              </w:rPr>
              <w:t>.</w:t>
            </w:r>
          </w:p>
          <w:p w14:paraId="7ABEA390" w14:textId="0D17516C" w:rsidR="00306602" w:rsidRPr="00DC7421" w:rsidRDefault="00306602" w:rsidP="00F84C8E">
            <w:pPr>
              <w:numPr>
                <w:ilvl w:val="0"/>
                <w:numId w:val="40"/>
              </w:numPr>
              <w:rPr>
                <w:rFonts w:cs="Arial"/>
                <w:szCs w:val="20"/>
              </w:rPr>
            </w:pPr>
            <w:r>
              <w:rPr>
                <w:rFonts w:cs="Arial"/>
                <w:szCs w:val="20"/>
              </w:rPr>
              <w:t>Results greater than 30 are called according to critical value policy.</w:t>
            </w:r>
          </w:p>
          <w:p w14:paraId="61C98532" w14:textId="49292C64" w:rsidR="00F84C8E" w:rsidRDefault="00F84C8E" w:rsidP="00F84C8E">
            <w:pPr>
              <w:numPr>
                <w:ilvl w:val="0"/>
                <w:numId w:val="40"/>
              </w:numPr>
              <w:rPr>
                <w:rFonts w:cs="Arial"/>
                <w:szCs w:val="20"/>
              </w:rPr>
            </w:pPr>
            <w:r>
              <w:rPr>
                <w:rFonts w:cs="Arial"/>
                <w:szCs w:val="20"/>
              </w:rPr>
              <w:t>Results &gt;</w:t>
            </w:r>
            <w:r w:rsidR="00306602">
              <w:rPr>
                <w:rFonts w:cs="Arial"/>
                <w:szCs w:val="20"/>
              </w:rPr>
              <w:t xml:space="preserve"> 100</w:t>
            </w:r>
            <w:r w:rsidR="00E47DE5">
              <w:rPr>
                <w:rFonts w:cs="Arial"/>
                <w:szCs w:val="20"/>
              </w:rPr>
              <w:t xml:space="preserve"> </w:t>
            </w:r>
            <w:r>
              <w:rPr>
                <w:rFonts w:cs="Arial"/>
                <w:szCs w:val="20"/>
              </w:rPr>
              <w:t xml:space="preserve">should be diluted using the onboard automated </w:t>
            </w:r>
            <w:r w:rsidR="00306602">
              <w:rPr>
                <w:rFonts w:cs="Arial"/>
                <w:szCs w:val="20"/>
              </w:rPr>
              <w:t>1:5 dilution</w:t>
            </w:r>
            <w:r>
              <w:rPr>
                <w:rFonts w:cs="Arial"/>
                <w:szCs w:val="20"/>
              </w:rPr>
              <w:t>.  Release results without error messages following this dilution.</w:t>
            </w:r>
          </w:p>
          <w:p w14:paraId="1516BBCC" w14:textId="24D28687" w:rsidR="00EA580E" w:rsidRPr="00F84C8E" w:rsidRDefault="00306602" w:rsidP="00F84C8E">
            <w:pPr>
              <w:numPr>
                <w:ilvl w:val="0"/>
                <w:numId w:val="40"/>
              </w:numPr>
              <w:rPr>
                <w:rFonts w:cs="Arial"/>
                <w:szCs w:val="20"/>
              </w:rPr>
            </w:pPr>
            <w:r>
              <w:rPr>
                <w:rFonts w:cs="Arial"/>
                <w:szCs w:val="20"/>
              </w:rPr>
              <w:t>Results &gt; 500</w:t>
            </w:r>
            <w:r w:rsidR="00E47DE5">
              <w:rPr>
                <w:rFonts w:cs="Arial"/>
                <w:szCs w:val="20"/>
              </w:rPr>
              <w:t xml:space="preserve"> </w:t>
            </w:r>
            <w:r w:rsidR="00F84C8E" w:rsidRPr="00A166AA">
              <w:rPr>
                <w:rFonts w:cs="Arial"/>
                <w:szCs w:val="20"/>
              </w:rPr>
              <w:t>following automate</w:t>
            </w:r>
            <w:r w:rsidR="00F84C8E">
              <w:rPr>
                <w:rFonts w:cs="Arial"/>
                <w:szCs w:val="20"/>
              </w:rPr>
              <w:t xml:space="preserve">d dilution are reported as &gt; </w:t>
            </w:r>
            <w:r>
              <w:rPr>
                <w:rFonts w:cs="Arial"/>
                <w:szCs w:val="20"/>
              </w:rPr>
              <w:t>500 mg/dL</w:t>
            </w:r>
            <w:r w:rsidR="00F84C8E" w:rsidRPr="00A166AA">
              <w:rPr>
                <w:rFonts w:cs="Arial"/>
                <w:szCs w:val="20"/>
              </w:rPr>
              <w:t>.</w:t>
            </w:r>
          </w:p>
          <w:p w14:paraId="5CD0003C" w14:textId="77777777" w:rsidR="00F83DB0" w:rsidRPr="00DC7421" w:rsidRDefault="00F83DB0" w:rsidP="00306602">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F8601C6"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F46C5F">
              <w:rPr>
                <w:rFonts w:cs="Arial"/>
                <w:szCs w:val="20"/>
              </w:rPr>
              <w:t xml:space="preserve"> Samples are retained 14</w:t>
            </w:r>
            <w:bookmarkStart w:id="0" w:name="_GoBack"/>
            <w:bookmarkEnd w:id="0"/>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73BFFE9B" w14:textId="4D2DA9E6" w:rsidR="00306602" w:rsidRPr="00306602" w:rsidRDefault="00682569" w:rsidP="00306602">
            <w:pPr>
              <w:numPr>
                <w:ilvl w:val="0"/>
                <w:numId w:val="33"/>
              </w:numPr>
              <w:rPr>
                <w:rFonts w:cs="Arial"/>
                <w:szCs w:val="20"/>
              </w:rPr>
            </w:pPr>
            <w:r>
              <w:rPr>
                <w:rFonts w:cs="Arial"/>
                <w:szCs w:val="20"/>
              </w:rPr>
              <w:t>Abbott Alinity c Salicylate</w:t>
            </w:r>
            <w:r w:rsidR="00306602" w:rsidRPr="00306602">
              <w:rPr>
                <w:rFonts w:cs="Arial"/>
                <w:szCs w:val="20"/>
              </w:rPr>
              <w:t xml:space="preserve"> Reagent Kit Instructions for Use, Abbott Diagnostics Division, Abbott Park, IL USA.  Revised </w:t>
            </w:r>
            <w:r w:rsidR="00306602">
              <w:rPr>
                <w:rFonts w:cs="Arial"/>
                <w:szCs w:val="20"/>
              </w:rPr>
              <w:t>February</w:t>
            </w:r>
            <w:r w:rsidR="00306602" w:rsidRPr="00306602">
              <w:rPr>
                <w:rFonts w:cs="Arial"/>
                <w:szCs w:val="20"/>
              </w:rPr>
              <w:t xml:space="preserve"> 2018</w:t>
            </w:r>
          </w:p>
          <w:p w14:paraId="27976876" w14:textId="049F9FB5" w:rsidR="00306602" w:rsidRPr="00306602" w:rsidRDefault="00306602" w:rsidP="00306602">
            <w:pPr>
              <w:numPr>
                <w:ilvl w:val="0"/>
                <w:numId w:val="33"/>
              </w:numPr>
              <w:rPr>
                <w:rFonts w:cs="Arial"/>
                <w:szCs w:val="20"/>
              </w:rPr>
            </w:pPr>
            <w:r w:rsidRPr="00306602">
              <w:rPr>
                <w:rFonts w:cs="Arial"/>
                <w:szCs w:val="20"/>
              </w:rPr>
              <w:t>Abbott Alinity c Multiconstituent Calibrator Package Insert, Abbott Diagnostics Division, Ab</w:t>
            </w:r>
            <w:r>
              <w:rPr>
                <w:rFonts w:cs="Arial"/>
                <w:szCs w:val="20"/>
              </w:rPr>
              <w:t>bott Park, IL USA.  Revised February</w:t>
            </w:r>
            <w:r w:rsidRPr="00306602">
              <w:rPr>
                <w:rFonts w:cs="Arial"/>
                <w:szCs w:val="20"/>
              </w:rPr>
              <w:t xml:space="preserve"> 2018</w:t>
            </w:r>
          </w:p>
          <w:p w14:paraId="768F3CEC" w14:textId="77777777" w:rsidR="00306602" w:rsidRPr="00306602" w:rsidRDefault="00306602" w:rsidP="00306602">
            <w:pPr>
              <w:numPr>
                <w:ilvl w:val="0"/>
                <w:numId w:val="33"/>
              </w:numPr>
              <w:rPr>
                <w:rFonts w:cs="Arial"/>
                <w:szCs w:val="20"/>
              </w:rPr>
            </w:pPr>
            <w:r w:rsidRPr="00306602">
              <w:rPr>
                <w:rFonts w:cs="Arial"/>
                <w:szCs w:val="20"/>
              </w:rPr>
              <w:t>Bio-Rad Liquichek Immunoassay Plus Package Insert, Bio-Rad Laboratories, Irvine CA USA.</w:t>
            </w:r>
          </w:p>
          <w:p w14:paraId="5CD00046" w14:textId="77777777" w:rsidR="00E3253B" w:rsidRPr="00DC7421" w:rsidRDefault="00E3253B" w:rsidP="00306602">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3B7FBA0B"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18D6886B" w:rsidR="00F50200" w:rsidRPr="00DC7421" w:rsidRDefault="00D827BF">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5F1F9756" w:rsidR="00F50200" w:rsidRPr="00DC7421" w:rsidRDefault="00D827BF">
            <w:pPr>
              <w:rPr>
                <w:rFonts w:cs="Arial"/>
                <w:iCs/>
                <w:szCs w:val="20"/>
              </w:rPr>
            </w:pPr>
            <w:r>
              <w:rPr>
                <w:rFonts w:cs="Arial"/>
                <w:iCs/>
                <w:szCs w:val="20"/>
              </w:rPr>
              <w:t>April 24,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5C2E9B38" w:rsidR="00F50200" w:rsidRPr="00F84C8E" w:rsidRDefault="00306602">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305A218" w:rsidR="00F50200" w:rsidRPr="00F84C8E" w:rsidRDefault="00306602">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0A2811AB" w:rsidR="00F50200" w:rsidRPr="00F84C8E" w:rsidRDefault="00306602">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3E3A8146" w:rsidR="00F50200" w:rsidRPr="00F84C8E" w:rsidRDefault="00306602">
            <w:pPr>
              <w:rPr>
                <w:rFonts w:cs="Arial"/>
                <w:iCs/>
                <w:szCs w:val="20"/>
              </w:rPr>
            </w:pPr>
            <w:r>
              <w:rPr>
                <w:rFonts w:cs="Arial"/>
                <w:iCs/>
                <w:szCs w:val="20"/>
              </w:rPr>
              <w:t>Corrected Mpls analyzer name, corrected test name, added assay number, interferences, references, reference intervals, critical values, reagent numbers corrected, qc material changed, etc.</w:t>
            </w:r>
          </w:p>
        </w:tc>
      </w:tr>
    </w:tbl>
    <w:p w14:paraId="5CD0005A" w14:textId="77777777" w:rsidR="00E3253B" w:rsidRPr="00BC1DCC" w:rsidRDefault="00E3253B" w:rsidP="007132A9">
      <w:pPr>
        <w:rPr>
          <w:rFonts w:cs="Arial"/>
        </w:rPr>
      </w:pPr>
    </w:p>
    <w:sectPr w:rsidR="00E3253B" w:rsidRPr="00BC1DCC" w:rsidSect="008F2C66">
      <w:headerReference w:type="default" r:id="rId15"/>
      <w:footerReference w:type="default" r:id="rId16"/>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77777777"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F46C5F">
      <w:rPr>
        <w:noProof/>
        <w:sz w:val="18"/>
      </w:rPr>
      <w:t>4</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F46C5F">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3CE06DB9"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F27632">
      <w:rPr>
        <w:rFonts w:cs="Arial"/>
      </w:rPr>
      <w:t>6.751 Salicylate</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08DE3604" w:rsidR="00B13C1A" w:rsidRDefault="00B13C1A">
    <w:pPr>
      <w:ind w:left="-1260" w:right="-1260"/>
      <w:rPr>
        <w:rFonts w:cs="Arial"/>
      </w:rPr>
    </w:pPr>
    <w:r>
      <w:rPr>
        <w:rFonts w:cs="Arial"/>
      </w:rPr>
      <w:t xml:space="preserve">Effective Date: </w:t>
    </w:r>
    <w:r w:rsidR="00F27632">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1F0928"/>
    <w:multiLevelType w:val="hybridMultilevel"/>
    <w:tmpl w:val="A18AC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7"/>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6"/>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34"/>
  </w:num>
  <w:num w:numId="42">
    <w:abstractNumId w:val="1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70207"/>
    <w:rsid w:val="0017089C"/>
    <w:rsid w:val="001874C0"/>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06602"/>
    <w:rsid w:val="003100D1"/>
    <w:rsid w:val="003145F4"/>
    <w:rsid w:val="00316AC9"/>
    <w:rsid w:val="003278F7"/>
    <w:rsid w:val="00370B0F"/>
    <w:rsid w:val="00387FF5"/>
    <w:rsid w:val="00392AF6"/>
    <w:rsid w:val="0039587D"/>
    <w:rsid w:val="003A65AD"/>
    <w:rsid w:val="003B16B9"/>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0621"/>
    <w:rsid w:val="005665A7"/>
    <w:rsid w:val="00575F3F"/>
    <w:rsid w:val="005A7373"/>
    <w:rsid w:val="005B66A7"/>
    <w:rsid w:val="005C6F36"/>
    <w:rsid w:val="006200C0"/>
    <w:rsid w:val="00646E63"/>
    <w:rsid w:val="00655B61"/>
    <w:rsid w:val="006737D0"/>
    <w:rsid w:val="00682569"/>
    <w:rsid w:val="00685D61"/>
    <w:rsid w:val="00693888"/>
    <w:rsid w:val="006A26B2"/>
    <w:rsid w:val="006A2770"/>
    <w:rsid w:val="006A41B1"/>
    <w:rsid w:val="006A5A84"/>
    <w:rsid w:val="006B78CE"/>
    <w:rsid w:val="006C5661"/>
    <w:rsid w:val="006C7814"/>
    <w:rsid w:val="007132A9"/>
    <w:rsid w:val="00747868"/>
    <w:rsid w:val="007B1809"/>
    <w:rsid w:val="007B2A3E"/>
    <w:rsid w:val="007B3B5B"/>
    <w:rsid w:val="007B410A"/>
    <w:rsid w:val="007F5B07"/>
    <w:rsid w:val="008044BA"/>
    <w:rsid w:val="0081197E"/>
    <w:rsid w:val="0081598A"/>
    <w:rsid w:val="00824C10"/>
    <w:rsid w:val="00847B1A"/>
    <w:rsid w:val="008A71A5"/>
    <w:rsid w:val="008A7CDA"/>
    <w:rsid w:val="008B53E5"/>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5234"/>
    <w:rsid w:val="00A9779B"/>
    <w:rsid w:val="00AA5656"/>
    <w:rsid w:val="00AB7F16"/>
    <w:rsid w:val="00AC266E"/>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827BF"/>
    <w:rsid w:val="00D955F6"/>
    <w:rsid w:val="00DA1749"/>
    <w:rsid w:val="00DC24D6"/>
    <w:rsid w:val="00DC7091"/>
    <w:rsid w:val="00DC7421"/>
    <w:rsid w:val="00DF5549"/>
    <w:rsid w:val="00DF6343"/>
    <w:rsid w:val="00E049CF"/>
    <w:rsid w:val="00E246BA"/>
    <w:rsid w:val="00E3253B"/>
    <w:rsid w:val="00E47DE5"/>
    <w:rsid w:val="00E55C7B"/>
    <w:rsid w:val="00E93074"/>
    <w:rsid w:val="00EA2B3F"/>
    <w:rsid w:val="00EA580E"/>
    <w:rsid w:val="00EB4B6C"/>
    <w:rsid w:val="00EE145B"/>
    <w:rsid w:val="00EF1741"/>
    <w:rsid w:val="00F0405E"/>
    <w:rsid w:val="00F236AF"/>
    <w:rsid w:val="00F27632"/>
    <w:rsid w:val="00F467F3"/>
    <w:rsid w:val="00F46C5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chem/quality/ch-2.17-unity-real-time-qc-review-general-user.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emergency-an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2.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3.xml><?xml version="1.0" encoding="utf-8"?>
<ds:datastoreItem xmlns:ds="http://schemas.openxmlformats.org/officeDocument/2006/customXml" ds:itemID="{486088E5-01B6-45A3-B360-8B0A61C6A90A}">
  <ds:schemaRefs>
    <ds:schemaRef ds:uri="http://www.w3.org/XML/1998/namespace"/>
    <ds:schemaRef ds:uri="http://schemas.microsoft.com/office/2006/documentManagement/types"/>
    <ds:schemaRef ds:uri="http://purl.org/dc/elements/1.1/"/>
    <ds:schemaRef ds:uri="c1848e11-9cf6-4ce4-877e-6837d2c2fa23"/>
    <ds:schemaRef ds:uri="http://purl.org/dc/dcmitype/"/>
    <ds:schemaRef ds:uri="http://schemas.microsoft.com/sharepoint/v3/fields"/>
    <ds:schemaRef ds:uri="http://purl.org/dc/terms/"/>
    <ds:schemaRef ds:uri="http://schemas.microsoft.com/sharepoint/v3"/>
    <ds:schemaRef ds:uri="199f0838-75a6-4f0c-9be1-f2c07140bccc"/>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90B727-BD1E-4E1B-8AC2-91273302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1589</Words>
  <Characters>9431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10999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6</cp:revision>
  <cp:lastPrinted>2020-04-15T15:00:00Z</cp:lastPrinted>
  <dcterms:created xsi:type="dcterms:W3CDTF">2020-11-03T19:13:00Z</dcterms:created>
  <dcterms:modified xsi:type="dcterms:W3CDTF">2021-01-11T19:56:00Z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