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221A6589" w:rsidR="006C5661" w:rsidRDefault="00342D4F">
            <w:pPr>
              <w:rPr>
                <w:rFonts w:cs="Arial"/>
                <w:b/>
                <w:bCs/>
                <w:color w:val="0000FF"/>
              </w:rPr>
            </w:pPr>
            <w:r w:rsidRPr="00342D4F">
              <w:rPr>
                <w:rFonts w:cs="Arial"/>
                <w:b/>
                <w:bCs/>
                <w:color w:val="0000FF"/>
                <w:sz w:val="36"/>
              </w:rPr>
              <w:t>Gentamicin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FFCA7A1" w14:textId="2FF9F05A" w:rsidR="002503B6" w:rsidRPr="002503B6" w:rsidRDefault="00A34EE2" w:rsidP="002503B6">
            <w:pPr>
              <w:autoSpaceDE w:val="0"/>
              <w:autoSpaceDN w:val="0"/>
              <w:adjustRightInd w:val="0"/>
              <w:rPr>
                <w:rStyle w:val="A7"/>
                <w:rFonts w:cs="Arial"/>
                <w:b w:val="0"/>
                <w:bCs w:val="0"/>
                <w:sz w:val="20"/>
                <w:szCs w:val="20"/>
              </w:rPr>
            </w:pPr>
            <w:r w:rsidRPr="00DC7421">
              <w:rPr>
                <w:rStyle w:val="A7"/>
                <w:rFonts w:cs="Arial"/>
                <w:b w:val="0"/>
                <w:bCs w:val="0"/>
                <w:sz w:val="20"/>
                <w:szCs w:val="20"/>
              </w:rPr>
              <w:t xml:space="preserve">This procedure provides instructions </w:t>
            </w:r>
            <w:r w:rsidR="00BC002E">
              <w:rPr>
                <w:rStyle w:val="A7"/>
                <w:rFonts w:cs="Arial"/>
                <w:b w:val="0"/>
                <w:bCs w:val="0"/>
                <w:sz w:val="20"/>
                <w:szCs w:val="20"/>
              </w:rPr>
              <w:t>for performing GENTAMICIN 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sidR="002503B6">
              <w:rPr>
                <w:rStyle w:val="A7"/>
                <w:rFonts w:cs="Arial"/>
                <w:b w:val="0"/>
                <w:bCs w:val="0"/>
                <w:sz w:val="20"/>
                <w:szCs w:val="20"/>
              </w:rPr>
              <w:t xml:space="preserve"> </w:t>
            </w:r>
            <w:r w:rsidR="002503B6" w:rsidRPr="002503B6">
              <w:rPr>
                <w:rStyle w:val="A7"/>
                <w:rFonts w:cs="Arial"/>
                <w:b w:val="0"/>
                <w:bCs w:val="0"/>
                <w:sz w:val="20"/>
                <w:szCs w:val="20"/>
              </w:rPr>
              <w:t>The Alinity c Gentamicin assay is used for the quantitative</w:t>
            </w:r>
            <w:r w:rsidR="002503B6">
              <w:rPr>
                <w:rStyle w:val="A7"/>
                <w:rFonts w:cs="Arial"/>
                <w:b w:val="0"/>
                <w:bCs w:val="0"/>
                <w:sz w:val="20"/>
                <w:szCs w:val="20"/>
              </w:rPr>
              <w:t xml:space="preserve"> </w:t>
            </w:r>
            <w:r w:rsidR="002503B6" w:rsidRPr="002503B6">
              <w:rPr>
                <w:rStyle w:val="A7"/>
                <w:rFonts w:cs="Arial"/>
                <w:b w:val="0"/>
                <w:bCs w:val="0"/>
                <w:sz w:val="20"/>
                <w:szCs w:val="20"/>
              </w:rPr>
              <w:t>determination of gentamicin in human serum or plasma on the Alinity</w:t>
            </w:r>
            <w:r w:rsidR="002503B6">
              <w:rPr>
                <w:rStyle w:val="A7"/>
                <w:rFonts w:cs="Arial"/>
                <w:b w:val="0"/>
                <w:bCs w:val="0"/>
                <w:sz w:val="20"/>
                <w:szCs w:val="20"/>
              </w:rPr>
              <w:t xml:space="preserve"> </w:t>
            </w:r>
            <w:r w:rsidR="002503B6" w:rsidRPr="002503B6">
              <w:rPr>
                <w:rStyle w:val="A7"/>
                <w:rFonts w:cs="Arial"/>
                <w:b w:val="0"/>
                <w:bCs w:val="0"/>
                <w:sz w:val="20"/>
                <w:szCs w:val="20"/>
              </w:rPr>
              <w:t>c analyzer.</w:t>
            </w:r>
            <w:r w:rsidR="002503B6">
              <w:rPr>
                <w:rStyle w:val="A7"/>
                <w:rFonts w:cs="Arial"/>
                <w:b w:val="0"/>
                <w:bCs w:val="0"/>
                <w:sz w:val="20"/>
                <w:szCs w:val="20"/>
              </w:rPr>
              <w:t xml:space="preserve"> </w:t>
            </w:r>
            <w:r w:rsidR="002503B6" w:rsidRPr="002503B6">
              <w:rPr>
                <w:rStyle w:val="A7"/>
                <w:rFonts w:cs="Arial"/>
                <w:b w:val="0"/>
                <w:bCs w:val="0"/>
                <w:sz w:val="20"/>
                <w:szCs w:val="20"/>
              </w:rPr>
              <w:t>The results obtained are used in the diagnosis and treatment of</w:t>
            </w:r>
          </w:p>
          <w:p w14:paraId="1A72F38B" w14:textId="1EA49EC7" w:rsidR="00E3253B" w:rsidRDefault="002503B6" w:rsidP="002503B6">
            <w:pPr>
              <w:autoSpaceDE w:val="0"/>
              <w:autoSpaceDN w:val="0"/>
              <w:adjustRightInd w:val="0"/>
              <w:rPr>
                <w:rFonts w:cs="Arial"/>
                <w:color w:val="000000"/>
                <w:szCs w:val="20"/>
              </w:rPr>
            </w:pPr>
            <w:r w:rsidRPr="002503B6">
              <w:rPr>
                <w:rStyle w:val="A7"/>
                <w:rFonts w:cs="Arial"/>
                <w:b w:val="0"/>
                <w:bCs w:val="0"/>
                <w:sz w:val="20"/>
                <w:szCs w:val="20"/>
              </w:rPr>
              <w:t>gentamicin overdose and in monitoring levels of gentamicin to help</w:t>
            </w:r>
            <w:r>
              <w:rPr>
                <w:rStyle w:val="A7"/>
                <w:rFonts w:cs="Arial"/>
                <w:b w:val="0"/>
                <w:bCs w:val="0"/>
                <w:sz w:val="20"/>
                <w:szCs w:val="20"/>
              </w:rPr>
              <w:t xml:space="preserve"> </w:t>
            </w:r>
            <w:r w:rsidRPr="002503B6">
              <w:rPr>
                <w:rStyle w:val="A7"/>
                <w:rFonts w:cs="Arial"/>
                <w:b w:val="0"/>
                <w:bCs w:val="0"/>
                <w:sz w:val="20"/>
                <w:szCs w:val="20"/>
              </w:rPr>
              <w:t>ensure appropriate therapy.</w:t>
            </w:r>
            <w:r>
              <w:rPr>
                <w:rStyle w:val="A7"/>
                <w:rFonts w:cs="Arial"/>
                <w:b w:val="0"/>
                <w:bCs w:val="0"/>
                <w:sz w:val="20"/>
                <w:szCs w:val="20"/>
              </w:rPr>
              <w:t xml:space="preserve"> </w:t>
            </w:r>
            <w:r w:rsidR="00A34EE2">
              <w:rPr>
                <w:rStyle w:val="A7"/>
                <w:rFonts w:cs="Arial"/>
                <w:b w:val="0"/>
                <w:bCs w:val="0"/>
                <w:sz w:val="20"/>
                <w:szCs w:val="20"/>
              </w:rPr>
              <w:t xml:space="preserve"> </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1C2FC0CC" w:rsidR="001A1584" w:rsidRPr="001A1584" w:rsidRDefault="001A1584" w:rsidP="001A1584">
            <w:pPr>
              <w:rPr>
                <w:rFonts w:cs="Arial"/>
                <w:szCs w:val="20"/>
              </w:rPr>
            </w:pPr>
            <w:r w:rsidRPr="001A1584">
              <w:rPr>
                <w:rFonts w:cs="Arial"/>
                <w:szCs w:val="20"/>
              </w:rPr>
              <w:t>This procedure applies to all personnel responsible for operating the Alinity c at Children’s Minnesota Laboratory</w:t>
            </w:r>
            <w:r w:rsidR="00342D4F">
              <w:rPr>
                <w:rFonts w:cs="Arial"/>
                <w:szCs w:val="20"/>
              </w:rPr>
              <w:t xml:space="preserve"> in Minneapolis</w:t>
            </w:r>
            <w:r w:rsidRPr="001A1584">
              <w:rPr>
                <w:rFonts w:cs="Arial"/>
                <w:szCs w:val="20"/>
              </w:rPr>
              <w:t>.</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20CE2B7" w14:textId="6D1CD8AB" w:rsidR="00342D4F" w:rsidRDefault="00342D4F" w:rsidP="00342D4F">
            <w:pPr>
              <w:pStyle w:val="Header"/>
              <w:rPr>
                <w:rFonts w:cs="Arial"/>
                <w:color w:val="000000"/>
                <w:szCs w:val="20"/>
              </w:rPr>
            </w:pPr>
            <w:r w:rsidRPr="00342D4F">
              <w:rPr>
                <w:rFonts w:cs="Arial"/>
                <w:color w:val="000000"/>
                <w:szCs w:val="20"/>
              </w:rPr>
              <w:t xml:space="preserve">The Alinity c Gentamicin assay is </w:t>
            </w:r>
            <w:r>
              <w:rPr>
                <w:rFonts w:cs="Arial"/>
                <w:color w:val="000000"/>
                <w:szCs w:val="20"/>
              </w:rPr>
              <w:t xml:space="preserve">a homogeneous particle-enhanced </w:t>
            </w:r>
            <w:r w:rsidRPr="00342D4F">
              <w:rPr>
                <w:rFonts w:cs="Arial"/>
                <w:color w:val="000000"/>
                <w:szCs w:val="20"/>
              </w:rPr>
              <w:t>turbidimetric inhibition immunoassa</w:t>
            </w:r>
            <w:r>
              <w:rPr>
                <w:rFonts w:cs="Arial"/>
                <w:color w:val="000000"/>
                <w:szCs w:val="20"/>
              </w:rPr>
              <w:t xml:space="preserve">y (PETINIA). The assay is based </w:t>
            </w:r>
            <w:r w:rsidRPr="00342D4F">
              <w:rPr>
                <w:rFonts w:cs="Arial"/>
                <w:color w:val="000000"/>
                <w:szCs w:val="20"/>
              </w:rPr>
              <w:t>on competition between drug in the sample and drug coat</w:t>
            </w:r>
            <w:r>
              <w:rPr>
                <w:rFonts w:cs="Arial"/>
                <w:color w:val="000000"/>
                <w:szCs w:val="20"/>
              </w:rPr>
              <w:t xml:space="preserve">ed onto a </w:t>
            </w:r>
            <w:r w:rsidRPr="00342D4F">
              <w:rPr>
                <w:rFonts w:cs="Arial"/>
                <w:color w:val="000000"/>
                <w:szCs w:val="20"/>
              </w:rPr>
              <w:t>microparticle for antibody binding s</w:t>
            </w:r>
            <w:r>
              <w:rPr>
                <w:rFonts w:cs="Arial"/>
                <w:color w:val="000000"/>
                <w:szCs w:val="20"/>
              </w:rPr>
              <w:t xml:space="preserve">ites of the gentamicin antibody reagent. The </w:t>
            </w:r>
            <w:r w:rsidRPr="00342D4F">
              <w:rPr>
                <w:rFonts w:cs="Arial"/>
                <w:color w:val="000000"/>
                <w:szCs w:val="20"/>
              </w:rPr>
              <w:t>gentamicin-coated m</w:t>
            </w:r>
            <w:r>
              <w:rPr>
                <w:rFonts w:cs="Arial"/>
                <w:color w:val="000000"/>
                <w:szCs w:val="20"/>
              </w:rPr>
              <w:t xml:space="preserve">icroparticle reagent is rapidly </w:t>
            </w:r>
            <w:r w:rsidRPr="00342D4F">
              <w:rPr>
                <w:rFonts w:cs="Arial"/>
                <w:color w:val="000000"/>
                <w:szCs w:val="20"/>
              </w:rPr>
              <w:t>agglutinated in the presence of the a</w:t>
            </w:r>
            <w:r>
              <w:rPr>
                <w:rFonts w:cs="Arial"/>
                <w:color w:val="000000"/>
                <w:szCs w:val="20"/>
              </w:rPr>
              <w:t xml:space="preserve">nti-gentamicin antibody reagent </w:t>
            </w:r>
            <w:r w:rsidRPr="00342D4F">
              <w:rPr>
                <w:rFonts w:cs="Arial"/>
                <w:color w:val="000000"/>
                <w:szCs w:val="20"/>
              </w:rPr>
              <w:t>and in the absence of any competing drug in t</w:t>
            </w:r>
            <w:r>
              <w:rPr>
                <w:rFonts w:cs="Arial"/>
                <w:color w:val="000000"/>
                <w:szCs w:val="20"/>
              </w:rPr>
              <w:t xml:space="preserve">he sample. The rate </w:t>
            </w:r>
            <w:r w:rsidRPr="00342D4F">
              <w:rPr>
                <w:rFonts w:cs="Arial"/>
                <w:color w:val="000000"/>
                <w:szCs w:val="20"/>
              </w:rPr>
              <w:t xml:space="preserve">of absorbance change is measured </w:t>
            </w:r>
            <w:r>
              <w:rPr>
                <w:rFonts w:cs="Arial"/>
                <w:color w:val="000000"/>
                <w:szCs w:val="20"/>
              </w:rPr>
              <w:t xml:space="preserve">photometrically and is directly </w:t>
            </w:r>
            <w:r w:rsidRPr="00342D4F">
              <w:rPr>
                <w:rFonts w:cs="Arial"/>
                <w:color w:val="000000"/>
                <w:szCs w:val="20"/>
              </w:rPr>
              <w:t>proportional to the rate of aggluti</w:t>
            </w:r>
            <w:r>
              <w:rPr>
                <w:rFonts w:cs="Arial"/>
                <w:color w:val="000000"/>
                <w:szCs w:val="20"/>
              </w:rPr>
              <w:t xml:space="preserve">nation of the particles. When a </w:t>
            </w:r>
            <w:r w:rsidRPr="00342D4F">
              <w:rPr>
                <w:rFonts w:cs="Arial"/>
                <w:color w:val="000000"/>
                <w:szCs w:val="20"/>
              </w:rPr>
              <w:t>sample containing gentamicin is added</w:t>
            </w:r>
            <w:r>
              <w:rPr>
                <w:rFonts w:cs="Arial"/>
                <w:color w:val="000000"/>
                <w:szCs w:val="20"/>
              </w:rPr>
              <w:t xml:space="preserve">, the agglutination reaction is </w:t>
            </w:r>
            <w:r w:rsidRPr="00342D4F">
              <w:rPr>
                <w:rFonts w:cs="Arial"/>
                <w:color w:val="000000"/>
                <w:szCs w:val="20"/>
              </w:rPr>
              <w:t>partially inhibited, slowing down t</w:t>
            </w:r>
            <w:r>
              <w:rPr>
                <w:rFonts w:cs="Arial"/>
                <w:color w:val="000000"/>
                <w:szCs w:val="20"/>
              </w:rPr>
              <w:t xml:space="preserve">he rate of absorbance change. A </w:t>
            </w:r>
            <w:r w:rsidRPr="00342D4F">
              <w:rPr>
                <w:rFonts w:cs="Arial"/>
                <w:color w:val="000000"/>
                <w:szCs w:val="20"/>
              </w:rPr>
              <w:t>concentration-dependent classic agglut</w:t>
            </w:r>
            <w:r>
              <w:rPr>
                <w:rFonts w:cs="Arial"/>
                <w:color w:val="000000"/>
                <w:szCs w:val="20"/>
              </w:rPr>
              <w:t xml:space="preserve">ination inhibition curve can be </w:t>
            </w:r>
            <w:r w:rsidRPr="00342D4F">
              <w:rPr>
                <w:rFonts w:cs="Arial"/>
                <w:color w:val="000000"/>
                <w:szCs w:val="20"/>
              </w:rPr>
              <w:t>obtained with maximum rate of aggluti</w:t>
            </w:r>
            <w:r>
              <w:rPr>
                <w:rFonts w:cs="Arial"/>
                <w:color w:val="000000"/>
                <w:szCs w:val="20"/>
              </w:rPr>
              <w:t xml:space="preserve">nation at the lowest gentamicin </w:t>
            </w:r>
            <w:r w:rsidRPr="00342D4F">
              <w:rPr>
                <w:rFonts w:cs="Arial"/>
                <w:color w:val="000000"/>
                <w:szCs w:val="20"/>
              </w:rPr>
              <w:t>concentration, and the lowest agglutination rate a</w:t>
            </w:r>
            <w:r>
              <w:rPr>
                <w:rFonts w:cs="Arial"/>
                <w:color w:val="000000"/>
                <w:szCs w:val="20"/>
              </w:rPr>
              <w:t xml:space="preserve">t the highest </w:t>
            </w:r>
            <w:r w:rsidRPr="00342D4F">
              <w:rPr>
                <w:rFonts w:cs="Arial"/>
                <w:color w:val="000000"/>
                <w:szCs w:val="20"/>
              </w:rPr>
              <w:t>gentamicin concentration.</w:t>
            </w:r>
          </w:p>
          <w:p w14:paraId="06B1078B" w14:textId="77777777" w:rsidR="00342D4F" w:rsidRPr="00342D4F" w:rsidRDefault="00342D4F" w:rsidP="00342D4F">
            <w:pPr>
              <w:pStyle w:val="Header"/>
              <w:rPr>
                <w:rFonts w:cs="Arial"/>
                <w:color w:val="000000"/>
                <w:szCs w:val="20"/>
              </w:rPr>
            </w:pPr>
          </w:p>
          <w:p w14:paraId="237A147B" w14:textId="143EF8A9" w:rsidR="00342D4F" w:rsidRDefault="00342D4F" w:rsidP="00342D4F">
            <w:pPr>
              <w:pStyle w:val="Header"/>
              <w:rPr>
                <w:rFonts w:cs="Arial"/>
                <w:color w:val="000000"/>
                <w:szCs w:val="20"/>
              </w:rPr>
            </w:pPr>
            <w:r w:rsidRPr="00342D4F">
              <w:rPr>
                <w:rFonts w:cs="Arial"/>
                <w:b/>
                <w:color w:val="000000"/>
                <w:szCs w:val="20"/>
              </w:rPr>
              <w:t>Methodology:</w:t>
            </w:r>
            <w:r w:rsidRPr="00342D4F">
              <w:rPr>
                <w:rFonts w:cs="Arial"/>
                <w:color w:val="000000"/>
                <w:szCs w:val="20"/>
              </w:rPr>
              <w:t xml:space="preserve"> Particle-enhanced turbi</w:t>
            </w:r>
            <w:r>
              <w:rPr>
                <w:rFonts w:cs="Arial"/>
                <w:color w:val="000000"/>
                <w:szCs w:val="20"/>
              </w:rPr>
              <w:t xml:space="preserve">dimetric inhibition immunoassay </w:t>
            </w:r>
            <w:r w:rsidRPr="00342D4F">
              <w:rPr>
                <w:rFonts w:cs="Arial"/>
                <w:color w:val="000000"/>
                <w:szCs w:val="20"/>
              </w:rPr>
              <w:t>(PETINIA)</w:t>
            </w:r>
          </w:p>
          <w:p w14:paraId="4ED63A98" w14:textId="77777777" w:rsidR="00342D4F" w:rsidRPr="00342D4F" w:rsidRDefault="00342D4F" w:rsidP="00342D4F">
            <w:pPr>
              <w:pStyle w:val="Header"/>
              <w:rPr>
                <w:rFonts w:cs="Arial"/>
                <w:color w:val="000000"/>
                <w:szCs w:val="20"/>
              </w:rPr>
            </w:pPr>
          </w:p>
          <w:p w14:paraId="47CCE1DC" w14:textId="77777777" w:rsidR="006C5661" w:rsidRDefault="00342D4F" w:rsidP="00342D4F">
            <w:pPr>
              <w:pStyle w:val="Header"/>
              <w:rPr>
                <w:rFonts w:cs="Arial"/>
                <w:color w:val="000000"/>
                <w:szCs w:val="20"/>
              </w:rPr>
            </w:pPr>
            <w:r w:rsidRPr="002503B6">
              <w:rPr>
                <w:rFonts w:cs="Arial"/>
                <w:color w:val="000000"/>
                <w:szCs w:val="20"/>
              </w:rPr>
              <w:t>For additional information on system and assay technology, refer to the Alinity ci-series Operations Manual, Section 3.</w:t>
            </w:r>
          </w:p>
          <w:p w14:paraId="5CCFFF81" w14:textId="4E8CC9B1" w:rsidR="002503B6" w:rsidRPr="002503B6" w:rsidRDefault="002503B6" w:rsidP="00342D4F">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C6C0A1E" w14:textId="77777777" w:rsidR="002462C0" w:rsidRDefault="00342D4F" w:rsidP="00342D4F">
            <w:r w:rsidRPr="00342D4F">
              <w:t>Gentamicin is used in the treatment of serious infections involving</w:t>
            </w:r>
            <w:r>
              <w:t xml:space="preserve"> </w:t>
            </w:r>
            <w:r w:rsidRPr="00342D4F">
              <w:t>aminoglycoside-sensitive organisms.</w:t>
            </w:r>
            <w:r>
              <w:t xml:space="preserve"> </w:t>
            </w:r>
            <w:r w:rsidRPr="00342D4F">
              <w:t>Monitoring gentamicin concentration in serum or plasma, along with</w:t>
            </w:r>
            <w:r>
              <w:t xml:space="preserve"> </w:t>
            </w:r>
            <w:r w:rsidRPr="00342D4F">
              <w:t>careful clinical assessment, is the most effective means of ensuring</w:t>
            </w:r>
            <w:r>
              <w:t xml:space="preserve"> </w:t>
            </w:r>
            <w:r w:rsidRPr="00342D4F">
              <w:t>adequate therapy. Gentamicin concentration correlates better with</w:t>
            </w:r>
            <w:r>
              <w:t xml:space="preserve"> </w:t>
            </w:r>
            <w:r w:rsidRPr="00342D4F">
              <w:t>antibacterial activity than dosage. A standard dose of gentamicin</w:t>
            </w:r>
            <w:r>
              <w:t xml:space="preserve"> </w:t>
            </w:r>
            <w:r w:rsidRPr="00342D4F">
              <w:t>does not always yield a predictable concentration because the</w:t>
            </w:r>
            <w:r>
              <w:t xml:space="preserve"> </w:t>
            </w:r>
            <w:r w:rsidRPr="00342D4F">
              <w:t>drug</w:t>
            </w:r>
            <w:r w:rsidRPr="00342D4F">
              <w:rPr>
                <w:rFonts w:hint="eastAsia"/>
              </w:rPr>
              <w:t>’</w:t>
            </w:r>
            <w:r w:rsidRPr="00342D4F">
              <w:t>s concentration also depends on the patient</w:t>
            </w:r>
            <w:r w:rsidRPr="00342D4F">
              <w:rPr>
                <w:rFonts w:hint="eastAsia"/>
              </w:rPr>
              <w:t>’</w:t>
            </w:r>
            <w:r w:rsidRPr="00342D4F">
              <w:t>s volume of</w:t>
            </w:r>
            <w:r>
              <w:t xml:space="preserve"> </w:t>
            </w:r>
            <w:r w:rsidRPr="00342D4F">
              <w:t>distribution and on the drug elimination. These factors are influenced</w:t>
            </w:r>
            <w:r>
              <w:t xml:space="preserve"> </w:t>
            </w:r>
            <w:r w:rsidRPr="00342D4F">
              <w:t>by the mode of administration, the volume of extracellular fluid, renal</w:t>
            </w:r>
            <w:r>
              <w:t xml:space="preserve"> </w:t>
            </w:r>
            <w:r w:rsidRPr="00342D4F">
              <w:t>retention, and physiological changes during therapy. Gentamicin has</w:t>
            </w:r>
            <w:r>
              <w:t xml:space="preserve"> </w:t>
            </w:r>
            <w:r w:rsidRPr="00342D4F">
              <w:t>a narrow range of safe and effective concentration. Exposure to high</w:t>
            </w:r>
            <w:r>
              <w:t xml:space="preserve"> </w:t>
            </w:r>
            <w:r w:rsidRPr="00342D4F">
              <w:t>concentrations for a prolonged period may cause renal impairment or</w:t>
            </w:r>
            <w:r>
              <w:t xml:space="preserve"> </w:t>
            </w:r>
            <w:r w:rsidRPr="00342D4F">
              <w:t>ototoxicity. Patients with impaired renal function should be monitored</w:t>
            </w:r>
            <w:r>
              <w:t xml:space="preserve"> </w:t>
            </w:r>
            <w:r w:rsidRPr="00342D4F">
              <w:t>closely while on gentamicin therapy because nephrotoxicity caused</w:t>
            </w:r>
            <w:r>
              <w:t xml:space="preserve"> </w:t>
            </w:r>
            <w:r w:rsidRPr="00342D4F">
              <w:t>by gentamicin may be difficult to distinguish from symptoms of</w:t>
            </w:r>
            <w:r>
              <w:t xml:space="preserve"> </w:t>
            </w:r>
            <w:r w:rsidRPr="00342D4F">
              <w:t>underlying renal disease.</w:t>
            </w:r>
          </w:p>
          <w:p w14:paraId="5CCFFF86" w14:textId="3290968D" w:rsidR="002503B6" w:rsidRPr="00370B0F" w:rsidRDefault="002503B6" w:rsidP="00342D4F"/>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3BE5F828" w14:textId="7851AAE4" w:rsidR="006200C0" w:rsidRDefault="006200C0" w:rsidP="00342D4F">
            <w:pPr>
              <w:autoSpaceDE w:val="0"/>
              <w:autoSpaceDN w:val="0"/>
              <w:adjustRightInd w:val="0"/>
              <w:rPr>
                <w:rFonts w:cs="Arial"/>
                <w:b/>
                <w:bCs/>
                <w:color w:val="7030A0"/>
                <w:szCs w:val="20"/>
              </w:rPr>
            </w:pPr>
            <w:r>
              <w:rPr>
                <w:rFonts w:cs="Arial"/>
                <w:b/>
                <w:bCs/>
                <w:color w:val="7030A0"/>
                <w:szCs w:val="20"/>
              </w:rPr>
              <w:t>Minneapolis: Abbott Alinit</w:t>
            </w:r>
            <w:r w:rsidR="002503B6">
              <w:rPr>
                <w:rFonts w:cs="Arial"/>
                <w:b/>
                <w:bCs/>
                <w:color w:val="7030A0"/>
                <w:szCs w:val="20"/>
              </w:rPr>
              <w:t>y c (Sunquest method code: MACC</w:t>
            </w:r>
            <w:r>
              <w:rPr>
                <w:rFonts w:cs="Arial"/>
                <w:b/>
                <w:bCs/>
                <w:color w:val="7030A0"/>
                <w:szCs w:val="20"/>
              </w:rPr>
              <w:t>)</w:t>
            </w:r>
          </w:p>
          <w:p w14:paraId="4F145981" w14:textId="77777777" w:rsidR="0066184A" w:rsidRDefault="002503B6" w:rsidP="00E16153">
            <w:pPr>
              <w:autoSpaceDE w:val="0"/>
              <w:autoSpaceDN w:val="0"/>
              <w:adjustRightInd w:val="0"/>
              <w:rPr>
                <w:rFonts w:cs="Arial"/>
                <w:bCs/>
                <w:szCs w:val="20"/>
              </w:rPr>
            </w:pPr>
            <w:r>
              <w:rPr>
                <w:rFonts w:cs="Arial"/>
                <w:b/>
                <w:bCs/>
                <w:szCs w:val="20"/>
              </w:rPr>
              <w:t>BACKUP:</w:t>
            </w:r>
            <w:r>
              <w:rPr>
                <w:rFonts w:cs="Arial"/>
                <w:bCs/>
                <w:szCs w:val="20"/>
              </w:rPr>
              <w:t xml:space="preserve"> </w:t>
            </w:r>
            <w:r w:rsidR="00E16153">
              <w:rPr>
                <w:rFonts w:cs="Arial"/>
                <w:bCs/>
                <w:szCs w:val="20"/>
              </w:rPr>
              <w:t>Abbott Alinity c (Sunquest method code: MALIC)</w:t>
            </w:r>
          </w:p>
          <w:p w14:paraId="5CCFFF89" w14:textId="63FF2AA8" w:rsidR="00B16FBD" w:rsidRPr="002503B6" w:rsidRDefault="00B16FBD" w:rsidP="00E16153">
            <w:pPr>
              <w:autoSpaceDE w:val="0"/>
              <w:autoSpaceDN w:val="0"/>
              <w:adjustRightInd w:val="0"/>
              <w:rPr>
                <w:rFonts w:cs="Arial"/>
                <w:bCs/>
                <w:szCs w:val="20"/>
              </w:rPr>
            </w:pPr>
          </w:p>
        </w:tc>
      </w:tr>
      <w:tr w:rsidR="00E3253B"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267FA284" w:rsidR="00370B0F" w:rsidRPr="002503B6" w:rsidRDefault="00342D4F" w:rsidP="00504F3B">
            <w:pPr>
              <w:rPr>
                <w:b/>
              </w:rPr>
            </w:pPr>
            <w:r w:rsidRPr="002503B6">
              <w:rPr>
                <w:b/>
              </w:rPr>
              <w:t>GENT</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026E1366"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3C5427">
              <w:rPr>
                <w:rStyle w:val="BoldBodyText"/>
                <w:rFonts w:ascii="Arial" w:hAnsi="Arial" w:cs="Arial"/>
                <w:b w:val="0"/>
                <w:bCs w:val="0"/>
                <w:sz w:val="20"/>
                <w:szCs w:val="20"/>
              </w:rPr>
              <w:t>Plasma or Serum (with or without gel barrier)</w:t>
            </w:r>
          </w:p>
          <w:p w14:paraId="34021B1C" w14:textId="53EAD6DE" w:rsidR="00981A4A" w:rsidRPr="003C5427" w:rsidRDefault="0017089C">
            <w:pPr>
              <w:rPr>
                <w:rFonts w:cs="Arial"/>
                <w:szCs w:val="20"/>
              </w:rPr>
            </w:pPr>
            <w:r w:rsidRPr="009475C8">
              <w:rPr>
                <w:rFonts w:cs="Arial"/>
                <w:b/>
                <w:szCs w:val="20"/>
              </w:rPr>
              <w:t>Preferred:</w:t>
            </w:r>
            <w:r w:rsidR="006C5661" w:rsidRPr="009475C8">
              <w:rPr>
                <w:rFonts w:cs="Arial"/>
                <w:b/>
                <w:szCs w:val="20"/>
              </w:rPr>
              <w:t xml:space="preserve"> </w:t>
            </w:r>
            <w:r w:rsidR="003C5427">
              <w:rPr>
                <w:rFonts w:cs="Arial"/>
                <w:szCs w:val="20"/>
              </w:rPr>
              <w:t>Lithium Heparin</w:t>
            </w:r>
          </w:p>
          <w:p w14:paraId="60FE11B0" w14:textId="50F1EBB1" w:rsidR="0017089C" w:rsidRDefault="0017089C">
            <w:pPr>
              <w:rPr>
                <w:rFonts w:cs="Arial"/>
                <w:szCs w:val="20"/>
              </w:rPr>
            </w:pPr>
            <w:r w:rsidRPr="009475C8">
              <w:rPr>
                <w:rFonts w:cs="Arial"/>
                <w:b/>
                <w:szCs w:val="20"/>
              </w:rPr>
              <w:t>Alternative:</w:t>
            </w:r>
            <w:r w:rsidR="003C5427">
              <w:rPr>
                <w:rFonts w:cs="Arial"/>
                <w:b/>
                <w:szCs w:val="20"/>
              </w:rPr>
              <w:t xml:space="preserve"> </w:t>
            </w:r>
            <w:r w:rsidR="003C5427">
              <w:rPr>
                <w:rFonts w:cs="Arial"/>
                <w:szCs w:val="20"/>
              </w:rPr>
              <w:t>SST, Sodium Heparin, K2-EDTA (plastic tube), K3-EDTA (glass tube)</w:t>
            </w:r>
          </w:p>
          <w:p w14:paraId="34F12611" w14:textId="77777777" w:rsidR="0017089C" w:rsidRDefault="0017089C">
            <w:pPr>
              <w:rPr>
                <w:rFonts w:cs="Arial"/>
                <w:szCs w:val="20"/>
              </w:rPr>
            </w:pPr>
          </w:p>
          <w:p w14:paraId="7015EAEE" w14:textId="11943625" w:rsidR="002503B6" w:rsidRDefault="002503B6" w:rsidP="003417E0">
            <w:pPr>
              <w:autoSpaceDE w:val="0"/>
              <w:autoSpaceDN w:val="0"/>
              <w:adjustRightInd w:val="0"/>
              <w:rPr>
                <w:rFonts w:eastAsia="HelenPro-Regular" w:cs="Arial"/>
                <w:b/>
                <w:szCs w:val="20"/>
              </w:rPr>
            </w:pPr>
            <w:r>
              <w:rPr>
                <w:rFonts w:eastAsia="HelenPro-Regular" w:cs="Arial"/>
                <w:b/>
                <w:szCs w:val="20"/>
              </w:rPr>
              <w:t>Suggested Patient Preparation:</w:t>
            </w:r>
          </w:p>
          <w:p w14:paraId="6219D2B0" w14:textId="27062585" w:rsidR="003417E0" w:rsidRDefault="003417E0" w:rsidP="003417E0">
            <w:pPr>
              <w:autoSpaceDE w:val="0"/>
              <w:autoSpaceDN w:val="0"/>
              <w:adjustRightInd w:val="0"/>
              <w:rPr>
                <w:rFonts w:eastAsia="HelenPro-Regular" w:cs="Arial"/>
                <w:szCs w:val="20"/>
              </w:rPr>
            </w:pPr>
            <w:r w:rsidRPr="002503B6">
              <w:rPr>
                <w:rFonts w:eastAsia="HelenPro-Regular" w:cs="Arial"/>
                <w:szCs w:val="20"/>
              </w:rPr>
              <w:t>Samples should be drawn just prior to a dose (trough level) to confirm that an adequate dose has been prescribed. Peak specimen should be drawn 30 minutes after a 30 minute IV infusion.</w:t>
            </w:r>
          </w:p>
          <w:p w14:paraId="5173EA74" w14:textId="77777777" w:rsidR="008C2E7C" w:rsidRDefault="008C2E7C" w:rsidP="003417E0">
            <w:pPr>
              <w:autoSpaceDE w:val="0"/>
              <w:autoSpaceDN w:val="0"/>
              <w:adjustRightInd w:val="0"/>
              <w:rPr>
                <w:rFonts w:eastAsia="HelenPro-Regular" w:cs="Arial"/>
                <w:szCs w:val="20"/>
              </w:rPr>
            </w:pPr>
          </w:p>
          <w:p w14:paraId="66F6416D" w14:textId="1038D1E9" w:rsidR="008C2E7C" w:rsidRPr="002503B6" w:rsidRDefault="008C2E7C" w:rsidP="003417E0">
            <w:pPr>
              <w:autoSpaceDE w:val="0"/>
              <w:autoSpaceDN w:val="0"/>
              <w:adjustRightInd w:val="0"/>
              <w:rPr>
                <w:rFonts w:eastAsia="HelenPro-Regular" w:cs="Arial"/>
                <w:szCs w:val="20"/>
              </w:rPr>
            </w:pPr>
            <w:r>
              <w:rPr>
                <w:rFonts w:eastAsia="HelenPro-Regular" w:cs="Arial"/>
                <w:szCs w:val="20"/>
              </w:rPr>
              <w:t>See Limitations section for more information.</w:t>
            </w:r>
          </w:p>
          <w:p w14:paraId="31DA13EB" w14:textId="77777777" w:rsidR="003417E0" w:rsidRPr="003417E0" w:rsidRDefault="003417E0" w:rsidP="003417E0">
            <w:pPr>
              <w:autoSpaceDE w:val="0"/>
              <w:autoSpaceDN w:val="0"/>
              <w:adjustRightInd w:val="0"/>
              <w:rPr>
                <w:rFonts w:eastAsia="HelenPro-Regular" w:cs="Arial"/>
                <w:szCs w:val="20"/>
              </w:rPr>
            </w:pPr>
          </w:p>
          <w:p w14:paraId="5CCFFF96" w14:textId="74D02402"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3417E0">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3417E0">
              <w:rPr>
                <w:rFonts w:ascii="Arial" w:hAnsi="Arial" w:cs="Arial"/>
                <w:bCs/>
                <w:sz w:val="20"/>
                <w:szCs w:val="20"/>
              </w:rPr>
              <w:t xml:space="preserve">0.2 </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10B93C4E" w14:textId="1E912A44" w:rsidR="0017089C" w:rsidRPr="00EA1620"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5CCFFF99" w14:textId="42C3D164" w:rsidR="00E3253B" w:rsidRPr="009475C8" w:rsidRDefault="00BD0AE4">
            <w:pPr>
              <w:pStyle w:val="Header"/>
              <w:tabs>
                <w:tab w:val="clear" w:pos="4320"/>
                <w:tab w:val="clear" w:pos="8640"/>
              </w:tabs>
              <w:rPr>
                <w:rFonts w:cs="Arial"/>
                <w:b/>
                <w:szCs w:val="20"/>
              </w:rPr>
            </w:pPr>
            <w:r w:rsidRPr="009475C8">
              <w:rPr>
                <w:rFonts w:cs="Arial"/>
                <w:b/>
                <w:szCs w:val="20"/>
              </w:rPr>
              <w:t>2 to 8°C</w:t>
            </w:r>
            <w:r w:rsidR="00D31B40">
              <w:rPr>
                <w:rFonts w:cs="Arial"/>
                <w:b/>
                <w:szCs w:val="20"/>
              </w:rPr>
              <w:t xml:space="preserve">: </w:t>
            </w:r>
            <w:r w:rsidR="00D31B40" w:rsidRPr="00D31B40">
              <w:rPr>
                <w:rFonts w:cs="Arial"/>
                <w:szCs w:val="20"/>
              </w:rPr>
              <w:t>7 days</w:t>
            </w:r>
            <w:r w:rsidR="00D31B40">
              <w:rPr>
                <w:rFonts w:cs="Arial"/>
                <w:b/>
                <w:szCs w:val="20"/>
              </w:rPr>
              <w:t xml:space="preserve"> </w:t>
            </w:r>
            <w:r w:rsidR="00437425" w:rsidRPr="009475C8">
              <w:rPr>
                <w:rFonts w:cs="Arial"/>
                <w:b/>
                <w:szCs w:val="20"/>
              </w:rPr>
              <w:tab/>
            </w:r>
          </w:p>
          <w:p w14:paraId="594E4A3A" w14:textId="15876438" w:rsidR="00BD0AE4" w:rsidRDefault="00D31B40">
            <w:pPr>
              <w:pStyle w:val="Header"/>
              <w:tabs>
                <w:tab w:val="clear" w:pos="4320"/>
                <w:tab w:val="clear" w:pos="8640"/>
              </w:tabs>
              <w:rPr>
                <w:rFonts w:cs="Arial"/>
                <w:szCs w:val="20"/>
              </w:rPr>
            </w:pPr>
            <w:r>
              <w:rPr>
                <w:rFonts w:cs="Arial"/>
                <w:b/>
                <w:szCs w:val="20"/>
              </w:rPr>
              <w:t>-</w:t>
            </w:r>
            <w:r w:rsidRPr="002503B6">
              <w:rPr>
                <w:rFonts w:cs="Arial"/>
                <w:b/>
                <w:szCs w:val="20"/>
              </w:rPr>
              <w:t>1</w:t>
            </w:r>
            <w:r w:rsidR="00BD0AE4" w:rsidRPr="002503B6">
              <w:rPr>
                <w:rFonts w:cs="Arial"/>
                <w:b/>
                <w:szCs w:val="20"/>
              </w:rPr>
              <w:t>0°C</w:t>
            </w:r>
            <w:r w:rsidRPr="002503B6">
              <w:rPr>
                <w:rFonts w:cs="Arial"/>
                <w:b/>
                <w:szCs w:val="20"/>
              </w:rPr>
              <w:t>:</w:t>
            </w:r>
            <w:r>
              <w:rPr>
                <w:rFonts w:cs="Arial"/>
                <w:szCs w:val="20"/>
              </w:rPr>
              <w:t xml:space="preserve"> 14 days</w:t>
            </w:r>
          </w:p>
          <w:p w14:paraId="1B5EDCF6" w14:textId="77777777" w:rsidR="00EA1620" w:rsidRDefault="00EA1620">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1E9C540B" w14:textId="77777777" w:rsidR="002503B6" w:rsidRPr="002503B6" w:rsidRDefault="002503B6" w:rsidP="002503B6">
            <w:pPr>
              <w:numPr>
                <w:ilvl w:val="0"/>
                <w:numId w:val="26"/>
              </w:numPr>
              <w:jc w:val="both"/>
              <w:rPr>
                <w:rFonts w:cs="Arial"/>
                <w:szCs w:val="20"/>
              </w:rPr>
            </w:pPr>
            <w:r w:rsidRPr="002503B6">
              <w:rPr>
                <w:rFonts w:cs="Arial"/>
                <w:szCs w:val="20"/>
              </w:rPr>
              <w:t>Whole blood specimens should be centrifuged following complete clot formation, according to Specimen Processing procedures prior to analysis.</w:t>
            </w:r>
          </w:p>
          <w:p w14:paraId="6E50E1BE" w14:textId="77777777" w:rsidR="002503B6" w:rsidRPr="002503B6" w:rsidRDefault="002503B6" w:rsidP="002503B6">
            <w:pPr>
              <w:numPr>
                <w:ilvl w:val="0"/>
                <w:numId w:val="26"/>
              </w:numPr>
              <w:jc w:val="both"/>
              <w:rPr>
                <w:rFonts w:cs="Arial"/>
                <w:szCs w:val="20"/>
              </w:rPr>
            </w:pPr>
            <w:r w:rsidRPr="002503B6">
              <w:rPr>
                <w:rFonts w:cs="Arial"/>
                <w:szCs w:val="20"/>
              </w:rPr>
              <w:t>Serum or plasma should be physically separated from cells as soon as possible with a maximum limit of two hours from the time of collection.</w:t>
            </w:r>
          </w:p>
          <w:p w14:paraId="2FF12C43" w14:textId="77777777" w:rsidR="002503B6" w:rsidRPr="002503B6" w:rsidRDefault="002503B6" w:rsidP="002503B6">
            <w:pPr>
              <w:numPr>
                <w:ilvl w:val="0"/>
                <w:numId w:val="26"/>
              </w:numPr>
              <w:jc w:val="both"/>
              <w:rPr>
                <w:rFonts w:cs="Arial"/>
                <w:szCs w:val="20"/>
              </w:rPr>
            </w:pPr>
            <w:r w:rsidRPr="002503B6">
              <w:rPr>
                <w:rFonts w:cs="Arial"/>
                <w:szCs w:val="20"/>
              </w:rPr>
              <w:t xml:space="preserve">Specimens should be free of particulate matter. </w:t>
            </w:r>
          </w:p>
          <w:p w14:paraId="523BD217" w14:textId="77777777" w:rsidR="002503B6" w:rsidRPr="002503B6" w:rsidRDefault="002503B6" w:rsidP="002503B6">
            <w:pPr>
              <w:numPr>
                <w:ilvl w:val="0"/>
                <w:numId w:val="26"/>
              </w:numPr>
              <w:jc w:val="both"/>
              <w:rPr>
                <w:rFonts w:cs="Arial"/>
                <w:szCs w:val="20"/>
              </w:rPr>
            </w:pPr>
            <w:r w:rsidRPr="002503B6">
              <w:rPr>
                <w:rFonts w:cs="Arial"/>
                <w:szCs w:val="20"/>
              </w:rPr>
              <w:t xml:space="preserve">Transfer serum or plasma directly to a properly labeled pilot tube.  </w:t>
            </w:r>
          </w:p>
          <w:p w14:paraId="5BF7AEB2" w14:textId="77777777" w:rsidR="002503B6" w:rsidRPr="002503B6" w:rsidRDefault="002503B6" w:rsidP="002503B6">
            <w:pPr>
              <w:numPr>
                <w:ilvl w:val="0"/>
                <w:numId w:val="26"/>
              </w:numPr>
              <w:jc w:val="both"/>
              <w:rPr>
                <w:rFonts w:cs="Arial"/>
                <w:szCs w:val="20"/>
              </w:rPr>
            </w:pPr>
            <w:r w:rsidRPr="002503B6">
              <w:rPr>
                <w:rFonts w:cs="Arial"/>
                <w:szCs w:val="20"/>
              </w:rPr>
              <w:t xml:space="preserve">Architect and Alinity systems utilize a specimen level detect mechanism, so special racks specific to tube-type are not required.  </w:t>
            </w:r>
          </w:p>
          <w:p w14:paraId="47F5C38C" w14:textId="77777777" w:rsidR="002503B6" w:rsidRPr="002503B6" w:rsidRDefault="002503B6" w:rsidP="002503B6">
            <w:pPr>
              <w:numPr>
                <w:ilvl w:val="0"/>
                <w:numId w:val="26"/>
              </w:numPr>
              <w:jc w:val="both"/>
              <w:rPr>
                <w:rFonts w:cs="Arial"/>
                <w:szCs w:val="20"/>
              </w:rPr>
            </w:pPr>
            <w:r w:rsidRPr="002503B6">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13E2A147" w:rsidR="00D955F6" w:rsidRPr="00C00B65" w:rsidRDefault="003C5427">
            <w:pPr>
              <w:rPr>
                <w:rFonts w:cs="Arial"/>
                <w:b/>
                <w:bCs/>
                <w:color w:val="0000FF"/>
                <w:szCs w:val="20"/>
              </w:rPr>
            </w:pPr>
            <w:r>
              <w:rPr>
                <w:rFonts w:cs="Arial"/>
                <w:b/>
                <w:bCs/>
                <w:color w:val="0000FF"/>
                <w:szCs w:val="20"/>
              </w:rPr>
              <w:t xml:space="preserve"> </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FF2907C" w14:textId="77777777" w:rsidR="00233AA0" w:rsidRPr="00DC7421" w:rsidRDefault="00233AA0" w:rsidP="00233AA0">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6884C5A2" w:rsidR="007B410A" w:rsidRPr="00DC7421" w:rsidRDefault="002503B6" w:rsidP="007B410A">
            <w:pPr>
              <w:autoSpaceDE w:val="0"/>
              <w:autoSpaceDN w:val="0"/>
              <w:adjustRightInd w:val="0"/>
              <w:spacing w:after="208"/>
              <w:rPr>
                <w:rFonts w:cs="Arial"/>
                <w:color w:val="000000"/>
                <w:szCs w:val="20"/>
              </w:rPr>
            </w:pPr>
            <w:r>
              <w:rPr>
                <w:rFonts w:cs="Arial"/>
                <w:color w:val="000000"/>
                <w:szCs w:val="20"/>
              </w:rPr>
              <w:t xml:space="preserve">Reagents are shipped refrigerated or on wet ice/cold packs.  </w:t>
            </w:r>
            <w:r w:rsidR="007B410A" w:rsidRPr="00DC7421">
              <w:rPr>
                <w:rFonts w:cs="Arial"/>
                <w:color w:val="000000"/>
                <w:szCs w:val="20"/>
              </w:rPr>
              <w:t>Upon receipt,</w:t>
            </w:r>
            <w:r>
              <w:rPr>
                <w:rFonts w:eastAsia="HelenPro-Regular"/>
                <w:szCs w:val="20"/>
              </w:rPr>
              <w:t xml:space="preserve"> </w:t>
            </w:r>
            <w:r w:rsidR="007B410A" w:rsidRPr="00DC7421">
              <w:rPr>
                <w:rFonts w:cs="Arial"/>
                <w:color w:val="000000"/>
                <w:szCs w:val="20"/>
              </w:rPr>
              <w:t>place reagent cartrid</w:t>
            </w:r>
            <w:r w:rsidR="007B410A">
              <w:rPr>
                <w:rFonts w:cs="Arial"/>
                <w:color w:val="000000"/>
                <w:szCs w:val="20"/>
              </w:rPr>
              <w:t>ges in an upright position for 1 hour</w:t>
            </w:r>
            <w:r w:rsidR="007B410A" w:rsidRPr="00DC7421">
              <w:rPr>
                <w:rFonts w:cs="Arial"/>
                <w:color w:val="000000"/>
                <w:szCs w:val="20"/>
              </w:rPr>
              <w:t xml:space="preserve"> before use to allow bubbles that may have formed to dissipate. </w:t>
            </w:r>
          </w:p>
          <w:p w14:paraId="33267BA8" w14:textId="77777777" w:rsidR="003C5427"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3C5427">
              <w:rPr>
                <w:rFonts w:cs="Arial"/>
                <w:color w:val="000000"/>
                <w:szCs w:val="20"/>
              </w:rPr>
              <w:t>1</w:t>
            </w:r>
            <w:r w:rsidRPr="00DC7421">
              <w:rPr>
                <w:rFonts w:cs="Arial"/>
                <w:color w:val="000000"/>
                <w:szCs w:val="20"/>
              </w:rPr>
              <w:t xml:space="preserve"> hour before use to allow bubbles that may have formed to dissipate.</w:t>
            </w:r>
          </w:p>
          <w:p w14:paraId="0F85F1C3" w14:textId="7E8C6BDB" w:rsidR="002503B6" w:rsidRPr="005705B9" w:rsidRDefault="001362D6" w:rsidP="002503B6">
            <w:pPr>
              <w:autoSpaceDE w:val="0"/>
              <w:autoSpaceDN w:val="0"/>
              <w:adjustRightInd w:val="0"/>
              <w:spacing w:after="208"/>
              <w:rPr>
                <w:rFonts w:cs="Arial"/>
                <w:b/>
                <w:color w:val="000000"/>
                <w:szCs w:val="20"/>
              </w:rPr>
            </w:pPr>
            <w:r>
              <w:rPr>
                <w:rFonts w:cs="Arial"/>
                <w:b/>
                <w:color w:val="000000"/>
                <w:szCs w:val="20"/>
              </w:rPr>
              <w:t>Immediately p</w:t>
            </w:r>
            <w:r w:rsidR="002503B6">
              <w:rPr>
                <w:rFonts w:cs="Arial"/>
                <w:b/>
                <w:color w:val="000000"/>
                <w:szCs w:val="20"/>
              </w:rPr>
              <w:t>rior to loading</w:t>
            </w:r>
            <w:r>
              <w:rPr>
                <w:rFonts w:cs="Arial"/>
                <w:b/>
                <w:color w:val="000000"/>
                <w:szCs w:val="20"/>
              </w:rPr>
              <w:t xml:space="preserve"> on the analyzer</w:t>
            </w:r>
            <w:r w:rsidR="002503B6" w:rsidRPr="005705B9">
              <w:rPr>
                <w:rFonts w:cs="Arial"/>
                <w:b/>
                <w:color w:val="000000"/>
                <w:szCs w:val="20"/>
              </w:rPr>
              <w:t xml:space="preserve">, gently invert </w:t>
            </w:r>
            <w:r>
              <w:rPr>
                <w:rFonts w:cs="Arial"/>
                <w:b/>
                <w:color w:val="000000"/>
                <w:szCs w:val="20"/>
              </w:rPr>
              <w:t xml:space="preserve">the </w:t>
            </w:r>
            <w:r w:rsidR="002503B6" w:rsidRPr="005705B9">
              <w:rPr>
                <w:rFonts w:cs="Arial"/>
                <w:b/>
                <w:color w:val="000000"/>
                <w:szCs w:val="20"/>
              </w:rPr>
              <w:t>cartridge 5 times.</w:t>
            </w:r>
            <w:r w:rsidR="002503B6">
              <w:rPr>
                <w:rFonts w:cs="Arial"/>
                <w:b/>
                <w:color w:val="000000"/>
                <w:szCs w:val="20"/>
              </w:rPr>
              <w:t xml:space="preserve">  Check to ensure there are no bubbles.</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00F4F975" w14:textId="251458CE" w:rsidR="008E0E52" w:rsidRPr="008E0E52" w:rsidRDefault="008E0E52" w:rsidP="008E0E52">
            <w:pPr>
              <w:pStyle w:val="ListParagraph"/>
              <w:numPr>
                <w:ilvl w:val="0"/>
                <w:numId w:val="38"/>
              </w:numPr>
              <w:rPr>
                <w:rFonts w:eastAsia="HelenPro-Regular"/>
                <w:szCs w:val="20"/>
              </w:rPr>
            </w:pPr>
            <w:r w:rsidRPr="008E0E52">
              <w:rPr>
                <w:rFonts w:eastAsia="HelenPro-Regular"/>
                <w:szCs w:val="20"/>
              </w:rPr>
              <w:t>Do not freeze.</w:t>
            </w:r>
          </w:p>
          <w:p w14:paraId="2CC080ED" w14:textId="405B1941" w:rsidR="008E0E52" w:rsidRDefault="008E0E52" w:rsidP="008E0E52">
            <w:pPr>
              <w:pStyle w:val="ListParagraph"/>
              <w:numPr>
                <w:ilvl w:val="0"/>
                <w:numId w:val="38"/>
              </w:numPr>
              <w:autoSpaceDE w:val="0"/>
              <w:autoSpaceDN w:val="0"/>
              <w:adjustRightInd w:val="0"/>
              <w:rPr>
                <w:rFonts w:eastAsia="HelenPro-Regular"/>
                <w:szCs w:val="20"/>
              </w:rPr>
            </w:pPr>
            <w:r w:rsidRPr="008E0E52">
              <w:rPr>
                <w:rFonts w:eastAsia="HelenPro-Regular"/>
                <w:szCs w:val="20"/>
              </w:rPr>
              <w:t>Do not expose reagents to temperatures above 32°C.</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8E0E52">
        <w:trPr>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01084152" w:rsidR="0081197E" w:rsidRPr="00DC7421" w:rsidRDefault="008E0E52" w:rsidP="00115DD6">
                  <w:pPr>
                    <w:autoSpaceDE w:val="0"/>
                    <w:autoSpaceDN w:val="0"/>
                    <w:adjustRightInd w:val="0"/>
                    <w:rPr>
                      <w:rFonts w:cs="Arial"/>
                      <w:szCs w:val="20"/>
                    </w:rPr>
                  </w:pPr>
                  <w:r>
                    <w:rPr>
                      <w:rFonts w:cs="Arial"/>
                      <w:szCs w:val="20"/>
                    </w:rPr>
                    <w:t xml:space="preserve">Abbott </w:t>
                  </w:r>
                  <w:r w:rsidR="003C5427" w:rsidRPr="003C5427">
                    <w:rPr>
                      <w:rFonts w:cs="Arial"/>
                      <w:szCs w:val="20"/>
                    </w:rPr>
                    <w:t>Alinity c Gentamicin Reagent Kit</w:t>
                  </w:r>
                </w:p>
              </w:tc>
              <w:tc>
                <w:tcPr>
                  <w:tcW w:w="1710" w:type="dxa"/>
                  <w:vAlign w:val="center"/>
                </w:tcPr>
                <w:p w14:paraId="78062055" w14:textId="71F1B2A9" w:rsidR="0081197E" w:rsidRPr="00DC7421" w:rsidRDefault="008E0E52" w:rsidP="0081197E">
                  <w:pPr>
                    <w:pStyle w:val="BodyText"/>
                    <w:tabs>
                      <w:tab w:val="left" w:pos="3240"/>
                    </w:tabs>
                    <w:rPr>
                      <w:rFonts w:cs="Arial"/>
                      <w:szCs w:val="20"/>
                    </w:rPr>
                  </w:pPr>
                  <w:r w:rsidRPr="008E0E52">
                    <w:rPr>
                      <w:rFonts w:cs="Arial"/>
                      <w:szCs w:val="20"/>
                    </w:rPr>
                    <w:t>08P5520</w:t>
                  </w:r>
                </w:p>
              </w:tc>
              <w:tc>
                <w:tcPr>
                  <w:tcW w:w="4533" w:type="dxa"/>
                  <w:vAlign w:val="center"/>
                </w:tcPr>
                <w:p w14:paraId="1E13427C" w14:textId="5F85A68E"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3C5427" w:rsidRPr="003C5427">
                    <w:rPr>
                      <w:rFonts w:ascii="Arial" w:hAnsi="Arial" w:cs="Arial"/>
                      <w:bCs/>
                    </w:rPr>
                    <w:t>2 to 8°C</w:t>
                  </w:r>
                </w:p>
                <w:p w14:paraId="188F00FD" w14:textId="2B7514B2"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3C5427">
                    <w:rPr>
                      <w:rFonts w:ascii="Arial" w:hAnsi="Arial" w:cs="Arial"/>
                      <w:bCs/>
                    </w:rPr>
                    <w:t xml:space="preserve">Until </w:t>
                  </w:r>
                  <w:r w:rsidR="008E0E52">
                    <w:rPr>
                      <w:rFonts w:ascii="Arial" w:hAnsi="Arial" w:cs="Arial"/>
                      <w:bCs/>
                    </w:rPr>
                    <w:t xml:space="preserve">manufacturer’s printed </w:t>
                  </w:r>
                  <w:r w:rsidR="00115DD6" w:rsidRPr="003C5427">
                    <w:rPr>
                      <w:rFonts w:ascii="Arial" w:hAnsi="Arial" w:cs="Arial"/>
                      <w:bCs/>
                    </w:rPr>
                    <w:t>expiration Date</w:t>
                  </w:r>
                </w:p>
                <w:p w14:paraId="2EC74C2E" w14:textId="6B2B04DB"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3C5427">
                    <w:rPr>
                      <w:rFonts w:ascii="Arial" w:hAnsi="Arial" w:cs="Arial"/>
                      <w:bCs/>
                    </w:rPr>
                    <w:t>53 days</w:t>
                  </w:r>
                </w:p>
                <w:p w14:paraId="2EC23D08" w14:textId="53F4514A" w:rsidR="0081197E" w:rsidRPr="003F688A" w:rsidRDefault="0081197E" w:rsidP="00115DD6">
                  <w:pPr>
                    <w:pStyle w:val="Reagents"/>
                    <w:spacing w:after="80"/>
                    <w:rPr>
                      <w:rFonts w:ascii="Arial" w:hAnsi="Arial" w:cs="Arial"/>
                      <w:bCs/>
                    </w:rPr>
                  </w:pPr>
                </w:p>
              </w:tc>
            </w:tr>
            <w:tr w:rsidR="0081197E" w:rsidRPr="00DC7421" w14:paraId="2A1E45AA" w14:textId="77777777" w:rsidTr="00413A69">
              <w:tc>
                <w:tcPr>
                  <w:tcW w:w="2857" w:type="dxa"/>
                  <w:vAlign w:val="center"/>
                </w:tcPr>
                <w:p w14:paraId="417AB88A" w14:textId="34BE8609" w:rsidR="0081197E" w:rsidRPr="00EA1620" w:rsidRDefault="003417E0" w:rsidP="003417E0">
                  <w:pPr>
                    <w:pStyle w:val="BodyText"/>
                    <w:rPr>
                      <w:rFonts w:cs="Arial"/>
                      <w:szCs w:val="20"/>
                    </w:rPr>
                  </w:pPr>
                  <w:r w:rsidRPr="00EA1620">
                    <w:rPr>
                      <w:rFonts w:cs="Arial"/>
                      <w:szCs w:val="20"/>
                    </w:rPr>
                    <w:t>A</w:t>
                  </w:r>
                  <w:r w:rsidR="008E0E52">
                    <w:rPr>
                      <w:rFonts w:cs="Arial"/>
                      <w:szCs w:val="20"/>
                    </w:rPr>
                    <w:t>bbott A</w:t>
                  </w:r>
                  <w:r w:rsidRPr="00EA1620">
                    <w:rPr>
                      <w:rFonts w:cs="Arial"/>
                      <w:szCs w:val="20"/>
                    </w:rPr>
                    <w:t>linity c TDM Multiconstituent Calibrator Kit</w:t>
                  </w:r>
                </w:p>
              </w:tc>
              <w:tc>
                <w:tcPr>
                  <w:tcW w:w="1710" w:type="dxa"/>
                  <w:vAlign w:val="center"/>
                </w:tcPr>
                <w:p w14:paraId="1C065F4D" w14:textId="7E54F747" w:rsidR="0081197E" w:rsidRPr="002503B6" w:rsidRDefault="00EA1620" w:rsidP="0081197E">
                  <w:pPr>
                    <w:rPr>
                      <w:rFonts w:cs="Arial"/>
                      <w:szCs w:val="20"/>
                    </w:rPr>
                  </w:pPr>
                  <w:r w:rsidRPr="002503B6">
                    <w:rPr>
                      <w:rFonts w:cs="Arial"/>
                      <w:bCs/>
                      <w:szCs w:val="20"/>
                    </w:rPr>
                    <w:t>08P7403</w:t>
                  </w:r>
                </w:p>
              </w:tc>
              <w:tc>
                <w:tcPr>
                  <w:tcW w:w="4533" w:type="dxa"/>
                  <w:vAlign w:val="center"/>
                </w:tcPr>
                <w:p w14:paraId="0A86A7E2" w14:textId="77777777" w:rsidR="00EA1620" w:rsidRPr="00115DD6" w:rsidRDefault="0081197E" w:rsidP="00EA1620">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EA1620" w:rsidRPr="003C5427">
                    <w:rPr>
                      <w:rFonts w:ascii="Arial" w:hAnsi="Arial" w:cs="Arial"/>
                      <w:bCs/>
                    </w:rPr>
                    <w:t>2 to 8°C</w:t>
                  </w:r>
                </w:p>
                <w:p w14:paraId="6AE34FFB" w14:textId="04C7D377" w:rsidR="00EA1620" w:rsidRDefault="00EA1620" w:rsidP="00EA1620">
                  <w:pPr>
                    <w:pStyle w:val="Reagents"/>
                    <w:spacing w:after="80"/>
                    <w:rPr>
                      <w:rFonts w:ascii="Arial" w:hAnsi="Arial" w:cs="Arial"/>
                      <w:b/>
                      <w:bCs/>
                    </w:rPr>
                  </w:pPr>
                  <w:r w:rsidRPr="00DC7421">
                    <w:rPr>
                      <w:rFonts w:ascii="Arial" w:hAnsi="Arial" w:cs="Arial"/>
                      <w:b/>
                      <w:bCs/>
                    </w:rPr>
                    <w:t xml:space="preserve">Unopened: </w:t>
                  </w:r>
                  <w:r w:rsidRPr="003C5427">
                    <w:rPr>
                      <w:rFonts w:ascii="Arial" w:hAnsi="Arial" w:cs="Arial"/>
                      <w:bCs/>
                    </w:rPr>
                    <w:t xml:space="preserve">Until </w:t>
                  </w:r>
                  <w:r w:rsidR="008E0E52">
                    <w:rPr>
                      <w:rFonts w:ascii="Arial" w:hAnsi="Arial" w:cs="Arial"/>
                      <w:bCs/>
                    </w:rPr>
                    <w:t>manufacturer’s printed expiration d</w:t>
                  </w:r>
                  <w:r w:rsidRPr="003C5427">
                    <w:rPr>
                      <w:rFonts w:ascii="Arial" w:hAnsi="Arial" w:cs="Arial"/>
                      <w:bCs/>
                    </w:rPr>
                    <w:t>ate</w:t>
                  </w:r>
                </w:p>
                <w:p w14:paraId="05D3D1A4" w14:textId="5AD65512" w:rsidR="00EA1620" w:rsidRPr="00EA1620" w:rsidRDefault="0081197E" w:rsidP="00EA1620">
                  <w:pPr>
                    <w:pStyle w:val="BodyText"/>
                    <w:spacing w:after="80"/>
                    <w:rPr>
                      <w:rFonts w:cs="Arial"/>
                      <w:bCs/>
                      <w:szCs w:val="20"/>
                    </w:rPr>
                  </w:pPr>
                  <w:r w:rsidRPr="00DC7421">
                    <w:rPr>
                      <w:rFonts w:cs="Arial"/>
                      <w:b/>
                      <w:bCs/>
                      <w:szCs w:val="20"/>
                    </w:rPr>
                    <w:t xml:space="preserve">Opened expiration: </w:t>
                  </w:r>
                  <w:r w:rsidR="00EA1620">
                    <w:rPr>
                      <w:rFonts w:cs="Arial"/>
                      <w:bCs/>
                      <w:szCs w:val="20"/>
                    </w:rPr>
                    <w:t>60 Days</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p w14:paraId="629E66B2" w14:textId="4C16F4CD" w:rsidR="00342D4F" w:rsidRDefault="00342D4F" w:rsidP="00342D4F">
            <w:pPr>
              <w:rPr>
                <w:szCs w:val="20"/>
              </w:rPr>
            </w:pPr>
            <w:r w:rsidRPr="00342D4F">
              <w:rPr>
                <w:b/>
                <w:bCs/>
                <w:szCs w:val="20"/>
              </w:rPr>
              <w:t xml:space="preserve">CAUTION: </w:t>
            </w:r>
            <w:r w:rsidRPr="00342D4F">
              <w:rPr>
                <w:szCs w:val="20"/>
              </w:rPr>
              <w:t>This product contains human-sourced and/or</w:t>
            </w:r>
            <w:r>
              <w:rPr>
                <w:szCs w:val="20"/>
              </w:rPr>
              <w:t xml:space="preserve"> </w:t>
            </w:r>
            <w:r w:rsidRPr="00342D4F">
              <w:rPr>
                <w:szCs w:val="20"/>
              </w:rPr>
              <w:t>po</w:t>
            </w:r>
            <w:r w:rsidR="003C5427">
              <w:rPr>
                <w:szCs w:val="20"/>
              </w:rPr>
              <w:t>tentially infectious components*</w:t>
            </w:r>
            <w:r w:rsidRPr="003C5427">
              <w:rPr>
                <w:i/>
                <w:szCs w:val="20"/>
              </w:rPr>
              <w:t>.</w:t>
            </w:r>
            <w:r w:rsidRPr="00342D4F">
              <w:rPr>
                <w:szCs w:val="20"/>
              </w:rPr>
              <w:t xml:space="preserve"> No known test method can offer complete</w:t>
            </w:r>
            <w:r>
              <w:rPr>
                <w:szCs w:val="20"/>
              </w:rPr>
              <w:t xml:space="preserve"> </w:t>
            </w:r>
            <w:r w:rsidRPr="00342D4F">
              <w:rPr>
                <w:szCs w:val="20"/>
              </w:rPr>
              <w:t>assurance that products derived from human sources or inactivated</w:t>
            </w:r>
            <w:r>
              <w:rPr>
                <w:szCs w:val="20"/>
              </w:rPr>
              <w:t xml:space="preserve"> </w:t>
            </w:r>
            <w:r w:rsidRPr="00342D4F">
              <w:rPr>
                <w:szCs w:val="20"/>
              </w:rPr>
              <w:t>microorganisms will not transmit infection. Therefore, all human</w:t>
            </w:r>
            <w:r w:rsidR="008E0E52">
              <w:rPr>
                <w:szCs w:val="20"/>
              </w:rPr>
              <w:t xml:space="preserve"> </w:t>
            </w:r>
            <w:r w:rsidRPr="00342D4F">
              <w:rPr>
                <w:szCs w:val="20"/>
              </w:rPr>
              <w:t>sourced</w:t>
            </w:r>
            <w:r>
              <w:rPr>
                <w:szCs w:val="20"/>
              </w:rPr>
              <w:t xml:space="preserve"> </w:t>
            </w:r>
            <w:r w:rsidRPr="00342D4F">
              <w:rPr>
                <w:szCs w:val="20"/>
              </w:rPr>
              <w:t>materials should be considered potentially infectious. It</w:t>
            </w:r>
            <w:r>
              <w:rPr>
                <w:szCs w:val="20"/>
              </w:rPr>
              <w:t xml:space="preserve"> </w:t>
            </w:r>
            <w:r w:rsidRPr="00342D4F">
              <w:rPr>
                <w:szCs w:val="20"/>
              </w:rPr>
              <w:t>is recommended that these reagents and human specimens be</w:t>
            </w:r>
            <w:r>
              <w:rPr>
                <w:szCs w:val="20"/>
              </w:rPr>
              <w:t xml:space="preserve"> </w:t>
            </w:r>
            <w:r w:rsidRPr="00342D4F">
              <w:rPr>
                <w:szCs w:val="20"/>
              </w:rPr>
              <w:t>handled in accordance with the OSHA Standard on Bloodborne</w:t>
            </w:r>
            <w:r>
              <w:rPr>
                <w:szCs w:val="20"/>
              </w:rPr>
              <w:t xml:space="preserve"> </w:t>
            </w:r>
            <w:r w:rsidRPr="00342D4F">
              <w:rPr>
                <w:szCs w:val="20"/>
              </w:rPr>
              <w:t>Pathogens. Biosafety Level 2 or other appropriate biosafety practices</w:t>
            </w:r>
            <w:r>
              <w:rPr>
                <w:szCs w:val="20"/>
              </w:rPr>
              <w:t xml:space="preserve"> </w:t>
            </w:r>
            <w:r w:rsidRPr="00342D4F">
              <w:rPr>
                <w:szCs w:val="20"/>
              </w:rPr>
              <w:t>should be used for materials that contain or are suspected of</w:t>
            </w:r>
            <w:r>
              <w:rPr>
                <w:szCs w:val="20"/>
              </w:rPr>
              <w:t xml:space="preserve"> </w:t>
            </w:r>
            <w:r w:rsidRPr="00342D4F">
              <w:rPr>
                <w:szCs w:val="20"/>
              </w:rPr>
              <w:t>containing infectious agents.2-5</w:t>
            </w:r>
            <w:r>
              <w:rPr>
                <w:szCs w:val="20"/>
              </w:rPr>
              <w:t xml:space="preserve"> </w:t>
            </w:r>
            <w:r w:rsidRPr="00342D4F">
              <w:rPr>
                <w:szCs w:val="20"/>
              </w:rPr>
              <w:t>The human-sourced material used in Reagent 2 has been tested</w:t>
            </w:r>
            <w:r>
              <w:rPr>
                <w:szCs w:val="20"/>
              </w:rPr>
              <w:t xml:space="preserve"> </w:t>
            </w:r>
            <w:r w:rsidRPr="00342D4F">
              <w:rPr>
                <w:szCs w:val="20"/>
              </w:rPr>
              <w:t>and found to be nonreactive for HBsAg, HCV RNA, HIV-1 Ag or HIV-1</w:t>
            </w:r>
            <w:r>
              <w:rPr>
                <w:szCs w:val="20"/>
              </w:rPr>
              <w:t xml:space="preserve"> </w:t>
            </w:r>
            <w:r w:rsidRPr="00342D4F">
              <w:rPr>
                <w:szCs w:val="20"/>
              </w:rPr>
              <w:t>RNA, anti-HCV and anti-HIV-1/HIV-2.</w:t>
            </w:r>
            <w:r>
              <w:rPr>
                <w:szCs w:val="20"/>
              </w:rPr>
              <w:t xml:space="preserve"> </w:t>
            </w:r>
          </w:p>
          <w:p w14:paraId="50A443AE" w14:textId="77777777" w:rsidR="00342D4F" w:rsidRDefault="00342D4F" w:rsidP="00342D4F">
            <w:pPr>
              <w:rPr>
                <w:szCs w:val="20"/>
              </w:rPr>
            </w:pPr>
          </w:p>
          <w:p w14:paraId="32E0EB4B" w14:textId="77777777" w:rsidR="003C5427" w:rsidRDefault="003C5427" w:rsidP="00342D4F">
            <w:pPr>
              <w:rPr>
                <w:szCs w:val="20"/>
              </w:rPr>
            </w:pPr>
          </w:p>
          <w:p w14:paraId="3C7D5E48" w14:textId="548564BC" w:rsidR="00342D4F" w:rsidRDefault="00342D4F" w:rsidP="00342D4F">
            <w:pPr>
              <w:rPr>
                <w:szCs w:val="20"/>
              </w:rPr>
            </w:pPr>
            <w:r w:rsidRPr="003C5427">
              <w:rPr>
                <w:i/>
                <w:szCs w:val="20"/>
              </w:rPr>
              <w:t>The following warnings and precautions apply to:</w:t>
            </w:r>
            <w:r>
              <w:rPr>
                <w:szCs w:val="20"/>
              </w:rPr>
              <w:t xml:space="preserve"> </w:t>
            </w:r>
            <w:r>
              <w:rPr>
                <w:b/>
                <w:szCs w:val="20"/>
              </w:rPr>
              <w:t>R1</w:t>
            </w:r>
          </w:p>
          <w:p w14:paraId="1C767377" w14:textId="77777777" w:rsidR="00342D4F" w:rsidRPr="00342D4F" w:rsidRDefault="00342D4F" w:rsidP="00342D4F">
            <w:pPr>
              <w:rPr>
                <w:szCs w:val="20"/>
              </w:rPr>
            </w:pPr>
          </w:p>
          <w:p w14:paraId="253D1CE3" w14:textId="31E58B23" w:rsidR="00342D4F" w:rsidRPr="00342D4F" w:rsidRDefault="003C5427" w:rsidP="00342D4F">
            <w:pPr>
              <w:rPr>
                <w:szCs w:val="20"/>
              </w:rPr>
            </w:pPr>
            <w:r>
              <w:rPr>
                <w:noProof/>
              </w:rPr>
              <w:drawing>
                <wp:inline distT="0" distB="0" distL="0" distR="0" wp14:anchorId="4E177FCD" wp14:editId="768EBD40">
                  <wp:extent cx="590476" cy="5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476" cy="590476"/>
                          </a:xfrm>
                          <a:prstGeom prst="rect">
                            <a:avLst/>
                          </a:prstGeom>
                        </pic:spPr>
                      </pic:pic>
                    </a:graphicData>
                  </a:graphic>
                </wp:inline>
              </w:drawing>
            </w:r>
            <w:r w:rsidR="00342D4F" w:rsidRPr="00342D4F">
              <w:rPr>
                <w:b/>
                <w:bCs/>
                <w:szCs w:val="20"/>
              </w:rPr>
              <w:t xml:space="preserve">WARNING </w:t>
            </w:r>
            <w:r w:rsidR="00342D4F" w:rsidRPr="00342D4F">
              <w:rPr>
                <w:szCs w:val="20"/>
              </w:rPr>
              <w:t>Contains tris hydroxymethyl</w:t>
            </w:r>
            <w:r w:rsidR="00342D4F">
              <w:rPr>
                <w:szCs w:val="20"/>
              </w:rPr>
              <w:t xml:space="preserve"> </w:t>
            </w:r>
            <w:r w:rsidR="00342D4F" w:rsidRPr="00342D4F">
              <w:rPr>
                <w:szCs w:val="20"/>
              </w:rPr>
              <w:t>aminomethane* and sodium azide.</w:t>
            </w:r>
          </w:p>
          <w:p w14:paraId="3489F134" w14:textId="5632F9DE" w:rsidR="00342D4F" w:rsidRPr="00342D4F" w:rsidRDefault="00342D4F" w:rsidP="00342D4F">
            <w:pPr>
              <w:rPr>
                <w:szCs w:val="20"/>
              </w:rPr>
            </w:pPr>
            <w:r>
              <w:rPr>
                <w:szCs w:val="20"/>
              </w:rPr>
              <w:t xml:space="preserve">     </w:t>
            </w:r>
            <w:r w:rsidRPr="00342D4F">
              <w:rPr>
                <w:szCs w:val="20"/>
              </w:rPr>
              <w:t>Causes mild skin irritation.</w:t>
            </w:r>
          </w:p>
          <w:p w14:paraId="05C97A8A" w14:textId="5EED71C8" w:rsidR="009475C8" w:rsidRDefault="00342D4F" w:rsidP="00342D4F">
            <w:pPr>
              <w:rPr>
                <w:szCs w:val="20"/>
              </w:rPr>
            </w:pPr>
            <w:r>
              <w:rPr>
                <w:szCs w:val="20"/>
              </w:rPr>
              <w:t xml:space="preserve">     </w:t>
            </w:r>
            <w:r w:rsidRPr="00342D4F">
              <w:rPr>
                <w:szCs w:val="20"/>
              </w:rPr>
              <w:t>Contact with acids liberates very toxic gas.</w:t>
            </w:r>
          </w:p>
          <w:p w14:paraId="4CA4591D" w14:textId="77777777" w:rsidR="003C5427" w:rsidRDefault="003C5427" w:rsidP="003C5427">
            <w:pPr>
              <w:rPr>
                <w:szCs w:val="20"/>
              </w:rPr>
            </w:pPr>
          </w:p>
          <w:p w14:paraId="7CB06C52" w14:textId="369BC0C2" w:rsidR="003C5427" w:rsidRPr="003C5427" w:rsidRDefault="003C5427" w:rsidP="003C5427">
            <w:pPr>
              <w:rPr>
                <w:b/>
                <w:szCs w:val="20"/>
              </w:rPr>
            </w:pPr>
            <w:r w:rsidRPr="003C5427">
              <w:rPr>
                <w:i/>
                <w:szCs w:val="20"/>
              </w:rPr>
              <w:t>The following warnings and precautions apply to:</w:t>
            </w:r>
            <w:r>
              <w:rPr>
                <w:szCs w:val="20"/>
              </w:rPr>
              <w:t xml:space="preserve"> </w:t>
            </w:r>
            <w:r>
              <w:rPr>
                <w:b/>
                <w:szCs w:val="20"/>
              </w:rPr>
              <w:t>R2</w:t>
            </w:r>
          </w:p>
          <w:p w14:paraId="17389342" w14:textId="3C4085D9" w:rsidR="003C5427" w:rsidRPr="003C5427" w:rsidRDefault="003C5427" w:rsidP="003C5427">
            <w:pPr>
              <w:rPr>
                <w:szCs w:val="20"/>
              </w:rPr>
            </w:pPr>
            <w:r>
              <w:rPr>
                <w:szCs w:val="20"/>
              </w:rPr>
              <w:t xml:space="preserve">     </w:t>
            </w:r>
            <w:r w:rsidRPr="003C5427">
              <w:rPr>
                <w:szCs w:val="20"/>
              </w:rPr>
              <w:t>Contains sodium azide.</w:t>
            </w:r>
          </w:p>
          <w:p w14:paraId="7075FC0D" w14:textId="601BB24E" w:rsidR="003C5427" w:rsidRDefault="003C5427" w:rsidP="003C5427">
            <w:pPr>
              <w:rPr>
                <w:szCs w:val="20"/>
              </w:rPr>
            </w:pPr>
            <w:r>
              <w:rPr>
                <w:szCs w:val="20"/>
              </w:rPr>
              <w:t xml:space="preserve">     </w:t>
            </w:r>
            <w:r w:rsidRPr="003C5427">
              <w:rPr>
                <w:szCs w:val="20"/>
              </w:rPr>
              <w:t>Contact with acids liberates very toxic gas.</w:t>
            </w:r>
          </w:p>
          <w:p w14:paraId="0C28D74C" w14:textId="77777777" w:rsidR="008E0E52" w:rsidRDefault="008E0E52" w:rsidP="003C5427">
            <w:pPr>
              <w:rPr>
                <w:szCs w:val="20"/>
              </w:rPr>
            </w:pPr>
          </w:p>
          <w:p w14:paraId="15D83D4A" w14:textId="23B40455" w:rsidR="008E0E52" w:rsidRPr="003C5427" w:rsidRDefault="008E0E52" w:rsidP="003C5427">
            <w:pPr>
              <w:rPr>
                <w:szCs w:val="20"/>
              </w:rPr>
            </w:pPr>
            <w:r>
              <w:rPr>
                <w:szCs w:val="20"/>
              </w:rPr>
              <w:t>No special disposal is required.</w:t>
            </w:r>
          </w:p>
          <w:p w14:paraId="1D6EAD2B" w14:textId="4E772A73" w:rsidR="009475C8" w:rsidRDefault="003C5427" w:rsidP="003C5427">
            <w:pPr>
              <w:rPr>
                <w:szCs w:val="20"/>
              </w:rPr>
            </w:pPr>
            <w:r>
              <w:rPr>
                <w:szCs w:val="20"/>
              </w:rPr>
              <w:t xml:space="preserve">     </w:t>
            </w:r>
          </w:p>
          <w:p w14:paraId="5EFA9057" w14:textId="187619D3" w:rsidR="009475C8" w:rsidRDefault="009475C8">
            <w:r>
              <w:rPr>
                <w:szCs w:val="20"/>
              </w:rPr>
              <w:t xml:space="preserve">Safety data sheets (MSDS/SDS) available on </w:t>
            </w:r>
            <w:hyperlink r:id="rId13"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8E0E52">
        <w:trPr>
          <w:tblHeader/>
        </w:trPr>
        <w:tc>
          <w:tcPr>
            <w:tcW w:w="1800" w:type="dxa"/>
            <w:tcBorders>
              <w:top w:val="nil"/>
              <w:left w:val="nil"/>
              <w:bottom w:val="nil"/>
              <w:right w:val="nil"/>
            </w:tcBorders>
          </w:tcPr>
          <w:p w14:paraId="5CCFFFD2" w14:textId="71D69879" w:rsidR="00F50200" w:rsidRPr="00C00B65" w:rsidRDefault="00F50200" w:rsidP="003E0A08">
            <w:pPr>
              <w:ind w:left="-108" w:right="-108"/>
              <w:rPr>
                <w:rFonts w:cs="Arial"/>
                <w:b/>
                <w:bCs/>
                <w:color w:val="0000FF"/>
                <w:szCs w:val="20"/>
              </w:rPr>
            </w:pPr>
            <w:r w:rsidRPr="00C00B65">
              <w:rPr>
                <w:rFonts w:cs="Arial"/>
                <w:b/>
                <w:bCs/>
                <w:color w:val="0000FF"/>
                <w:szCs w:val="20"/>
              </w:rPr>
              <w:lastRenderedPageBreak/>
              <w:t>Calibration</w:t>
            </w:r>
          </w:p>
        </w:tc>
        <w:tc>
          <w:tcPr>
            <w:tcW w:w="9360" w:type="dxa"/>
            <w:gridSpan w:val="4"/>
            <w:tcBorders>
              <w:top w:val="single" w:sz="18" w:space="0" w:color="BFBFBF"/>
              <w:left w:val="nil"/>
              <w:bottom w:val="single" w:sz="18" w:space="0" w:color="BFBFBF"/>
              <w:right w:val="nil"/>
            </w:tcBorders>
          </w:tcPr>
          <w:p w14:paraId="5CCFFFD3" w14:textId="27BA3C58"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10960DC5" w:rsidR="00F50200" w:rsidRPr="00DC7421" w:rsidRDefault="008E0E52" w:rsidP="00A32948">
                  <w:pPr>
                    <w:pStyle w:val="CalVerTable"/>
                    <w:ind w:left="0" w:firstLine="0"/>
                    <w:rPr>
                      <w:rFonts w:ascii="Arial" w:hAnsi="Arial" w:cs="Arial"/>
                    </w:rPr>
                  </w:pPr>
                  <w:r>
                    <w:rPr>
                      <w:rFonts w:ascii="Arial" w:hAnsi="Arial" w:cs="Arial"/>
                    </w:rPr>
                    <w:t xml:space="preserve">0.5 to 10.0 </w:t>
                  </w:r>
                  <w:r w:rsidRPr="008E0E52">
                    <w:rPr>
                      <w:rFonts w:ascii="Arial" w:hAnsi="Arial" w:cs="Arial"/>
                    </w:rPr>
                    <w:t>µg/mL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2EA9D24A" w:rsidR="00F50200" w:rsidRPr="00DC7421" w:rsidRDefault="008E0E52" w:rsidP="00440E37">
                  <w:pPr>
                    <w:pStyle w:val="BodyText"/>
                    <w:rPr>
                      <w:rFonts w:cs="Arial"/>
                      <w:szCs w:val="20"/>
                    </w:rPr>
                  </w:pPr>
                  <w:r>
                    <w:rPr>
                      <w:rFonts w:cs="Arial"/>
                      <w:szCs w:val="20"/>
                    </w:rPr>
                    <w:t xml:space="preserve">Abbott Alinity c </w:t>
                  </w:r>
                  <w:r w:rsidR="00EA1620" w:rsidRPr="00EA1620">
                    <w:rPr>
                      <w:rFonts w:cs="Arial"/>
                      <w:szCs w:val="20"/>
                    </w:rPr>
                    <w:t>TDM Multiconstituent Calibrator</w:t>
                  </w:r>
                </w:p>
              </w:tc>
            </w:tr>
            <w:tr w:rsidR="00F50200" w:rsidRPr="00DC7421" w14:paraId="5CCFFFE1" w14:textId="77777777" w:rsidTr="001C1CFA">
              <w:tc>
                <w:tcPr>
                  <w:tcW w:w="2947" w:type="dxa"/>
                </w:tcPr>
                <w:p w14:paraId="5CCFFFDA" w14:textId="77777777"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4122671D" w14:textId="77777777" w:rsidR="005B66A7" w:rsidRDefault="008E0E52" w:rsidP="001D1786">
                  <w:pPr>
                    <w:pStyle w:val="CalVerTable"/>
                    <w:ind w:left="0" w:firstLine="0"/>
                    <w:rPr>
                      <w:rFonts w:ascii="Arial" w:hAnsi="Arial" w:cs="Arial"/>
                    </w:rPr>
                  </w:pPr>
                  <w:r>
                    <w:rPr>
                      <w:rFonts w:ascii="Arial" w:hAnsi="Arial" w:cs="Arial"/>
                    </w:rPr>
                    <w:t>Approximate values:</w:t>
                  </w:r>
                </w:p>
                <w:p w14:paraId="6086A109" w14:textId="009F58C4" w:rsidR="008E0E52" w:rsidRDefault="008E0E52" w:rsidP="001D1786">
                  <w:pPr>
                    <w:pStyle w:val="CalVerTable"/>
                    <w:ind w:left="0" w:firstLine="0"/>
                    <w:rPr>
                      <w:rFonts w:ascii="Arial" w:hAnsi="Arial" w:cs="Arial"/>
                    </w:rPr>
                  </w:pPr>
                  <w:r>
                    <w:rPr>
                      <w:rFonts w:ascii="Arial" w:hAnsi="Arial" w:cs="Arial"/>
                    </w:rPr>
                    <w:t>CAL 1: 0</w:t>
                  </w:r>
                </w:p>
                <w:p w14:paraId="5D78D900" w14:textId="7C1CFE9D" w:rsidR="008E0E52" w:rsidRDefault="008E0E52" w:rsidP="001D1786">
                  <w:pPr>
                    <w:pStyle w:val="CalVerTable"/>
                    <w:ind w:left="0" w:firstLine="0"/>
                    <w:rPr>
                      <w:rFonts w:ascii="Arial" w:hAnsi="Arial" w:cs="Arial"/>
                    </w:rPr>
                  </w:pPr>
                  <w:r>
                    <w:rPr>
                      <w:rFonts w:ascii="Arial" w:hAnsi="Arial" w:cs="Arial"/>
                    </w:rPr>
                    <w:t>CAL 2: 0.5</w:t>
                  </w:r>
                </w:p>
                <w:p w14:paraId="5AC91868" w14:textId="7F60BBB4" w:rsidR="008E0E52" w:rsidRDefault="008E0E52" w:rsidP="001D1786">
                  <w:pPr>
                    <w:pStyle w:val="CalVerTable"/>
                    <w:ind w:left="0" w:firstLine="0"/>
                    <w:rPr>
                      <w:rFonts w:ascii="Arial" w:hAnsi="Arial" w:cs="Arial"/>
                    </w:rPr>
                  </w:pPr>
                  <w:r>
                    <w:rPr>
                      <w:rFonts w:ascii="Arial" w:hAnsi="Arial" w:cs="Arial"/>
                    </w:rPr>
                    <w:t>CAL 3: 1.5</w:t>
                  </w:r>
                </w:p>
                <w:p w14:paraId="52C887BE" w14:textId="3D0DD8B5" w:rsidR="008E0E52" w:rsidRDefault="008E0E52" w:rsidP="001D1786">
                  <w:pPr>
                    <w:pStyle w:val="CalVerTable"/>
                    <w:ind w:left="0" w:firstLine="0"/>
                    <w:rPr>
                      <w:rFonts w:ascii="Arial" w:hAnsi="Arial" w:cs="Arial"/>
                    </w:rPr>
                  </w:pPr>
                  <w:r>
                    <w:rPr>
                      <w:rFonts w:ascii="Arial" w:hAnsi="Arial" w:cs="Arial"/>
                    </w:rPr>
                    <w:t>CAL 4: 3.0</w:t>
                  </w:r>
                </w:p>
                <w:p w14:paraId="6111E697" w14:textId="573F7C62" w:rsidR="008E0E52" w:rsidRDefault="008E0E52" w:rsidP="001D1786">
                  <w:pPr>
                    <w:pStyle w:val="CalVerTable"/>
                    <w:ind w:left="0" w:firstLine="0"/>
                    <w:rPr>
                      <w:rFonts w:ascii="Arial" w:hAnsi="Arial" w:cs="Arial"/>
                    </w:rPr>
                  </w:pPr>
                  <w:r>
                    <w:rPr>
                      <w:rFonts w:ascii="Arial" w:hAnsi="Arial" w:cs="Arial"/>
                    </w:rPr>
                    <w:t xml:space="preserve">CAL 5: 6.0 </w:t>
                  </w:r>
                </w:p>
                <w:p w14:paraId="45885185" w14:textId="39939345" w:rsidR="008E0E52" w:rsidRDefault="008E0E52" w:rsidP="001D1786">
                  <w:pPr>
                    <w:pStyle w:val="CalVerTable"/>
                    <w:ind w:left="0" w:firstLine="0"/>
                    <w:rPr>
                      <w:rFonts w:ascii="Arial" w:hAnsi="Arial" w:cs="Arial"/>
                    </w:rPr>
                  </w:pPr>
                  <w:r>
                    <w:rPr>
                      <w:rFonts w:ascii="Arial" w:hAnsi="Arial" w:cs="Arial"/>
                    </w:rPr>
                    <w:t>CAL 6: 10.0</w:t>
                  </w:r>
                </w:p>
                <w:p w14:paraId="5CCFFFE0" w14:textId="473B35B6" w:rsidR="008E0E52" w:rsidRPr="00DC7421" w:rsidRDefault="008E0E52" w:rsidP="001D1786">
                  <w:pPr>
                    <w:pStyle w:val="CalVerTable"/>
                    <w:ind w:left="0" w:firstLine="0"/>
                    <w:rPr>
                      <w:rFonts w:ascii="Arial" w:hAnsi="Arial" w:cs="Arial"/>
                    </w:rPr>
                  </w:pPr>
                </w:p>
              </w:tc>
            </w:tr>
            <w:tr w:rsidR="00F50200" w:rsidRPr="00DC7421" w14:paraId="5CCFFFE4" w14:textId="77777777" w:rsidTr="001C1CFA">
              <w:tc>
                <w:tcPr>
                  <w:tcW w:w="2947" w:type="dxa"/>
                </w:tcPr>
                <w:p w14:paraId="5CCFFFE2" w14:textId="19AC4352"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40E50368" w:rsidR="00F50200" w:rsidRPr="00DC7421" w:rsidRDefault="008E0E52" w:rsidP="005B66A7">
                  <w:pPr>
                    <w:pStyle w:val="CalVerTable"/>
                    <w:ind w:left="0" w:firstLine="0"/>
                    <w:rPr>
                      <w:rFonts w:ascii="Arial" w:hAnsi="Arial" w:cs="Arial"/>
                    </w:rPr>
                  </w:pPr>
                  <w:r>
                    <w:rPr>
                      <w:rFonts w:ascii="Arial" w:hAnsi="Arial" w:cs="Arial"/>
                    </w:rPr>
                    <w:t>6</w:t>
                  </w:r>
                  <w:r w:rsidR="009475C8">
                    <w:rPr>
                      <w:rFonts w:ascii="Arial" w:hAnsi="Arial" w:cs="Arial"/>
                    </w:rPr>
                    <w:t xml:space="preserve"> 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78C3534F" w:rsidR="00F50200" w:rsidRPr="00DC7421" w:rsidRDefault="008E0E52" w:rsidP="004A698D">
                  <w:pPr>
                    <w:pStyle w:val="Pa10"/>
                    <w:rPr>
                      <w:rFonts w:ascii="Arial" w:hAnsi="Arial" w:cs="Arial"/>
                      <w:sz w:val="20"/>
                      <w:szCs w:val="20"/>
                    </w:rPr>
                  </w:pPr>
                  <w:r>
                    <w:rPr>
                      <w:rFonts w:ascii="Arial" w:hAnsi="Arial" w:cs="Arial"/>
                      <w:sz w:val="20"/>
                      <w:szCs w:val="20"/>
                    </w:rPr>
                    <w:t>28 Days, every new lot, if QC indicates a need for calibration, and may be necessary after maintenance to critical parts or after service procedures have been performed, as directed by Field Service rep.</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52A84CC9" w:rsidR="00F50200" w:rsidRPr="00DC7421" w:rsidRDefault="009475C8" w:rsidP="008E0E52">
                  <w:pPr>
                    <w:autoSpaceDE w:val="0"/>
                    <w:autoSpaceDN w:val="0"/>
                    <w:adjustRightInd w:val="0"/>
                    <w:rPr>
                      <w:rFonts w:cs="Arial"/>
                      <w:szCs w:val="20"/>
                    </w:rPr>
                  </w:pPr>
                  <w:r w:rsidRPr="00DC7421">
                    <w:rPr>
                      <w:rFonts w:cs="Arial"/>
                      <w:szCs w:val="20"/>
                    </w:rPr>
                    <w:t xml:space="preserve">AMR is verified </w:t>
                  </w:r>
                  <w:r w:rsidR="008E0E52">
                    <w:rPr>
                      <w:rFonts w:cs="Arial"/>
                      <w:szCs w:val="20"/>
                    </w:rPr>
                    <w:t>with every calibration</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t>Quality Control</w:t>
            </w:r>
          </w:p>
        </w:tc>
        <w:tc>
          <w:tcPr>
            <w:tcW w:w="9360" w:type="dxa"/>
            <w:gridSpan w:val="4"/>
            <w:tcBorders>
              <w:top w:val="single" w:sz="18" w:space="0" w:color="BFBFBF"/>
              <w:left w:val="nil"/>
              <w:bottom w:val="single" w:sz="18" w:space="0" w:color="BFBFBF"/>
              <w:right w:val="nil"/>
            </w:tcBorders>
            <w:vAlign w:val="center"/>
          </w:tcPr>
          <w:p w14:paraId="442368F9" w14:textId="4ACBAEE0" w:rsidR="00F90184" w:rsidRPr="00560643" w:rsidRDefault="008E0E52" w:rsidP="00F90184">
            <w:r>
              <w:rPr>
                <w:rFonts w:cs="Arial"/>
                <w:b/>
                <w:szCs w:val="20"/>
              </w:rPr>
              <w:t xml:space="preserve">QC Material: </w:t>
            </w:r>
            <w:r w:rsidR="00F90184">
              <w:rPr>
                <w:rFonts w:cs="Arial"/>
                <w:szCs w:val="20"/>
              </w:rPr>
              <w:t>Bio-Rad Liquichek</w:t>
            </w:r>
            <w:r w:rsidR="00F90184">
              <w:rPr>
                <w:rFonts w:cs="Arial"/>
                <w:szCs w:val="20"/>
              </w:rPr>
              <w:sym w:font="Symbol" w:char="F0D4"/>
            </w:r>
            <w:r w:rsidR="00F90184">
              <w:rPr>
                <w:rFonts w:cs="Arial"/>
                <w:szCs w:val="20"/>
              </w:rPr>
              <w:t xml:space="preserve"> </w:t>
            </w:r>
            <w:r w:rsidR="00F90184" w:rsidRPr="00560643">
              <w:t>Therapeutic Drug Monitoring Control</w:t>
            </w:r>
            <w:r>
              <w:t xml:space="preserve"> Levels 1 and 3</w:t>
            </w:r>
          </w:p>
          <w:p w14:paraId="1D7EE543" w14:textId="77777777" w:rsidR="00F90184" w:rsidRDefault="00F90184" w:rsidP="00F90184">
            <w:pPr>
              <w:autoSpaceDE w:val="0"/>
              <w:autoSpaceDN w:val="0"/>
              <w:adjustRightInd w:val="0"/>
              <w:jc w:val="both"/>
              <w:rPr>
                <w:rFonts w:cs="Arial"/>
                <w:szCs w:val="20"/>
              </w:rPr>
            </w:pPr>
          </w:p>
          <w:p w14:paraId="282DF5C9" w14:textId="4821C494" w:rsidR="00F90184" w:rsidRDefault="00F90184" w:rsidP="00F90184">
            <w:pPr>
              <w:autoSpaceDE w:val="0"/>
              <w:autoSpaceDN w:val="0"/>
              <w:adjustRightInd w:val="0"/>
              <w:jc w:val="both"/>
              <w:rPr>
                <w:rFonts w:cs="Arial"/>
                <w:szCs w:val="20"/>
              </w:rPr>
            </w:pPr>
            <w:r>
              <w:rPr>
                <w:rFonts w:cs="Arial"/>
                <w:b/>
                <w:bCs/>
                <w:szCs w:val="20"/>
              </w:rPr>
              <w:t xml:space="preserve">Frequency: </w:t>
            </w:r>
            <w:r w:rsidR="008E0E52">
              <w:rPr>
                <w:rFonts w:cs="Arial"/>
                <w:szCs w:val="20"/>
              </w:rPr>
              <w:t>Two</w:t>
            </w:r>
            <w:r>
              <w:rPr>
                <w:rFonts w:cs="Arial"/>
                <w:szCs w:val="20"/>
              </w:rPr>
              <w:t xml:space="preserve"> levels each day of use</w:t>
            </w:r>
          </w:p>
          <w:p w14:paraId="063AED93" w14:textId="77777777" w:rsidR="00F90184" w:rsidRDefault="00F90184" w:rsidP="00F90184">
            <w:pPr>
              <w:autoSpaceDE w:val="0"/>
              <w:autoSpaceDN w:val="0"/>
              <w:adjustRightInd w:val="0"/>
              <w:jc w:val="both"/>
              <w:rPr>
                <w:rFonts w:cs="Arial"/>
                <w:szCs w:val="20"/>
              </w:rPr>
            </w:pPr>
          </w:p>
          <w:p w14:paraId="1DB8D3CE" w14:textId="6D0B298E" w:rsidR="00F90184" w:rsidRDefault="00F90184" w:rsidP="00F90184">
            <w:pPr>
              <w:autoSpaceDE w:val="0"/>
              <w:autoSpaceDN w:val="0"/>
              <w:adjustRightInd w:val="0"/>
              <w:rPr>
                <w:rFonts w:eastAsia="HelveticaNeueLTPro-Cn" w:cs="Arial"/>
                <w:szCs w:val="20"/>
              </w:rPr>
            </w:pPr>
            <w:r>
              <w:rPr>
                <w:rFonts w:cs="Arial"/>
                <w:b/>
                <w:bCs/>
                <w:szCs w:val="20"/>
              </w:rPr>
              <w:t xml:space="preserve">Stability: </w:t>
            </w:r>
            <w:r w:rsidR="008E0E52" w:rsidRPr="008E0E52">
              <w:rPr>
                <w:rFonts w:cs="Arial"/>
                <w:bCs/>
                <w:szCs w:val="20"/>
              </w:rPr>
              <w:t>Stable until the expiration date when stored frozen between -20 and -40°C.  Once thawed, opened, and stored tightly capped at 2 to 8°C, this product is stable for 5 days in Minneapolis (due to estradiol in this c</w:t>
            </w:r>
            <w:r w:rsidR="008E0E52">
              <w:rPr>
                <w:rFonts w:cs="Arial"/>
                <w:bCs/>
                <w:szCs w:val="20"/>
              </w:rPr>
              <w:t>ontrol).</w:t>
            </w:r>
            <w:r w:rsidR="008E0E52" w:rsidRPr="008E0E52">
              <w:rPr>
                <w:rFonts w:cs="Arial"/>
                <w:bCs/>
                <w:szCs w:val="20"/>
              </w:rPr>
              <w:t xml:space="preserve">  </w:t>
            </w:r>
          </w:p>
          <w:p w14:paraId="56A2508A" w14:textId="77777777" w:rsidR="00F90184" w:rsidRDefault="00F90184" w:rsidP="00F90184">
            <w:pPr>
              <w:autoSpaceDE w:val="0"/>
              <w:autoSpaceDN w:val="0"/>
              <w:adjustRightInd w:val="0"/>
              <w:jc w:val="both"/>
              <w:rPr>
                <w:rFonts w:cs="Arial"/>
                <w:szCs w:val="20"/>
              </w:rPr>
            </w:pPr>
          </w:p>
          <w:p w14:paraId="2BF89BA5" w14:textId="77777777" w:rsidR="00F90184" w:rsidRDefault="00F90184" w:rsidP="00F90184">
            <w:pPr>
              <w:autoSpaceDE w:val="0"/>
              <w:autoSpaceDN w:val="0"/>
              <w:adjustRightInd w:val="0"/>
              <w:rPr>
                <w:rFonts w:cs="Arial"/>
                <w:szCs w:val="20"/>
              </w:rPr>
            </w:pPr>
            <w:r>
              <w:rPr>
                <w:rFonts w:cs="Arial"/>
                <w:b/>
                <w:bCs/>
                <w:szCs w:val="20"/>
              </w:rPr>
              <w:t>Preparation</w:t>
            </w:r>
            <w:r>
              <w:rPr>
                <w:rFonts w:cs="Arial"/>
                <w:szCs w:val="20"/>
              </w:rPr>
              <w:t xml:space="preserve">: </w:t>
            </w:r>
          </w:p>
          <w:p w14:paraId="7B77D6CA" w14:textId="77777777" w:rsidR="00F90184" w:rsidRDefault="00F90184" w:rsidP="00F90184">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3F77F905" w14:textId="77777777" w:rsidR="00F90184" w:rsidRDefault="00F90184" w:rsidP="00F90184">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7899158C" w14:textId="77777777" w:rsidR="00F90184" w:rsidRDefault="00F90184" w:rsidP="00F90184">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23DC88CF" w14:textId="77777777" w:rsidR="00F90184" w:rsidRDefault="00F90184" w:rsidP="00F90184">
            <w:pPr>
              <w:pStyle w:val="ListParagraph"/>
              <w:numPr>
                <w:ilvl w:val="0"/>
                <w:numId w:val="41"/>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5E7924DF" w14:textId="77777777" w:rsidR="00F90184" w:rsidRDefault="00F90184" w:rsidP="00F90184">
            <w:pPr>
              <w:pStyle w:val="ListParagraph"/>
              <w:numPr>
                <w:ilvl w:val="0"/>
                <w:numId w:val="41"/>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68885746" w14:textId="77777777" w:rsidR="00F90184" w:rsidRDefault="00F90184" w:rsidP="00F90184">
            <w:pPr>
              <w:pStyle w:val="ListParagraph"/>
              <w:autoSpaceDE w:val="0"/>
              <w:autoSpaceDN w:val="0"/>
              <w:adjustRightInd w:val="0"/>
              <w:ind w:left="360"/>
              <w:rPr>
                <w:rFonts w:eastAsia="HelveticaNeueLTPro-Cn" w:cs="Arial"/>
                <w:szCs w:val="20"/>
              </w:rPr>
            </w:pPr>
          </w:p>
          <w:p w14:paraId="51891795" w14:textId="77777777" w:rsidR="00F90184" w:rsidRDefault="00F90184" w:rsidP="00F90184">
            <w:pPr>
              <w:jc w:val="both"/>
              <w:rPr>
                <w:rFonts w:cs="Arial"/>
                <w:szCs w:val="20"/>
              </w:rPr>
            </w:pPr>
            <w:r>
              <w:rPr>
                <w:rFonts w:cs="Arial"/>
                <w:b/>
                <w:bCs/>
                <w:szCs w:val="20"/>
              </w:rPr>
              <w:t>Acceptable ranges:</w:t>
            </w:r>
            <w:r>
              <w:rPr>
                <w:rFonts w:cs="Arial"/>
                <w:szCs w:val="20"/>
              </w:rPr>
              <w:t xml:space="preserve"> </w:t>
            </w:r>
          </w:p>
          <w:p w14:paraId="135A9256" w14:textId="77777777" w:rsidR="00F90184" w:rsidRDefault="00F90184" w:rsidP="00F90184">
            <w:pPr>
              <w:pStyle w:val="ListParagraph"/>
              <w:numPr>
                <w:ilvl w:val="0"/>
                <w:numId w:val="42"/>
              </w:numPr>
              <w:jc w:val="both"/>
              <w:rPr>
                <w:rFonts w:cs="Arial"/>
                <w:szCs w:val="20"/>
              </w:rPr>
            </w:pPr>
            <w:r>
              <w:rPr>
                <w:rFonts w:cs="Arial"/>
                <w:szCs w:val="20"/>
              </w:rPr>
              <w:t xml:space="preserve">Non-Bio-Rad controls will utilize manufacturer ranges and 2 SD Westgard rules.  </w:t>
            </w:r>
          </w:p>
          <w:p w14:paraId="14ACB39A" w14:textId="77777777" w:rsidR="00F90184" w:rsidRDefault="00F90184" w:rsidP="00F90184">
            <w:pPr>
              <w:pStyle w:val="ListParagraph"/>
              <w:numPr>
                <w:ilvl w:val="0"/>
                <w:numId w:val="42"/>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4072E3ED" w14:textId="60460AFE" w:rsidR="00F90184" w:rsidRDefault="00F90184" w:rsidP="00F90184">
            <w:pPr>
              <w:pStyle w:val="ListParagraph"/>
              <w:numPr>
                <w:ilvl w:val="0"/>
                <w:numId w:val="42"/>
              </w:numPr>
              <w:jc w:val="both"/>
              <w:rPr>
                <w:rFonts w:cs="Arial"/>
                <w:szCs w:val="20"/>
              </w:rPr>
            </w:pPr>
            <w:r>
              <w:rPr>
                <w:rFonts w:cs="Arial"/>
                <w:szCs w:val="20"/>
              </w:rPr>
              <w:t xml:space="preserve">Refer to the Westgard Rules in Chemistry procedure for current Westgard rules in place for each analyte.  </w:t>
            </w:r>
          </w:p>
          <w:p w14:paraId="129ED1CB" w14:textId="77777777" w:rsidR="00F90184" w:rsidRDefault="00F90184" w:rsidP="00F90184">
            <w:pPr>
              <w:numPr>
                <w:ilvl w:val="0"/>
                <w:numId w:val="42"/>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71E3124A" w14:textId="77777777" w:rsidR="00F90184" w:rsidRDefault="00F90184" w:rsidP="00F90184">
            <w:pPr>
              <w:numPr>
                <w:ilvl w:val="0"/>
                <w:numId w:val="42"/>
              </w:numPr>
              <w:autoSpaceDE w:val="0"/>
              <w:autoSpaceDN w:val="0"/>
              <w:adjustRightInd w:val="0"/>
              <w:jc w:val="both"/>
              <w:rPr>
                <w:rFonts w:cs="Arial"/>
                <w:color w:val="000000"/>
                <w:szCs w:val="20"/>
              </w:rPr>
            </w:pPr>
            <w:r>
              <w:rPr>
                <w:rFonts w:cs="Arial"/>
                <w:szCs w:val="20"/>
              </w:rPr>
              <w:t xml:space="preserve">In the event of a QC failure, refer to the </w:t>
            </w:r>
            <w:hyperlink r:id="rId14" w:history="1">
              <w:r>
                <w:rPr>
                  <w:rStyle w:val="Hyperlink"/>
                  <w:rFonts w:cs="Arial"/>
                  <w:szCs w:val="20"/>
                </w:rPr>
                <w:t>Unity Real Time QC Review, General User</w:t>
              </w:r>
            </w:hyperlink>
            <w:r>
              <w:rPr>
                <w:rFonts w:cs="Arial"/>
                <w:szCs w:val="20"/>
              </w:rPr>
              <w:t xml:space="preserve"> and navigate to the QC Troubleshooting section.</w:t>
            </w:r>
          </w:p>
          <w:p w14:paraId="2F418DE8" w14:textId="77777777" w:rsidR="00F90184" w:rsidRDefault="00F90184" w:rsidP="00F90184">
            <w:pPr>
              <w:numPr>
                <w:ilvl w:val="0"/>
                <w:numId w:val="42"/>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0FA3BA8A" w14:textId="77777777" w:rsidR="008E0E52" w:rsidRPr="00234207" w:rsidRDefault="008E0E52" w:rsidP="008E0E52">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8E0E52" w:rsidRPr="006A26B2" w14:paraId="3EE74F1F" w14:textId="77777777" w:rsidTr="00817F9E">
              <w:tc>
                <w:tcPr>
                  <w:tcW w:w="472" w:type="dxa"/>
                </w:tcPr>
                <w:p w14:paraId="173805E5" w14:textId="77777777" w:rsidR="008E0E52" w:rsidRPr="006A26B2" w:rsidRDefault="008E0E52" w:rsidP="008E0E52">
                  <w:pPr>
                    <w:autoSpaceDE w:val="0"/>
                    <w:autoSpaceDN w:val="0"/>
                    <w:adjustRightInd w:val="0"/>
                    <w:jc w:val="both"/>
                    <w:rPr>
                      <w:rFonts w:cs="Arial"/>
                      <w:b/>
                      <w:szCs w:val="20"/>
                    </w:rPr>
                  </w:pPr>
                  <w:r w:rsidRPr="006A26B2">
                    <w:rPr>
                      <w:rFonts w:cs="Arial"/>
                      <w:b/>
                      <w:szCs w:val="20"/>
                    </w:rPr>
                    <w:t>H</w:t>
                  </w:r>
                </w:p>
              </w:tc>
              <w:tc>
                <w:tcPr>
                  <w:tcW w:w="394" w:type="dxa"/>
                </w:tcPr>
                <w:p w14:paraId="5B46D9C9" w14:textId="77777777" w:rsidR="008E0E52" w:rsidRPr="006A26B2" w:rsidRDefault="008E0E52" w:rsidP="008E0E52">
                  <w:pPr>
                    <w:autoSpaceDE w:val="0"/>
                    <w:autoSpaceDN w:val="0"/>
                    <w:adjustRightInd w:val="0"/>
                    <w:jc w:val="both"/>
                    <w:rPr>
                      <w:rFonts w:cs="Arial"/>
                      <w:b/>
                      <w:szCs w:val="20"/>
                    </w:rPr>
                  </w:pPr>
                  <w:r w:rsidRPr="006A26B2">
                    <w:rPr>
                      <w:rFonts w:cs="Arial"/>
                      <w:b/>
                      <w:szCs w:val="20"/>
                    </w:rPr>
                    <w:t>I</w:t>
                  </w:r>
                </w:p>
              </w:tc>
              <w:tc>
                <w:tcPr>
                  <w:tcW w:w="443" w:type="dxa"/>
                </w:tcPr>
                <w:p w14:paraId="481DEBAE" w14:textId="77777777" w:rsidR="008E0E52" w:rsidRPr="006A26B2" w:rsidRDefault="008E0E52" w:rsidP="008E0E52">
                  <w:pPr>
                    <w:autoSpaceDE w:val="0"/>
                    <w:autoSpaceDN w:val="0"/>
                    <w:adjustRightInd w:val="0"/>
                    <w:jc w:val="both"/>
                    <w:rPr>
                      <w:rFonts w:cs="Arial"/>
                      <w:b/>
                      <w:szCs w:val="20"/>
                    </w:rPr>
                  </w:pPr>
                  <w:r w:rsidRPr="006A26B2">
                    <w:rPr>
                      <w:rFonts w:cs="Arial"/>
                      <w:b/>
                      <w:szCs w:val="20"/>
                    </w:rPr>
                    <w:t>L</w:t>
                  </w:r>
                </w:p>
              </w:tc>
            </w:tr>
            <w:tr w:rsidR="008E0E52" w:rsidRPr="006A26B2" w14:paraId="5AA51E70" w14:textId="77777777" w:rsidTr="00817F9E">
              <w:tc>
                <w:tcPr>
                  <w:tcW w:w="472" w:type="dxa"/>
                </w:tcPr>
                <w:p w14:paraId="4AD33B18" w14:textId="77777777" w:rsidR="008E0E52" w:rsidRPr="006A26B2" w:rsidRDefault="008E0E52" w:rsidP="008E0E52">
                  <w:pPr>
                    <w:autoSpaceDE w:val="0"/>
                    <w:autoSpaceDN w:val="0"/>
                    <w:adjustRightInd w:val="0"/>
                    <w:jc w:val="both"/>
                    <w:rPr>
                      <w:rFonts w:cs="Arial"/>
                      <w:b/>
                      <w:szCs w:val="20"/>
                    </w:rPr>
                  </w:pPr>
                  <w:r>
                    <w:rPr>
                      <w:rFonts w:cs="Arial"/>
                      <w:b/>
                      <w:szCs w:val="20"/>
                    </w:rPr>
                    <w:t>-</w:t>
                  </w:r>
                </w:p>
              </w:tc>
              <w:tc>
                <w:tcPr>
                  <w:tcW w:w="394" w:type="dxa"/>
                </w:tcPr>
                <w:p w14:paraId="248ED19A" w14:textId="77777777" w:rsidR="008E0E52" w:rsidRPr="006A26B2" w:rsidRDefault="008E0E52" w:rsidP="008E0E52">
                  <w:pPr>
                    <w:autoSpaceDE w:val="0"/>
                    <w:autoSpaceDN w:val="0"/>
                    <w:adjustRightInd w:val="0"/>
                    <w:jc w:val="both"/>
                    <w:rPr>
                      <w:rFonts w:cs="Arial"/>
                      <w:b/>
                      <w:szCs w:val="20"/>
                    </w:rPr>
                  </w:pPr>
                  <w:r w:rsidRPr="006A26B2">
                    <w:rPr>
                      <w:rFonts w:cs="Arial"/>
                      <w:b/>
                      <w:szCs w:val="20"/>
                    </w:rPr>
                    <w:t>-</w:t>
                  </w:r>
                </w:p>
              </w:tc>
              <w:tc>
                <w:tcPr>
                  <w:tcW w:w="443" w:type="dxa"/>
                </w:tcPr>
                <w:p w14:paraId="160BB82C" w14:textId="77777777" w:rsidR="008E0E52" w:rsidRPr="006A26B2" w:rsidRDefault="008E0E52" w:rsidP="008E0E52">
                  <w:pPr>
                    <w:autoSpaceDE w:val="0"/>
                    <w:autoSpaceDN w:val="0"/>
                    <w:adjustRightInd w:val="0"/>
                    <w:jc w:val="both"/>
                    <w:rPr>
                      <w:rFonts w:cs="Arial"/>
                      <w:b/>
                      <w:szCs w:val="20"/>
                    </w:rPr>
                  </w:pPr>
                  <w:r>
                    <w:rPr>
                      <w:rFonts w:cs="Arial"/>
                      <w:b/>
                      <w:szCs w:val="20"/>
                    </w:rPr>
                    <w:t>-</w:t>
                  </w:r>
                </w:p>
              </w:tc>
            </w:tr>
          </w:tbl>
          <w:p w14:paraId="0B8DA035" w14:textId="77777777" w:rsidR="008E0E52" w:rsidRPr="00DC7421" w:rsidRDefault="008E0E52" w:rsidP="008E0E52">
            <w:pPr>
              <w:autoSpaceDE w:val="0"/>
              <w:autoSpaceDN w:val="0"/>
              <w:adjustRightInd w:val="0"/>
              <w:rPr>
                <w:rFonts w:cs="Arial"/>
                <w:b/>
                <w:bCs/>
                <w:color w:val="5F497A"/>
                <w:szCs w:val="20"/>
              </w:rPr>
            </w:pPr>
          </w:p>
          <w:p w14:paraId="5347CBD9" w14:textId="77777777" w:rsidR="008E0E52" w:rsidRDefault="008E0E52" w:rsidP="008E0E52">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04641F53" w14:textId="77777777" w:rsidR="008E0E52" w:rsidRDefault="008E0E52" w:rsidP="008E0E52">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10125E50" w14:textId="77777777" w:rsidR="008E0E52" w:rsidRDefault="008E0E52" w:rsidP="008E0E52">
            <w:pPr>
              <w:autoSpaceDE w:val="0"/>
              <w:autoSpaceDN w:val="0"/>
              <w:adjustRightInd w:val="0"/>
              <w:rPr>
                <w:rFonts w:eastAsia="HelenPro-Regular" w:cs="Arial"/>
                <w:szCs w:val="20"/>
              </w:rPr>
            </w:pPr>
            <w:r>
              <w:rPr>
                <w:rFonts w:eastAsia="HelenPro-Regular" w:cs="Arial"/>
                <w:szCs w:val="20"/>
              </w:rPr>
              <w:t>-BIN for “Bilirubin Interference”</w:t>
            </w:r>
          </w:p>
          <w:p w14:paraId="2BB8EE84" w14:textId="77777777" w:rsidR="008E0E52" w:rsidRDefault="008E0E52" w:rsidP="008E0E52">
            <w:pPr>
              <w:autoSpaceDE w:val="0"/>
              <w:autoSpaceDN w:val="0"/>
              <w:adjustRightInd w:val="0"/>
              <w:rPr>
                <w:rFonts w:eastAsia="HelenPro-Regular" w:cs="Arial"/>
                <w:szCs w:val="20"/>
              </w:rPr>
            </w:pPr>
            <w:r>
              <w:rPr>
                <w:rFonts w:eastAsia="HelenPro-Regular" w:cs="Arial"/>
                <w:szCs w:val="20"/>
              </w:rPr>
              <w:t xml:space="preserve">-LINT for “Lipid Interference”  </w:t>
            </w:r>
          </w:p>
          <w:p w14:paraId="2B6F7BFA" w14:textId="77777777" w:rsidR="0060634D" w:rsidRDefault="0060634D" w:rsidP="008E0E52">
            <w:pPr>
              <w:autoSpaceDE w:val="0"/>
              <w:autoSpaceDN w:val="0"/>
              <w:adjustRightInd w:val="0"/>
              <w:rPr>
                <w:rFonts w:eastAsia="HelenPro-Regular" w:cs="Arial"/>
                <w:szCs w:val="20"/>
              </w:rPr>
            </w:pPr>
          </w:p>
          <w:p w14:paraId="6EF3EAAD" w14:textId="1E7EEC48" w:rsidR="0060634D" w:rsidRDefault="0060634D" w:rsidP="008E0E52">
            <w:pPr>
              <w:autoSpaceDE w:val="0"/>
              <w:autoSpaceDN w:val="0"/>
              <w:adjustRightInd w:val="0"/>
              <w:rPr>
                <w:rFonts w:eastAsia="HelenPro-Regular" w:cs="Arial"/>
                <w:szCs w:val="20"/>
              </w:rPr>
            </w:pPr>
            <w:r>
              <w:rPr>
                <w:rFonts w:eastAsia="HelenPro-Regular" w:cs="Arial"/>
                <w:szCs w:val="20"/>
              </w:rPr>
              <w:t>No endogenous substances resulted in interference at a clinically significant level (less than 10%).</w:t>
            </w:r>
          </w:p>
          <w:p w14:paraId="311C72DE" w14:textId="77777777" w:rsidR="0060634D" w:rsidRDefault="0060634D" w:rsidP="0060634D">
            <w:pPr>
              <w:pStyle w:val="ListParagraph"/>
              <w:autoSpaceDE w:val="0"/>
              <w:autoSpaceDN w:val="0"/>
              <w:adjustRightInd w:val="0"/>
              <w:ind w:left="0"/>
              <w:jc w:val="both"/>
              <w:rPr>
                <w:rFonts w:cs="Arial"/>
                <w:szCs w:val="20"/>
              </w:rPr>
            </w:pPr>
          </w:p>
          <w:p w14:paraId="063B3C55" w14:textId="77777777" w:rsidR="0060634D" w:rsidRDefault="0060634D" w:rsidP="0060634D">
            <w:pPr>
              <w:pStyle w:val="ListParagraph"/>
              <w:autoSpaceDE w:val="0"/>
              <w:autoSpaceDN w:val="0"/>
              <w:adjustRightInd w:val="0"/>
              <w:ind w:left="0"/>
              <w:jc w:val="both"/>
              <w:rPr>
                <w:rFonts w:cs="Arial"/>
                <w:szCs w:val="20"/>
              </w:rPr>
            </w:pPr>
            <w:r w:rsidRPr="0060634D">
              <w:rPr>
                <w:rFonts w:cs="Arial"/>
                <w:szCs w:val="20"/>
              </w:rPr>
              <w:t>Patient samples containing rheumatoid factor levels above 1240 IU/mL may produce erroneous results with this assay.</w:t>
            </w:r>
          </w:p>
          <w:p w14:paraId="298648DF" w14:textId="77777777" w:rsidR="0060634D" w:rsidRDefault="0060634D" w:rsidP="0060634D">
            <w:pPr>
              <w:pStyle w:val="ListParagraph"/>
              <w:autoSpaceDE w:val="0"/>
              <w:autoSpaceDN w:val="0"/>
              <w:adjustRightInd w:val="0"/>
              <w:ind w:left="0"/>
              <w:jc w:val="both"/>
              <w:rPr>
                <w:rFonts w:cs="Arial"/>
                <w:szCs w:val="20"/>
              </w:rPr>
            </w:pPr>
          </w:p>
          <w:p w14:paraId="5CD00011" w14:textId="2D6F197B" w:rsidR="0060634D" w:rsidRPr="0060634D" w:rsidRDefault="0060634D" w:rsidP="0060634D">
            <w:pPr>
              <w:pStyle w:val="ListParagraph"/>
              <w:autoSpaceDE w:val="0"/>
              <w:autoSpaceDN w:val="0"/>
              <w:adjustRightInd w:val="0"/>
              <w:ind w:left="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7777777"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5AE81C94" w14:textId="77777777" w:rsidR="0060634D" w:rsidRPr="0060634D" w:rsidRDefault="0060634D" w:rsidP="0060634D">
            <w:pPr>
              <w:rPr>
                <w:rFonts w:cs="Arial"/>
                <w:b/>
                <w:szCs w:val="20"/>
              </w:rPr>
            </w:pPr>
            <w:r w:rsidRPr="0060634D">
              <w:rPr>
                <w:rFonts w:cs="Arial"/>
                <w:b/>
                <w:szCs w:val="20"/>
              </w:rPr>
              <w:t>Therapeutic ranges:</w:t>
            </w:r>
          </w:p>
          <w:p w14:paraId="159D4C09" w14:textId="120EB4BD" w:rsidR="0060634D" w:rsidRPr="0060634D" w:rsidRDefault="0060634D" w:rsidP="0060634D">
            <w:pPr>
              <w:rPr>
                <w:rFonts w:cs="Arial"/>
                <w:szCs w:val="20"/>
              </w:rPr>
            </w:pPr>
            <w:r w:rsidRPr="0060634D">
              <w:rPr>
                <w:rFonts w:cs="Arial"/>
                <w:b/>
                <w:szCs w:val="20"/>
              </w:rPr>
              <w:t>Trough level:</w:t>
            </w:r>
            <w:r>
              <w:rPr>
                <w:rFonts w:cs="Arial"/>
                <w:szCs w:val="20"/>
              </w:rPr>
              <w:t xml:space="preserve"> &lt;2 µg</w:t>
            </w:r>
            <w:r w:rsidRPr="0060634D">
              <w:rPr>
                <w:rFonts w:cs="Arial"/>
                <w:szCs w:val="20"/>
              </w:rPr>
              <w:t>/mL</w:t>
            </w:r>
          </w:p>
          <w:p w14:paraId="4E7AA8D2" w14:textId="36ABD033" w:rsidR="0060634D" w:rsidRPr="0060634D" w:rsidRDefault="0060634D" w:rsidP="0060634D">
            <w:pPr>
              <w:rPr>
                <w:rFonts w:cs="Arial"/>
                <w:szCs w:val="20"/>
              </w:rPr>
            </w:pPr>
            <w:r w:rsidRPr="0060634D">
              <w:rPr>
                <w:rFonts w:cs="Arial"/>
                <w:b/>
                <w:szCs w:val="20"/>
              </w:rPr>
              <w:t>Peak level</w:t>
            </w:r>
            <w:r w:rsidRPr="0060634D">
              <w:rPr>
                <w:rFonts w:cs="Arial"/>
                <w:szCs w:val="20"/>
              </w:rPr>
              <w:t>: 4-8 µg/mL</w:t>
            </w:r>
          </w:p>
          <w:p w14:paraId="09359B6E" w14:textId="77777777" w:rsidR="0039587D" w:rsidRDefault="0060634D" w:rsidP="0060634D">
            <w:pPr>
              <w:rPr>
                <w:rFonts w:cs="Arial"/>
                <w:szCs w:val="20"/>
              </w:rPr>
            </w:pPr>
            <w:r w:rsidRPr="0060634D">
              <w:rPr>
                <w:rFonts w:cs="Arial"/>
                <w:szCs w:val="20"/>
              </w:rPr>
              <w:t>The physician must determine the most appropriate therapeutic range for each patient</w:t>
            </w:r>
          </w:p>
          <w:p w14:paraId="5CD00018" w14:textId="68988D45" w:rsidR="0060634D" w:rsidRPr="00DC7421" w:rsidRDefault="0060634D" w:rsidP="0060634D">
            <w:pPr>
              <w:rPr>
                <w:rFonts w:cs="Arial"/>
                <w:szCs w:val="20"/>
              </w:rPr>
            </w:pPr>
            <w:r>
              <w:rPr>
                <w:rFonts w:cs="Arial"/>
                <w:szCs w:val="20"/>
              </w:rPr>
              <w:t xml:space="preserve"> See Limitations section for important information.</w:t>
            </w: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4AD76EC3" w14:textId="4F26E95D" w:rsidR="0060634D" w:rsidRDefault="0060634D" w:rsidP="001C641E">
            <w:pPr>
              <w:pStyle w:val="Header"/>
              <w:tabs>
                <w:tab w:val="clear" w:pos="4320"/>
                <w:tab w:val="clear" w:pos="8640"/>
              </w:tabs>
              <w:rPr>
                <w:rFonts w:cs="Arial"/>
                <w:szCs w:val="20"/>
              </w:rPr>
            </w:pPr>
            <w:r>
              <w:rPr>
                <w:rFonts w:cs="Arial"/>
                <w:szCs w:val="20"/>
              </w:rPr>
              <w:t>&gt;10</w:t>
            </w:r>
            <w:r w:rsidRPr="0060634D">
              <w:rPr>
                <w:rFonts w:cs="Arial"/>
                <w:szCs w:val="20"/>
              </w:rPr>
              <w:t xml:space="preserve"> µg/mL, </w:t>
            </w:r>
          </w:p>
          <w:p w14:paraId="5CD0001B" w14:textId="251F5819" w:rsidR="00E3253B" w:rsidRPr="00DC7421" w:rsidRDefault="0060634D" w:rsidP="0060634D">
            <w:pPr>
              <w:pStyle w:val="Header"/>
              <w:tabs>
                <w:tab w:val="clear" w:pos="4320"/>
                <w:tab w:val="clear" w:pos="8640"/>
              </w:tabs>
              <w:rPr>
                <w:rFonts w:cs="Arial"/>
                <w:szCs w:val="20"/>
              </w:rPr>
            </w:pPr>
            <w:r>
              <w:rPr>
                <w:rFonts w:cs="Arial"/>
                <w:szCs w:val="20"/>
              </w:rPr>
              <w:t xml:space="preserve">Critical results </w:t>
            </w:r>
            <w:r w:rsidRPr="0060634D">
              <w:rPr>
                <w:rFonts w:cs="Arial"/>
                <w:szCs w:val="20"/>
              </w:rPr>
              <w:t xml:space="preserve">call result according to </w:t>
            </w:r>
            <w:r>
              <w:rPr>
                <w:rFonts w:cs="Arial"/>
                <w:szCs w:val="20"/>
              </w:rPr>
              <w:t>the Critical Values Policy</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6FA69189" w14:textId="77777777" w:rsidR="00DC7421" w:rsidRPr="0060634D" w:rsidRDefault="0060634D" w:rsidP="0060634D">
            <w:pPr>
              <w:pStyle w:val="ListParagraph"/>
              <w:numPr>
                <w:ilvl w:val="0"/>
                <w:numId w:val="43"/>
              </w:numPr>
              <w:autoSpaceDE w:val="0"/>
              <w:autoSpaceDN w:val="0"/>
              <w:adjustRightInd w:val="0"/>
              <w:rPr>
                <w:rFonts w:cs="Arial"/>
                <w:bCs/>
                <w:szCs w:val="20"/>
              </w:rPr>
            </w:pPr>
            <w:r w:rsidRPr="0060634D">
              <w:rPr>
                <w:rFonts w:cs="Arial"/>
                <w:bCs/>
                <w:szCs w:val="20"/>
              </w:rPr>
              <w:t>The aminoglycoside sisomicin cross-reacts with the Gentamicin assay due to their structural similarity. Therefore, the results of this assay cannot be used to accurately quantitate gentamicin serum or plasma levels in patients receiving sisomicin in combination with gentamicin.</w:t>
            </w:r>
          </w:p>
          <w:p w14:paraId="642A1B58" w14:textId="77777777" w:rsidR="0060634D" w:rsidRDefault="0060634D" w:rsidP="0060634D">
            <w:pPr>
              <w:autoSpaceDE w:val="0"/>
              <w:autoSpaceDN w:val="0"/>
              <w:adjustRightInd w:val="0"/>
              <w:rPr>
                <w:rFonts w:cs="Arial"/>
                <w:bCs/>
                <w:szCs w:val="20"/>
              </w:rPr>
            </w:pPr>
          </w:p>
          <w:p w14:paraId="110B3FFE" w14:textId="5F05E321" w:rsidR="0060634D" w:rsidRPr="0060634D" w:rsidRDefault="0060634D" w:rsidP="0060634D">
            <w:pPr>
              <w:pStyle w:val="ListParagraph"/>
              <w:numPr>
                <w:ilvl w:val="0"/>
                <w:numId w:val="43"/>
              </w:numPr>
              <w:autoSpaceDE w:val="0"/>
              <w:autoSpaceDN w:val="0"/>
              <w:adjustRightInd w:val="0"/>
              <w:rPr>
                <w:rFonts w:cs="Arial"/>
                <w:bCs/>
                <w:szCs w:val="20"/>
              </w:rPr>
            </w:pPr>
            <w:r w:rsidRPr="0060634D">
              <w:rPr>
                <w:rFonts w:cs="Arial"/>
                <w:bCs/>
                <w:szCs w:val="20"/>
              </w:rPr>
              <w:t>In very rare cases, patient samples may contain heterophile antibodies, which may produce low results with the Alinity c Gentamicin assay. Interfering heterophile antibodies occur at a low</w:t>
            </w:r>
            <w:r>
              <w:t xml:space="preserve"> </w:t>
            </w:r>
            <w:r w:rsidRPr="0060634D">
              <w:rPr>
                <w:rFonts w:cs="Arial"/>
                <w:bCs/>
                <w:szCs w:val="20"/>
              </w:rPr>
              <w:t>frequency in the general population. These antibodies can cause autoagglutination of the microparticle reagent leading to undetected erroneously low results.</w:t>
            </w:r>
          </w:p>
          <w:p w14:paraId="7FE73F87" w14:textId="77777777" w:rsidR="0060634D" w:rsidRPr="0060634D" w:rsidRDefault="0060634D" w:rsidP="0060634D">
            <w:pPr>
              <w:autoSpaceDE w:val="0"/>
              <w:autoSpaceDN w:val="0"/>
              <w:adjustRightInd w:val="0"/>
              <w:rPr>
                <w:rFonts w:cs="Arial"/>
                <w:bCs/>
                <w:szCs w:val="20"/>
              </w:rPr>
            </w:pPr>
          </w:p>
          <w:p w14:paraId="4DB8775F" w14:textId="756CF952" w:rsidR="0060634D" w:rsidRPr="0060634D" w:rsidRDefault="0060634D" w:rsidP="0060634D">
            <w:pPr>
              <w:pStyle w:val="ListParagraph"/>
              <w:numPr>
                <w:ilvl w:val="0"/>
                <w:numId w:val="43"/>
              </w:numPr>
              <w:autoSpaceDE w:val="0"/>
              <w:autoSpaceDN w:val="0"/>
              <w:adjustRightInd w:val="0"/>
              <w:rPr>
                <w:rFonts w:cs="Arial"/>
                <w:bCs/>
                <w:szCs w:val="20"/>
              </w:rPr>
            </w:pPr>
            <w:r w:rsidRPr="0060634D">
              <w:rPr>
                <w:rFonts w:cs="Arial"/>
                <w:bCs/>
                <w:szCs w:val="20"/>
              </w:rPr>
              <w:t>For diagnostic purposes, the test findings should always be assessed in conjunction with the patient’s medical history, clinical examinations, and other findings.</w:t>
            </w:r>
          </w:p>
          <w:p w14:paraId="70A5A3DD" w14:textId="77777777" w:rsidR="0060634D" w:rsidRPr="0060634D" w:rsidRDefault="0060634D" w:rsidP="0060634D">
            <w:pPr>
              <w:autoSpaceDE w:val="0"/>
              <w:autoSpaceDN w:val="0"/>
              <w:adjustRightInd w:val="0"/>
              <w:rPr>
                <w:rFonts w:cs="Arial"/>
                <w:bCs/>
                <w:szCs w:val="20"/>
              </w:rPr>
            </w:pPr>
          </w:p>
          <w:p w14:paraId="54555E17" w14:textId="77777777" w:rsidR="0060634D" w:rsidRPr="0060634D" w:rsidRDefault="0060634D" w:rsidP="0060634D">
            <w:pPr>
              <w:pStyle w:val="ListParagraph"/>
              <w:numPr>
                <w:ilvl w:val="0"/>
                <w:numId w:val="43"/>
              </w:numPr>
              <w:autoSpaceDE w:val="0"/>
              <w:autoSpaceDN w:val="0"/>
              <w:adjustRightInd w:val="0"/>
              <w:rPr>
                <w:rFonts w:cs="Arial"/>
                <w:bCs/>
                <w:szCs w:val="20"/>
              </w:rPr>
            </w:pPr>
            <w:r w:rsidRPr="0060634D">
              <w:rPr>
                <w:rFonts w:cs="Arial"/>
                <w:bCs/>
                <w:szCs w:val="20"/>
              </w:rPr>
              <w:t>Patient samples which contain the drug sisomicin will yield falsely elevated values for gentamicin. Refer to the Analytical Specificity section of this package insert for further explanation. However, this drug is not usually co-administered with gentamicin. High concentrations of penicillins or cephalosporins have been shown to inactivate gentamicin in vitro. The degree of inactivation is dependent on the particular aminoglycoside being measured, the type and concentration of the penicillin or cephalosporin that is also present, and the storage conditions of the sample. Samples from patients receiving additional antibiotics of these types should be assayed immediately or stored frozen.</w:t>
            </w:r>
          </w:p>
          <w:p w14:paraId="6A077111" w14:textId="77777777" w:rsidR="0060634D" w:rsidRDefault="0060634D" w:rsidP="0060634D">
            <w:pPr>
              <w:autoSpaceDE w:val="0"/>
              <w:autoSpaceDN w:val="0"/>
              <w:adjustRightInd w:val="0"/>
              <w:rPr>
                <w:rFonts w:cs="Arial"/>
                <w:bCs/>
                <w:szCs w:val="20"/>
              </w:rPr>
            </w:pPr>
          </w:p>
          <w:p w14:paraId="3A899BC7" w14:textId="19FB94FD" w:rsidR="0060634D" w:rsidRPr="0060634D" w:rsidRDefault="0060634D" w:rsidP="0060634D">
            <w:pPr>
              <w:pStyle w:val="ListParagraph"/>
              <w:numPr>
                <w:ilvl w:val="0"/>
                <w:numId w:val="43"/>
              </w:numPr>
              <w:autoSpaceDE w:val="0"/>
              <w:autoSpaceDN w:val="0"/>
              <w:adjustRightInd w:val="0"/>
              <w:rPr>
                <w:rFonts w:cs="Arial"/>
                <w:bCs/>
                <w:szCs w:val="20"/>
              </w:rPr>
            </w:pPr>
            <w:r w:rsidRPr="0060634D">
              <w:rPr>
                <w:rFonts w:cs="Arial"/>
                <w:bCs/>
                <w:szCs w:val="20"/>
              </w:rPr>
              <w:t>The susceptibility of the infecting organism, the severity of the infection, and the general health of the patient should be considered when determining an adequate drug level for individual patients.</w:t>
            </w:r>
          </w:p>
          <w:p w14:paraId="5CD00021" w14:textId="52384900" w:rsidR="0060634D" w:rsidRPr="00DC7421" w:rsidRDefault="0060634D" w:rsidP="0060634D">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lastRenderedPageBreak/>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22B2A5CC" w:rsidR="00F83DB0" w:rsidRPr="0060634D" w:rsidRDefault="003417E0" w:rsidP="00F83DB0">
                  <w:pPr>
                    <w:autoSpaceDE w:val="0"/>
                    <w:autoSpaceDN w:val="0"/>
                    <w:adjustRightInd w:val="0"/>
                    <w:rPr>
                      <w:rFonts w:cs="Arial"/>
                      <w:szCs w:val="20"/>
                    </w:rPr>
                  </w:pPr>
                  <w:r w:rsidRPr="0060634D">
                    <w:rPr>
                      <w:rFonts w:cs="Arial"/>
                      <w:szCs w:val="20"/>
                    </w:rPr>
                    <w:t>1:2</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40A01BC5" w:rsidR="00F83DB0" w:rsidRPr="0060634D" w:rsidRDefault="00A23086" w:rsidP="00F83DB0">
                  <w:pPr>
                    <w:autoSpaceDE w:val="0"/>
                    <w:autoSpaceDN w:val="0"/>
                    <w:adjustRightInd w:val="0"/>
                    <w:rPr>
                      <w:rFonts w:cs="Arial"/>
                      <w:szCs w:val="20"/>
                    </w:rPr>
                  </w:pPr>
                  <w:r w:rsidRPr="0060634D">
                    <w:rPr>
                      <w:rFonts w:cs="Arial"/>
                      <w:szCs w:val="20"/>
                    </w:rPr>
                    <w:t>Not specified</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57F6E3EE" w:rsidR="00F83DB0" w:rsidRPr="0060634D" w:rsidRDefault="0060634D" w:rsidP="00F83DB0">
                  <w:pPr>
                    <w:autoSpaceDE w:val="0"/>
                    <w:autoSpaceDN w:val="0"/>
                    <w:adjustRightInd w:val="0"/>
                    <w:rPr>
                      <w:rFonts w:cs="Arial"/>
                      <w:szCs w:val="20"/>
                    </w:rPr>
                  </w:pPr>
                  <w:r>
                    <w:rPr>
                      <w:rFonts w:cs="Arial"/>
                      <w:szCs w:val="20"/>
                    </w:rPr>
                    <w:t>Onboard diluent</w:t>
                  </w:r>
                </w:p>
              </w:tc>
            </w:tr>
            <w:tr w:rsidR="00F83DB0" w:rsidRPr="00EC40A2" w14:paraId="130A8B4A" w14:textId="77777777" w:rsidTr="005C0FCC">
              <w:tc>
                <w:tcPr>
                  <w:tcW w:w="1867" w:type="dxa"/>
                </w:tcPr>
                <w:p w14:paraId="3BF17F7E" w14:textId="134F4076" w:rsidR="00F83DB0" w:rsidRPr="00EC40A2" w:rsidRDefault="0060634D" w:rsidP="00F83DB0">
                  <w:pPr>
                    <w:rPr>
                      <w:rFonts w:cs="Arial"/>
                      <w:szCs w:val="20"/>
                    </w:rPr>
                  </w:pPr>
                  <w:r>
                    <w:rPr>
                      <w:rFonts w:cs="Arial"/>
                      <w:szCs w:val="20"/>
                    </w:rPr>
                    <w:t>Automated</w:t>
                  </w:r>
                  <w:r w:rsidR="00F83DB0" w:rsidRPr="00EC40A2">
                    <w:rPr>
                      <w:rFonts w:cs="Arial"/>
                      <w:szCs w:val="20"/>
                    </w:rPr>
                    <w:t xml:space="preserve"> Dilution:</w:t>
                  </w:r>
                </w:p>
              </w:tc>
              <w:tc>
                <w:tcPr>
                  <w:tcW w:w="7200" w:type="dxa"/>
                </w:tcPr>
                <w:p w14:paraId="3AB4E9ED" w14:textId="77777777" w:rsidR="00F83DB0" w:rsidRPr="0060634D" w:rsidRDefault="00F83DB0" w:rsidP="00F83DB0">
                  <w:pPr>
                    <w:autoSpaceDE w:val="0"/>
                    <w:autoSpaceDN w:val="0"/>
                    <w:adjustRightInd w:val="0"/>
                    <w:rPr>
                      <w:rFonts w:eastAsia="HelenPro-Regular" w:cs="Arial"/>
                      <w:szCs w:val="20"/>
                    </w:rPr>
                  </w:pPr>
                  <w:r w:rsidRPr="0060634D">
                    <w:rPr>
                      <w:rFonts w:cs="Arial"/>
                      <w:szCs w:val="20"/>
                    </w:rPr>
                    <w:t xml:space="preserve">Follow Abbott </w:t>
                  </w:r>
                  <w:hyperlink r:id="rId15" w:history="1">
                    <w:r w:rsidRPr="0060634D">
                      <w:rPr>
                        <w:rStyle w:val="Hyperlink"/>
                        <w:rFonts w:cs="Arial"/>
                        <w:szCs w:val="20"/>
                      </w:rPr>
                      <w:t>Alinity Operator’s Manual</w:t>
                    </w:r>
                  </w:hyperlink>
                  <w:r w:rsidRPr="0060634D">
                    <w:rPr>
                      <w:rFonts w:cs="Arial"/>
                      <w:szCs w:val="20"/>
                    </w:rPr>
                    <w:t xml:space="preserve"> instructions for programming automated dilutions.  </w:t>
                  </w:r>
                  <w:r w:rsidRPr="0060634D">
                    <w:rPr>
                      <w:rFonts w:eastAsia="HelenPro-Regular" w:cs="Arial"/>
                      <w:szCs w:val="20"/>
                    </w:rPr>
                    <w:t xml:space="preserve">The system will automatically calculate the concentration of the sample and report the result.  </w:t>
                  </w:r>
                </w:p>
                <w:p w14:paraId="497F0B2E" w14:textId="77777777" w:rsidR="00F83DB0" w:rsidRPr="0060634D" w:rsidRDefault="00F83DB0" w:rsidP="00F83DB0">
                  <w:pPr>
                    <w:autoSpaceDE w:val="0"/>
                    <w:autoSpaceDN w:val="0"/>
                    <w:adjustRightInd w:val="0"/>
                    <w:rPr>
                      <w:rFonts w:eastAsia="HelenPro-Regular" w:cs="Arial"/>
                      <w:szCs w:val="20"/>
                    </w:rPr>
                  </w:pPr>
                </w:p>
                <w:p w14:paraId="29DCB4A3" w14:textId="620349C3" w:rsidR="00F83DB0" w:rsidRPr="0060634D" w:rsidRDefault="00F83DB0" w:rsidP="00F83DB0">
                  <w:pPr>
                    <w:autoSpaceDE w:val="0"/>
                    <w:autoSpaceDN w:val="0"/>
                    <w:adjustRightInd w:val="0"/>
                    <w:rPr>
                      <w:rFonts w:eastAsia="HelenPro-Regular" w:cs="Arial"/>
                      <w:szCs w:val="20"/>
                    </w:rPr>
                  </w:pPr>
                  <w:r w:rsidRPr="0060634D">
                    <w:rPr>
                      <w:rFonts w:eastAsia="HelenPro-Regular" w:cs="Arial"/>
                      <w:szCs w:val="20"/>
                    </w:rPr>
                    <w:t xml:space="preserve">If a diluted sample result is less than the lower value of the measuring interval of </w:t>
                  </w:r>
                  <w:r w:rsidR="0060634D">
                    <w:rPr>
                      <w:rFonts w:eastAsia="HelenPro-Regular" w:cs="Arial"/>
                      <w:szCs w:val="20"/>
                    </w:rPr>
                    <w:t xml:space="preserve">0.5 </w:t>
                  </w:r>
                  <w:r w:rsidR="0060634D" w:rsidRPr="0060634D">
                    <w:rPr>
                      <w:rFonts w:cs="Arial"/>
                      <w:szCs w:val="20"/>
                    </w:rPr>
                    <w:t>µg/mL</w:t>
                  </w:r>
                  <w:r w:rsidRPr="0060634D">
                    <w:rPr>
                      <w:rFonts w:eastAsia="HelenPro-Regular" w:cs="Arial"/>
                      <w:szCs w:val="20"/>
                    </w:rPr>
                    <w:t>, do not report the result. Rerun and/or investigate for other possible causes of error.</w:t>
                  </w:r>
                </w:p>
              </w:tc>
            </w:tr>
          </w:tbl>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410510C3" w:rsidR="00F84C8E" w:rsidRPr="00DC7421" w:rsidRDefault="00F84C8E" w:rsidP="0060634D">
            <w:pPr>
              <w:pStyle w:val="Header"/>
              <w:numPr>
                <w:ilvl w:val="0"/>
                <w:numId w:val="40"/>
              </w:numPr>
              <w:tabs>
                <w:tab w:val="clear" w:pos="4320"/>
                <w:tab w:val="clear" w:pos="8640"/>
              </w:tabs>
              <w:rPr>
                <w:rFonts w:cs="Arial"/>
                <w:szCs w:val="20"/>
              </w:rPr>
            </w:pPr>
            <w:r>
              <w:rPr>
                <w:rFonts w:cs="Arial"/>
                <w:szCs w:val="20"/>
              </w:rPr>
              <w:t xml:space="preserve">Results between </w:t>
            </w:r>
            <w:r w:rsidR="0060634D">
              <w:rPr>
                <w:rFonts w:cs="Arial"/>
                <w:szCs w:val="20"/>
              </w:rPr>
              <w:t>0.5</w:t>
            </w:r>
            <w:r w:rsidR="00E47DE5">
              <w:rPr>
                <w:rFonts w:cs="Arial"/>
                <w:szCs w:val="20"/>
              </w:rPr>
              <w:t xml:space="preserve"> </w:t>
            </w:r>
            <w:r>
              <w:rPr>
                <w:rFonts w:cs="Arial"/>
                <w:szCs w:val="20"/>
              </w:rPr>
              <w:t xml:space="preserve">and </w:t>
            </w:r>
            <w:r w:rsidR="0060634D">
              <w:rPr>
                <w:rFonts w:cs="Arial"/>
                <w:szCs w:val="20"/>
              </w:rPr>
              <w:t xml:space="preserve">10.0 </w:t>
            </w:r>
            <w:r w:rsidR="0060634D" w:rsidRPr="0060634D">
              <w:rPr>
                <w:rFonts w:cs="Arial"/>
                <w:szCs w:val="20"/>
              </w:rPr>
              <w:t>µg/mL</w:t>
            </w:r>
            <w:r w:rsidR="00E47DE5" w:rsidRPr="00DC7421">
              <w:rPr>
                <w:rFonts w:cs="Arial"/>
                <w:szCs w:val="20"/>
              </w:rPr>
              <w:t xml:space="preserve"> </w:t>
            </w:r>
            <w:r w:rsidRPr="00DC7421">
              <w:rPr>
                <w:rFonts w:cs="Arial"/>
                <w:szCs w:val="20"/>
              </w:rPr>
              <w:t>without error messages are released</w:t>
            </w:r>
          </w:p>
          <w:p w14:paraId="512DB6C5" w14:textId="4001A5D6" w:rsidR="00F84C8E" w:rsidRPr="00DC7421" w:rsidRDefault="00F84C8E" w:rsidP="00F84C8E">
            <w:pPr>
              <w:numPr>
                <w:ilvl w:val="0"/>
                <w:numId w:val="40"/>
              </w:numPr>
              <w:rPr>
                <w:rFonts w:cs="Arial"/>
                <w:szCs w:val="20"/>
              </w:rPr>
            </w:pPr>
            <w:r>
              <w:rPr>
                <w:rFonts w:cs="Arial"/>
                <w:szCs w:val="20"/>
              </w:rPr>
              <w:t xml:space="preserve">Results below </w:t>
            </w:r>
            <w:r w:rsidR="0060634D">
              <w:rPr>
                <w:rFonts w:cs="Arial"/>
                <w:szCs w:val="20"/>
              </w:rPr>
              <w:t>0.5</w:t>
            </w:r>
            <w:r w:rsidR="00E47DE5">
              <w:rPr>
                <w:rFonts w:cs="Arial"/>
                <w:szCs w:val="20"/>
              </w:rPr>
              <w:t xml:space="preserve"> </w:t>
            </w:r>
            <w:r>
              <w:rPr>
                <w:rFonts w:cs="Arial"/>
                <w:szCs w:val="20"/>
              </w:rPr>
              <w:t xml:space="preserve">without error messages are reported as &lt; </w:t>
            </w:r>
            <w:r w:rsidR="0060634D">
              <w:rPr>
                <w:rFonts w:cs="Arial"/>
                <w:szCs w:val="20"/>
              </w:rPr>
              <w:t>0.5</w:t>
            </w:r>
            <w:r w:rsidR="0060634D" w:rsidRPr="0060634D">
              <w:rPr>
                <w:rFonts w:cs="Arial"/>
                <w:szCs w:val="20"/>
              </w:rPr>
              <w:t xml:space="preserve"> µg/mL</w:t>
            </w:r>
          </w:p>
          <w:p w14:paraId="61C98532" w14:textId="352DE6AF" w:rsidR="00F84C8E" w:rsidRDefault="00F84C8E" w:rsidP="00F84C8E">
            <w:pPr>
              <w:numPr>
                <w:ilvl w:val="0"/>
                <w:numId w:val="40"/>
              </w:numPr>
              <w:rPr>
                <w:rFonts w:cs="Arial"/>
                <w:szCs w:val="20"/>
              </w:rPr>
            </w:pPr>
            <w:r>
              <w:rPr>
                <w:rFonts w:cs="Arial"/>
                <w:szCs w:val="20"/>
              </w:rPr>
              <w:t>Results &gt;</w:t>
            </w:r>
            <w:r w:rsidR="0060634D">
              <w:rPr>
                <w:rFonts w:cs="Arial"/>
                <w:szCs w:val="20"/>
              </w:rPr>
              <w:t xml:space="preserve"> 10.0</w:t>
            </w:r>
            <w:r w:rsidR="00E47DE5">
              <w:rPr>
                <w:rFonts w:cs="Arial"/>
                <w:szCs w:val="20"/>
              </w:rPr>
              <w:t xml:space="preserve"> </w:t>
            </w:r>
            <w:r>
              <w:rPr>
                <w:rFonts w:cs="Arial"/>
                <w:szCs w:val="20"/>
              </w:rPr>
              <w:t xml:space="preserve">should be diluted using the onboard automated </w:t>
            </w:r>
            <w:r w:rsidR="0060634D">
              <w:rPr>
                <w:rFonts w:cs="Arial"/>
                <w:szCs w:val="20"/>
              </w:rPr>
              <w:t>1:2 dilution</w:t>
            </w:r>
            <w:r>
              <w:rPr>
                <w:rFonts w:cs="Arial"/>
                <w:szCs w:val="20"/>
              </w:rPr>
              <w:t>.  Release results without error messages following this di</w:t>
            </w:r>
            <w:r w:rsidR="0060634D">
              <w:rPr>
                <w:rFonts w:cs="Arial"/>
                <w:szCs w:val="20"/>
              </w:rPr>
              <w:t>lution and called according to the critical values policy.</w:t>
            </w:r>
          </w:p>
          <w:p w14:paraId="0DE97A3D" w14:textId="51031BC6" w:rsidR="00F83DB0" w:rsidRDefault="00F84C8E" w:rsidP="0060634D">
            <w:pPr>
              <w:numPr>
                <w:ilvl w:val="0"/>
                <w:numId w:val="40"/>
              </w:numPr>
              <w:rPr>
                <w:rFonts w:cs="Arial"/>
                <w:szCs w:val="20"/>
              </w:rPr>
            </w:pPr>
            <w:r w:rsidRPr="0060634D">
              <w:rPr>
                <w:rFonts w:cs="Arial"/>
                <w:szCs w:val="20"/>
              </w:rPr>
              <w:t xml:space="preserve">Results &gt; </w:t>
            </w:r>
            <w:r w:rsidR="0060634D" w:rsidRPr="0060634D">
              <w:rPr>
                <w:rFonts w:cs="Arial"/>
                <w:szCs w:val="20"/>
              </w:rPr>
              <w:t>20.0</w:t>
            </w:r>
            <w:r w:rsidR="00E47DE5" w:rsidRPr="0060634D">
              <w:rPr>
                <w:rFonts w:cs="Arial"/>
                <w:szCs w:val="20"/>
              </w:rPr>
              <w:t xml:space="preserve"> </w:t>
            </w:r>
            <w:r w:rsidRPr="0060634D">
              <w:rPr>
                <w:rFonts w:cs="Arial"/>
                <w:szCs w:val="20"/>
              </w:rPr>
              <w:t xml:space="preserve">following automated dilution are reported as &gt; </w:t>
            </w:r>
            <w:r w:rsidR="0060634D" w:rsidRPr="0060634D">
              <w:rPr>
                <w:rFonts w:cs="Arial"/>
                <w:szCs w:val="20"/>
              </w:rPr>
              <w:t>20.0 µg/mL and called according to the critical values policy.</w:t>
            </w:r>
          </w:p>
          <w:p w14:paraId="5CD0003C" w14:textId="2AEE2AB7" w:rsidR="0060634D" w:rsidRPr="00DC7421" w:rsidRDefault="0060634D" w:rsidP="0060634D">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091EDA31"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w:t>
            </w:r>
            <w:r w:rsidR="00B16FBD">
              <w:rPr>
                <w:rFonts w:cs="Arial"/>
                <w:szCs w:val="20"/>
              </w:rPr>
              <w:t>14</w:t>
            </w:r>
            <w:bookmarkStart w:id="0" w:name="_GoBack"/>
            <w:bookmarkEnd w:id="0"/>
            <w:r w:rsidRPr="00DC7421">
              <w:rPr>
                <w:rFonts w:cs="Arial"/>
                <w:szCs w:val="20"/>
              </w:rPr>
              <w:t xml:space="preserve">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AB49531" w14:textId="555C4FF2" w:rsidR="0060634D" w:rsidRPr="0060634D" w:rsidRDefault="008C2E7C" w:rsidP="0060634D">
            <w:pPr>
              <w:numPr>
                <w:ilvl w:val="0"/>
                <w:numId w:val="33"/>
              </w:numPr>
              <w:rPr>
                <w:rFonts w:cs="Arial"/>
                <w:szCs w:val="20"/>
              </w:rPr>
            </w:pPr>
            <w:r>
              <w:rPr>
                <w:rFonts w:cs="Arial"/>
                <w:szCs w:val="20"/>
              </w:rPr>
              <w:t>Abbott Alinity c Gentamicin</w:t>
            </w:r>
            <w:r w:rsidR="0060634D" w:rsidRPr="0060634D">
              <w:rPr>
                <w:rFonts w:cs="Arial"/>
                <w:szCs w:val="20"/>
              </w:rPr>
              <w:t xml:space="preserve"> Reagent Kit Instructions for Use, Abbott Diagnostics Division, Abbott Park, IL USA.  Revised September 2019</w:t>
            </w:r>
          </w:p>
          <w:p w14:paraId="4CCC32F2" w14:textId="77777777" w:rsidR="0060634D" w:rsidRPr="0060634D" w:rsidRDefault="0060634D" w:rsidP="0060634D">
            <w:pPr>
              <w:numPr>
                <w:ilvl w:val="0"/>
                <w:numId w:val="33"/>
              </w:numPr>
              <w:rPr>
                <w:rFonts w:cs="Arial"/>
                <w:szCs w:val="20"/>
              </w:rPr>
            </w:pPr>
            <w:r w:rsidRPr="0060634D">
              <w:rPr>
                <w:rFonts w:cs="Arial"/>
                <w:szCs w:val="20"/>
              </w:rPr>
              <w:t>Abbott Alinity c TDM Multiconstituent Calibrator Package Insert, Abbott Diagnostics Division, Abbott Park, IL USA.  Revised July 2018</w:t>
            </w:r>
          </w:p>
          <w:p w14:paraId="50CB45F4" w14:textId="77777777" w:rsidR="0060634D" w:rsidRPr="0060634D" w:rsidRDefault="0060634D" w:rsidP="0060634D">
            <w:pPr>
              <w:numPr>
                <w:ilvl w:val="0"/>
                <w:numId w:val="33"/>
              </w:numPr>
              <w:rPr>
                <w:rFonts w:cs="Arial"/>
                <w:szCs w:val="20"/>
              </w:rPr>
            </w:pPr>
            <w:r w:rsidRPr="0060634D">
              <w:rPr>
                <w:rFonts w:cs="Arial"/>
                <w:szCs w:val="20"/>
              </w:rPr>
              <w:t>Bio-Rad Liquichek Immunoassay Plus Package Insert, Bio-Rad Laboratories, Irvine CA USA.</w:t>
            </w:r>
          </w:p>
          <w:p w14:paraId="5CD00046" w14:textId="77777777" w:rsidR="00E3253B" w:rsidRPr="00DC7421" w:rsidRDefault="00E3253B" w:rsidP="008C2E7C">
            <w:pPr>
              <w:ind w:left="360"/>
              <w:rPr>
                <w:rFonts w:cs="Arial"/>
                <w:szCs w:val="20"/>
              </w:rPr>
            </w:pP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7F4D5BCF"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3A8F56A8" w:rsidR="00F50200" w:rsidRPr="00DC7421" w:rsidRDefault="003417E0">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74B36585" w:rsidR="003417E0" w:rsidRPr="00DC7421" w:rsidRDefault="003417E0">
            <w:pPr>
              <w:rPr>
                <w:rFonts w:cs="Arial"/>
                <w:iCs/>
                <w:szCs w:val="20"/>
              </w:rPr>
            </w:pPr>
            <w:r>
              <w:rPr>
                <w:rFonts w:cs="Arial"/>
                <w:iCs/>
                <w:szCs w:val="20"/>
              </w:rPr>
              <w:t>April 24,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76F76E45" w:rsidR="00F50200" w:rsidRPr="00F84C8E" w:rsidRDefault="0060634D">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D4E3E83" w:rsidR="00F50200" w:rsidRPr="00F84C8E" w:rsidRDefault="0060634D">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0DC0DB5E" w:rsidR="00F50200" w:rsidRPr="00F84C8E" w:rsidRDefault="0060634D">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6687794E" w:rsidR="00F50200" w:rsidRPr="00F84C8E" w:rsidRDefault="0060634D">
            <w:pPr>
              <w:rPr>
                <w:rFonts w:cs="Arial"/>
                <w:iCs/>
                <w:szCs w:val="20"/>
              </w:rPr>
            </w:pPr>
            <w:r>
              <w:rPr>
                <w:rFonts w:cs="Arial"/>
                <w:iCs/>
                <w:szCs w:val="20"/>
              </w:rPr>
              <w:t>Added reference intervals, critical values, calibrators, AMR, fixed title, added dilutions, etc for new procedure.</w:t>
            </w:r>
          </w:p>
        </w:tc>
      </w:tr>
    </w:tbl>
    <w:p w14:paraId="5CD0005A" w14:textId="77777777" w:rsidR="00E3253B" w:rsidRPr="00BC1DCC" w:rsidRDefault="00E3253B" w:rsidP="007132A9">
      <w:pPr>
        <w:rPr>
          <w:rFonts w:cs="Arial"/>
        </w:rPr>
      </w:pPr>
    </w:p>
    <w:sectPr w:rsidR="00E3253B" w:rsidRPr="00BC1DCC" w:rsidSect="008F2C66">
      <w:headerReference w:type="default" r:id="rId16"/>
      <w:footerReference w:type="default" r:id="rId17"/>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HelenPro-Regular">
    <w:altName w:val="MS Gothic"/>
    <w:panose1 w:val="00000000000000000000"/>
    <w:charset w:val="80"/>
    <w:family w:val="swiss"/>
    <w:notTrueType/>
    <w:pitch w:val="default"/>
    <w:sig w:usb0="00000003" w:usb1="08070000" w:usb2="00000010" w:usb3="00000000" w:csb0="0002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63" w14:textId="0B6D6339" w:rsidR="00B13C1A" w:rsidRPr="002E718D" w:rsidRDefault="00B13C1A" w:rsidP="002E718D">
    <w:pPr>
      <w:ind w:left="-1260" w:right="-1260"/>
      <w:rPr>
        <w:rFonts w:cs="Arial"/>
        <w:sz w:val="16"/>
      </w:rPr>
    </w:pPr>
    <w:r>
      <w:rPr>
        <w:rFonts w:cs="Arial"/>
        <w:sz w:val="16"/>
      </w:rPr>
      <w:t>Laboratory, Children’s Minnesota, Minneapolis,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E16153">
      <w:rPr>
        <w:noProof/>
        <w:sz w:val="18"/>
      </w:rPr>
      <w:t>3</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E16153">
      <w:rPr>
        <w:noProof/>
        <w:sz w:val="18"/>
      </w:rPr>
      <w:t>6</w:t>
    </w:r>
    <w:r w:rsidR="008F2C6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0005F" w14:textId="474B8CF9"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BC002E">
      <w:rPr>
        <w:rFonts w:cs="Arial"/>
      </w:rPr>
      <w:t>6.351 Gentamicin</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386BFBBB" w:rsidR="00B13C1A" w:rsidRDefault="00B13C1A">
    <w:pPr>
      <w:ind w:left="-1260" w:right="-1260"/>
      <w:rPr>
        <w:rFonts w:cs="Arial"/>
      </w:rPr>
    </w:pPr>
    <w:r>
      <w:rPr>
        <w:rFonts w:cs="Arial"/>
      </w:rPr>
      <w:t xml:space="preserve">Effective Date: </w:t>
    </w:r>
    <w:r w:rsidR="00BC002E">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3462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E11D9"/>
    <w:multiLevelType w:val="hybridMultilevel"/>
    <w:tmpl w:val="2E56F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0"/>
  </w:num>
  <w:num w:numId="4">
    <w:abstractNumId w:val="35"/>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5"/>
  </w:num>
  <w:num w:numId="21">
    <w:abstractNumId w:val="32"/>
  </w:num>
  <w:num w:numId="22">
    <w:abstractNumId w:val="38"/>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4"/>
  </w:num>
  <w:num w:numId="41">
    <w:abstractNumId w:val="34"/>
  </w:num>
  <w:num w:numId="42">
    <w:abstractNumId w:val="1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3B"/>
    <w:rsid w:val="0002281F"/>
    <w:rsid w:val="000244AC"/>
    <w:rsid w:val="00025B50"/>
    <w:rsid w:val="0002771B"/>
    <w:rsid w:val="00064AD2"/>
    <w:rsid w:val="000A3E5A"/>
    <w:rsid w:val="000E63E3"/>
    <w:rsid w:val="001102B2"/>
    <w:rsid w:val="00115DD6"/>
    <w:rsid w:val="001241E4"/>
    <w:rsid w:val="001362D6"/>
    <w:rsid w:val="0017089C"/>
    <w:rsid w:val="001A1584"/>
    <w:rsid w:val="001B58ED"/>
    <w:rsid w:val="001C1CFA"/>
    <w:rsid w:val="001C641E"/>
    <w:rsid w:val="001D1786"/>
    <w:rsid w:val="001D284B"/>
    <w:rsid w:val="001F5D12"/>
    <w:rsid w:val="00233AA0"/>
    <w:rsid w:val="00234774"/>
    <w:rsid w:val="002462C0"/>
    <w:rsid w:val="002503B6"/>
    <w:rsid w:val="00250A09"/>
    <w:rsid w:val="00252F1D"/>
    <w:rsid w:val="002A3FA3"/>
    <w:rsid w:val="002C12BF"/>
    <w:rsid w:val="002C29CB"/>
    <w:rsid w:val="002C3006"/>
    <w:rsid w:val="002E718D"/>
    <w:rsid w:val="002F5C68"/>
    <w:rsid w:val="002F5F18"/>
    <w:rsid w:val="0030640D"/>
    <w:rsid w:val="003100D1"/>
    <w:rsid w:val="003145F4"/>
    <w:rsid w:val="003278F7"/>
    <w:rsid w:val="003417E0"/>
    <w:rsid w:val="00342D4F"/>
    <w:rsid w:val="00370B0F"/>
    <w:rsid w:val="00387FF5"/>
    <w:rsid w:val="0039587D"/>
    <w:rsid w:val="003A65AD"/>
    <w:rsid w:val="003C2130"/>
    <w:rsid w:val="003C5427"/>
    <w:rsid w:val="003D5BD7"/>
    <w:rsid w:val="003D713F"/>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A7373"/>
    <w:rsid w:val="005B66A7"/>
    <w:rsid w:val="005C6F36"/>
    <w:rsid w:val="0060634D"/>
    <w:rsid w:val="006200C0"/>
    <w:rsid w:val="00646E63"/>
    <w:rsid w:val="00655B61"/>
    <w:rsid w:val="0066184A"/>
    <w:rsid w:val="00685D61"/>
    <w:rsid w:val="00693888"/>
    <w:rsid w:val="006A26B2"/>
    <w:rsid w:val="006A2770"/>
    <w:rsid w:val="006A41B1"/>
    <w:rsid w:val="006A5A84"/>
    <w:rsid w:val="006B78CE"/>
    <w:rsid w:val="006C5661"/>
    <w:rsid w:val="006C7814"/>
    <w:rsid w:val="007132A9"/>
    <w:rsid w:val="00747868"/>
    <w:rsid w:val="007B1809"/>
    <w:rsid w:val="007B2A3E"/>
    <w:rsid w:val="007B410A"/>
    <w:rsid w:val="007F5B07"/>
    <w:rsid w:val="008044BA"/>
    <w:rsid w:val="0081197E"/>
    <w:rsid w:val="0081598A"/>
    <w:rsid w:val="00824C10"/>
    <w:rsid w:val="008A71A5"/>
    <w:rsid w:val="008A7CDA"/>
    <w:rsid w:val="008B53E5"/>
    <w:rsid w:val="008C2E7C"/>
    <w:rsid w:val="008D3369"/>
    <w:rsid w:val="008D7EF5"/>
    <w:rsid w:val="008E0E52"/>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6097"/>
    <w:rsid w:val="00A94DDD"/>
    <w:rsid w:val="00A9779B"/>
    <w:rsid w:val="00AA5656"/>
    <w:rsid w:val="00AB7F16"/>
    <w:rsid w:val="00AE2334"/>
    <w:rsid w:val="00AF1198"/>
    <w:rsid w:val="00AF56A8"/>
    <w:rsid w:val="00B01603"/>
    <w:rsid w:val="00B067D8"/>
    <w:rsid w:val="00B109AB"/>
    <w:rsid w:val="00B11633"/>
    <w:rsid w:val="00B13C1A"/>
    <w:rsid w:val="00B16FBD"/>
    <w:rsid w:val="00B2749D"/>
    <w:rsid w:val="00B415C8"/>
    <w:rsid w:val="00BB3F98"/>
    <w:rsid w:val="00BC002E"/>
    <w:rsid w:val="00BC1DCC"/>
    <w:rsid w:val="00BD0AE4"/>
    <w:rsid w:val="00BD0E0F"/>
    <w:rsid w:val="00BD3CED"/>
    <w:rsid w:val="00C00B65"/>
    <w:rsid w:val="00C13C50"/>
    <w:rsid w:val="00CD06C7"/>
    <w:rsid w:val="00CE07E8"/>
    <w:rsid w:val="00CE16FB"/>
    <w:rsid w:val="00CF08A6"/>
    <w:rsid w:val="00D271B1"/>
    <w:rsid w:val="00D302B9"/>
    <w:rsid w:val="00D31B40"/>
    <w:rsid w:val="00D63C07"/>
    <w:rsid w:val="00D75850"/>
    <w:rsid w:val="00D80D39"/>
    <w:rsid w:val="00D955F6"/>
    <w:rsid w:val="00DC24D6"/>
    <w:rsid w:val="00DC7091"/>
    <w:rsid w:val="00DC7421"/>
    <w:rsid w:val="00DF5549"/>
    <w:rsid w:val="00DF6343"/>
    <w:rsid w:val="00E049CF"/>
    <w:rsid w:val="00E16153"/>
    <w:rsid w:val="00E246BA"/>
    <w:rsid w:val="00E3253B"/>
    <w:rsid w:val="00E47DE5"/>
    <w:rsid w:val="00E55C7B"/>
    <w:rsid w:val="00E93074"/>
    <w:rsid w:val="00EA1620"/>
    <w:rsid w:val="00EA2B3F"/>
    <w:rsid w:val="00EA580E"/>
    <w:rsid w:val="00EB4B6C"/>
    <w:rsid w:val="00EE145B"/>
    <w:rsid w:val="00EF1741"/>
    <w:rsid w:val="00F0405E"/>
    <w:rsid w:val="00F236AF"/>
    <w:rsid w:val="00F50200"/>
    <w:rsid w:val="00F52BBA"/>
    <w:rsid w:val="00F6060A"/>
    <w:rsid w:val="00F63DA5"/>
    <w:rsid w:val="00F83DB0"/>
    <w:rsid w:val="00F84C8E"/>
    <w:rsid w:val="00F90184"/>
    <w:rsid w:val="00F93176"/>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emergency-and-safe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operator/alinity-ci-series-operations-manu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chem/quality/ch-2.17-unity-real-time-qc-review-general-us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486088E5-01B6-45A3-B360-8B0A61C6A90A}">
  <ds:schemaRefs>
    <ds:schemaRef ds:uri="http://purl.org/dc/elements/1.1/"/>
    <ds:schemaRef ds:uri="http://schemas.openxmlformats.org/package/2006/metadata/core-properties"/>
    <ds:schemaRef ds:uri="http://schemas.microsoft.com/sharepoint.v3"/>
    <ds:schemaRef ds:uri="http://schemas.microsoft.com/office/infopath/2007/PartnerControls"/>
    <ds:schemaRef ds:uri="http://purl.org/dc/terms/"/>
    <ds:schemaRef ds:uri="199f0838-75a6-4f0c-9be1-f2c07140bccc"/>
    <ds:schemaRef ds:uri="http://www.w3.org/XML/1998/namespace"/>
    <ds:schemaRef ds:uri="http://purl.org/dc/dcmitype/"/>
    <ds:schemaRef ds:uri="c1848e11-9cf6-4ce4-877e-6837d2c2fa23"/>
    <ds:schemaRef ds:uri="http://schemas.microsoft.com/office/2006/documentManagement/types"/>
    <ds:schemaRef ds:uri="http://schemas.microsoft.com/sharepoint/v3/field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24EB9E46-AA46-4075-B0BA-E6E075B5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1997</Words>
  <Characters>11994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13964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7</cp:revision>
  <cp:lastPrinted>2020-04-15T15:00:00Z</cp:lastPrinted>
  <dcterms:created xsi:type="dcterms:W3CDTF">2020-11-11T01:28:00Z</dcterms:created>
  <dcterms:modified xsi:type="dcterms:W3CDTF">2021-01-14T17:54:00Z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