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69E8F88" w:rsidR="006C5661" w:rsidRDefault="0068685C">
            <w:pPr>
              <w:rPr>
                <w:rFonts w:cs="Arial"/>
                <w:b/>
                <w:bCs/>
                <w:color w:val="0000FF"/>
              </w:rPr>
            </w:pPr>
            <w:r w:rsidRPr="0068685C">
              <w:rPr>
                <w:rFonts w:cs="Arial"/>
                <w:b/>
                <w:bCs/>
                <w:color w:val="0000FF"/>
                <w:sz w:val="36"/>
              </w:rPr>
              <w:t>Tobramycin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6752DB0" w:rsidR="00E3253B" w:rsidRDefault="00A34EE2" w:rsidP="00A206E5">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12612F">
              <w:rPr>
                <w:rStyle w:val="A7"/>
                <w:rFonts w:cs="Arial"/>
                <w:b w:val="0"/>
                <w:bCs w:val="0"/>
                <w:sz w:val="20"/>
                <w:szCs w:val="20"/>
              </w:rPr>
              <w:t xml:space="preserve"> for performing</w:t>
            </w:r>
            <w:r w:rsidRPr="00DC7421">
              <w:rPr>
                <w:rStyle w:val="A7"/>
                <w:rFonts w:cs="Arial"/>
                <w:b w:val="0"/>
                <w:bCs w:val="0"/>
                <w:sz w:val="20"/>
                <w:szCs w:val="20"/>
              </w:rPr>
              <w:t xml:space="preserve"> </w:t>
            </w:r>
            <w:r w:rsidR="0012612F">
              <w:rPr>
                <w:rFonts w:cs="Arial"/>
                <w:szCs w:val="20"/>
              </w:rPr>
              <w:t>TOBRAMYCIN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A206E5">
              <w:rPr>
                <w:rStyle w:val="A7"/>
                <w:rFonts w:cs="Arial"/>
                <w:b w:val="0"/>
                <w:bCs w:val="0"/>
                <w:sz w:val="20"/>
                <w:szCs w:val="20"/>
              </w:rPr>
              <w:t xml:space="preserve">  </w:t>
            </w:r>
            <w:r w:rsidR="00A206E5" w:rsidRPr="00A206E5">
              <w:rPr>
                <w:rStyle w:val="A7"/>
                <w:rFonts w:cs="Arial"/>
                <w:b w:val="0"/>
                <w:bCs w:val="0"/>
                <w:sz w:val="20"/>
                <w:szCs w:val="20"/>
              </w:rPr>
              <w:t>The Alinity c Tobramycin assay is used for the quantitative</w:t>
            </w:r>
            <w:r w:rsidR="00A206E5">
              <w:rPr>
                <w:rStyle w:val="A7"/>
                <w:rFonts w:cs="Arial"/>
                <w:b w:val="0"/>
                <w:bCs w:val="0"/>
                <w:sz w:val="20"/>
                <w:szCs w:val="20"/>
              </w:rPr>
              <w:t xml:space="preserve"> </w:t>
            </w:r>
            <w:r w:rsidR="00A206E5" w:rsidRPr="00A206E5">
              <w:rPr>
                <w:rStyle w:val="A7"/>
                <w:rFonts w:cs="Arial"/>
                <w:b w:val="0"/>
                <w:bCs w:val="0"/>
                <w:sz w:val="20"/>
                <w:szCs w:val="20"/>
              </w:rPr>
              <w:t>determination of tobramycin in human serum or plasma on the Alinity</w:t>
            </w:r>
            <w:r w:rsidR="00A206E5">
              <w:rPr>
                <w:rStyle w:val="A7"/>
                <w:rFonts w:cs="Arial"/>
                <w:b w:val="0"/>
                <w:bCs w:val="0"/>
                <w:sz w:val="20"/>
                <w:szCs w:val="20"/>
              </w:rPr>
              <w:t xml:space="preserve"> </w:t>
            </w:r>
            <w:r w:rsidR="00A206E5" w:rsidRPr="00A206E5">
              <w:rPr>
                <w:rStyle w:val="A7"/>
                <w:rFonts w:cs="Arial"/>
                <w:b w:val="0"/>
                <w:bCs w:val="0"/>
                <w:sz w:val="20"/>
                <w:szCs w:val="20"/>
              </w:rPr>
              <w:t>c analyzer.</w:t>
            </w:r>
            <w:r>
              <w:rPr>
                <w:rStyle w:val="A7"/>
                <w:rFonts w:cs="Arial"/>
                <w:b w:val="0"/>
                <w:bCs w:val="0"/>
                <w:sz w:val="20"/>
                <w:szCs w:val="20"/>
              </w:rPr>
              <w:t xml:space="preserve"> </w:t>
            </w:r>
            <w:r w:rsidR="00A206E5">
              <w:rPr>
                <w:rStyle w:val="A7"/>
                <w:rFonts w:cs="Arial"/>
                <w:b w:val="0"/>
                <w:bCs w:val="0"/>
                <w:sz w:val="20"/>
                <w:szCs w:val="20"/>
              </w:rPr>
              <w:t>Tobramycin is also referred to as Tobra.</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6F683929" w:rsidR="001A1584" w:rsidRPr="001A1584" w:rsidRDefault="001A1584" w:rsidP="001A1584">
            <w:pPr>
              <w:rPr>
                <w:rFonts w:cs="Arial"/>
                <w:szCs w:val="20"/>
              </w:rPr>
            </w:pPr>
            <w:r w:rsidRPr="001A1584">
              <w:rPr>
                <w:rFonts w:cs="Arial"/>
                <w:szCs w:val="20"/>
              </w:rPr>
              <w:t>This procedure applies to all personnel responsible for operating the Alinity c at Children’s Minnesota Laboratory</w:t>
            </w:r>
            <w:r w:rsidR="001C3CEF">
              <w:rPr>
                <w:rFonts w:cs="Arial"/>
                <w:szCs w:val="20"/>
              </w:rPr>
              <w:t>, Minneapolis</w:t>
            </w:r>
            <w:r w:rsidRPr="001A1584">
              <w:rPr>
                <w:rFonts w:cs="Arial"/>
                <w:szCs w:val="20"/>
              </w:rPr>
              <w:t>.</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DF3E9A4" w14:textId="1A003F7A" w:rsidR="0068685C" w:rsidRDefault="0068685C" w:rsidP="0068685C">
            <w:pPr>
              <w:pStyle w:val="Header"/>
              <w:rPr>
                <w:rFonts w:cs="Arial"/>
                <w:color w:val="000000"/>
                <w:szCs w:val="20"/>
              </w:rPr>
            </w:pPr>
            <w:r w:rsidRPr="0068685C">
              <w:rPr>
                <w:rFonts w:cs="Arial"/>
                <w:color w:val="000000"/>
                <w:szCs w:val="20"/>
              </w:rPr>
              <w:t xml:space="preserve">The Alinity c Tobramycin assay is </w:t>
            </w:r>
            <w:r>
              <w:rPr>
                <w:rFonts w:cs="Arial"/>
                <w:color w:val="000000"/>
                <w:szCs w:val="20"/>
              </w:rPr>
              <w:t xml:space="preserve">a homogeneous particle-enhanced </w:t>
            </w:r>
            <w:r w:rsidRPr="0068685C">
              <w:rPr>
                <w:rFonts w:cs="Arial"/>
                <w:color w:val="000000"/>
                <w:szCs w:val="20"/>
              </w:rPr>
              <w:t>turbidimetric inhibition immunoassa</w:t>
            </w:r>
            <w:r>
              <w:rPr>
                <w:rFonts w:cs="Arial"/>
                <w:color w:val="000000"/>
                <w:szCs w:val="20"/>
              </w:rPr>
              <w:t xml:space="preserve">y (PETINIA). The assay is based </w:t>
            </w:r>
            <w:r w:rsidRPr="0068685C">
              <w:rPr>
                <w:rFonts w:cs="Arial"/>
                <w:color w:val="000000"/>
                <w:szCs w:val="20"/>
              </w:rPr>
              <w:t>on competition between drug in th</w:t>
            </w:r>
            <w:r>
              <w:rPr>
                <w:rFonts w:cs="Arial"/>
                <w:color w:val="000000"/>
                <w:szCs w:val="20"/>
              </w:rPr>
              <w:t xml:space="preserve">e sample and drug coated onto a </w:t>
            </w:r>
            <w:r w:rsidRPr="0068685C">
              <w:rPr>
                <w:rFonts w:cs="Arial"/>
                <w:color w:val="000000"/>
                <w:szCs w:val="20"/>
              </w:rPr>
              <w:t>microparticle for antibody binding s</w:t>
            </w:r>
            <w:r>
              <w:rPr>
                <w:rFonts w:cs="Arial"/>
                <w:color w:val="000000"/>
                <w:szCs w:val="20"/>
              </w:rPr>
              <w:t xml:space="preserve">ites of the tobramycin antibody </w:t>
            </w:r>
            <w:r w:rsidRPr="0068685C">
              <w:rPr>
                <w:rFonts w:cs="Arial"/>
                <w:color w:val="000000"/>
                <w:szCs w:val="20"/>
              </w:rPr>
              <w:t>reagent. The tobramycin-coated m</w:t>
            </w:r>
            <w:r>
              <w:rPr>
                <w:rFonts w:cs="Arial"/>
                <w:color w:val="000000"/>
                <w:szCs w:val="20"/>
              </w:rPr>
              <w:t xml:space="preserve">icroparticle reagent is rapidly </w:t>
            </w:r>
            <w:r w:rsidRPr="0068685C">
              <w:rPr>
                <w:rFonts w:cs="Arial"/>
                <w:color w:val="000000"/>
                <w:szCs w:val="20"/>
              </w:rPr>
              <w:t>agglutinated in the presence of the a</w:t>
            </w:r>
            <w:r>
              <w:rPr>
                <w:rFonts w:cs="Arial"/>
                <w:color w:val="000000"/>
                <w:szCs w:val="20"/>
              </w:rPr>
              <w:t xml:space="preserve">nti-tobramycin antibody reagent </w:t>
            </w:r>
            <w:r w:rsidRPr="0068685C">
              <w:rPr>
                <w:rFonts w:cs="Arial"/>
                <w:color w:val="000000"/>
                <w:szCs w:val="20"/>
              </w:rPr>
              <w:t>and in the absence of any competi</w:t>
            </w:r>
            <w:r>
              <w:rPr>
                <w:rFonts w:cs="Arial"/>
                <w:color w:val="000000"/>
                <w:szCs w:val="20"/>
              </w:rPr>
              <w:t xml:space="preserve">ng drug in the sample. The rate </w:t>
            </w:r>
            <w:r w:rsidRPr="0068685C">
              <w:rPr>
                <w:rFonts w:cs="Arial"/>
                <w:color w:val="000000"/>
                <w:szCs w:val="20"/>
              </w:rPr>
              <w:t xml:space="preserve">of absorbance change is measured </w:t>
            </w:r>
            <w:r>
              <w:rPr>
                <w:rFonts w:cs="Arial"/>
                <w:color w:val="000000"/>
                <w:szCs w:val="20"/>
              </w:rPr>
              <w:t xml:space="preserve">photometrically and is directly </w:t>
            </w:r>
            <w:r w:rsidRPr="0068685C">
              <w:rPr>
                <w:rFonts w:cs="Arial"/>
                <w:color w:val="000000"/>
                <w:szCs w:val="20"/>
              </w:rPr>
              <w:t>proportional to the rate of aggluti</w:t>
            </w:r>
            <w:r>
              <w:rPr>
                <w:rFonts w:cs="Arial"/>
                <w:color w:val="000000"/>
                <w:szCs w:val="20"/>
              </w:rPr>
              <w:t xml:space="preserve">nation of the particles. When a </w:t>
            </w:r>
            <w:r w:rsidRPr="0068685C">
              <w:rPr>
                <w:rFonts w:cs="Arial"/>
                <w:color w:val="000000"/>
                <w:szCs w:val="20"/>
              </w:rPr>
              <w:t>sample containing tobramycin is ad</w:t>
            </w:r>
            <w:r>
              <w:rPr>
                <w:rFonts w:cs="Arial"/>
                <w:color w:val="000000"/>
                <w:szCs w:val="20"/>
              </w:rPr>
              <w:t xml:space="preserve">ded, the agglutination reaction </w:t>
            </w:r>
            <w:r w:rsidRPr="0068685C">
              <w:rPr>
                <w:rFonts w:cs="Arial"/>
                <w:color w:val="000000"/>
                <w:szCs w:val="20"/>
              </w:rPr>
              <w:t>is partially inhibited, slowing down</w:t>
            </w:r>
            <w:r>
              <w:rPr>
                <w:rFonts w:cs="Arial"/>
                <w:color w:val="000000"/>
                <w:szCs w:val="20"/>
              </w:rPr>
              <w:t xml:space="preserve"> the rate of absorbance change. </w:t>
            </w:r>
            <w:r w:rsidRPr="0068685C">
              <w:rPr>
                <w:rFonts w:cs="Arial"/>
                <w:color w:val="000000"/>
                <w:szCs w:val="20"/>
              </w:rPr>
              <w:t>A concentration-dependent classic</w:t>
            </w:r>
            <w:r>
              <w:rPr>
                <w:rFonts w:cs="Arial"/>
                <w:color w:val="000000"/>
                <w:szCs w:val="20"/>
              </w:rPr>
              <w:t xml:space="preserve"> agglutination inhibition curve </w:t>
            </w:r>
            <w:r w:rsidRPr="0068685C">
              <w:rPr>
                <w:rFonts w:cs="Arial"/>
                <w:color w:val="000000"/>
                <w:szCs w:val="20"/>
              </w:rPr>
              <w:t>can be obtained, with maximum rate</w:t>
            </w:r>
            <w:r>
              <w:rPr>
                <w:rFonts w:cs="Arial"/>
                <w:color w:val="000000"/>
                <w:szCs w:val="20"/>
              </w:rPr>
              <w:t xml:space="preserve"> of agglutination at the lowest </w:t>
            </w:r>
            <w:r w:rsidRPr="0068685C">
              <w:rPr>
                <w:rFonts w:cs="Arial"/>
                <w:color w:val="000000"/>
                <w:szCs w:val="20"/>
              </w:rPr>
              <w:t>tobramycin concentration and the l</w:t>
            </w:r>
            <w:r>
              <w:rPr>
                <w:rFonts w:cs="Arial"/>
                <w:color w:val="000000"/>
                <w:szCs w:val="20"/>
              </w:rPr>
              <w:t xml:space="preserve">owest agglutination rate at the </w:t>
            </w:r>
            <w:r w:rsidRPr="0068685C">
              <w:rPr>
                <w:rFonts w:cs="Arial"/>
                <w:color w:val="000000"/>
                <w:szCs w:val="20"/>
              </w:rPr>
              <w:t>highest tobramycin concentration.</w:t>
            </w:r>
          </w:p>
          <w:p w14:paraId="168FD86E" w14:textId="77777777" w:rsidR="0068685C" w:rsidRPr="0068685C" w:rsidRDefault="0068685C" w:rsidP="0068685C">
            <w:pPr>
              <w:pStyle w:val="Header"/>
              <w:rPr>
                <w:rFonts w:cs="Arial"/>
                <w:color w:val="000000"/>
                <w:szCs w:val="20"/>
              </w:rPr>
            </w:pPr>
          </w:p>
          <w:p w14:paraId="1A85C4E2" w14:textId="1495B5E9" w:rsidR="0068685C" w:rsidRDefault="0068685C" w:rsidP="0068685C">
            <w:pPr>
              <w:pStyle w:val="Header"/>
              <w:rPr>
                <w:rFonts w:cs="Arial"/>
                <w:color w:val="000000"/>
                <w:szCs w:val="20"/>
              </w:rPr>
            </w:pPr>
            <w:r w:rsidRPr="0068685C">
              <w:rPr>
                <w:rFonts w:cs="Arial"/>
                <w:b/>
                <w:color w:val="000000"/>
                <w:szCs w:val="20"/>
              </w:rPr>
              <w:t>Methodology:</w:t>
            </w:r>
            <w:r w:rsidRPr="0068685C">
              <w:rPr>
                <w:rFonts w:cs="Arial"/>
                <w:color w:val="000000"/>
                <w:szCs w:val="20"/>
              </w:rPr>
              <w:t xml:space="preserve"> Particle-enhanced turbi</w:t>
            </w:r>
            <w:r>
              <w:rPr>
                <w:rFonts w:cs="Arial"/>
                <w:color w:val="000000"/>
                <w:szCs w:val="20"/>
              </w:rPr>
              <w:t xml:space="preserve">dimetric inhibition immunoassay </w:t>
            </w:r>
            <w:r w:rsidRPr="0068685C">
              <w:rPr>
                <w:rFonts w:cs="Arial"/>
                <w:color w:val="000000"/>
                <w:szCs w:val="20"/>
              </w:rPr>
              <w:t>(PETINIA)</w:t>
            </w:r>
          </w:p>
          <w:p w14:paraId="4E7059E0" w14:textId="77777777" w:rsidR="0068685C" w:rsidRPr="0068685C" w:rsidRDefault="0068685C" w:rsidP="0068685C">
            <w:pPr>
              <w:pStyle w:val="Header"/>
              <w:rPr>
                <w:rFonts w:cs="Arial"/>
                <w:color w:val="000000"/>
                <w:szCs w:val="20"/>
              </w:rPr>
            </w:pPr>
          </w:p>
          <w:p w14:paraId="100C86EE" w14:textId="77777777" w:rsidR="006C5661" w:rsidRDefault="0068685C" w:rsidP="0068685C">
            <w:pPr>
              <w:pStyle w:val="Header"/>
              <w:rPr>
                <w:rFonts w:cs="Arial"/>
                <w:color w:val="000000"/>
                <w:szCs w:val="20"/>
              </w:rPr>
            </w:pPr>
            <w:r w:rsidRPr="0012612F">
              <w:rPr>
                <w:rFonts w:cs="Arial"/>
                <w:color w:val="000000"/>
                <w:szCs w:val="20"/>
              </w:rPr>
              <w:t>For additional information on system and assay technology, refer to the Alinity ci-series Operations Manual, Section 3.</w:t>
            </w:r>
          </w:p>
          <w:p w14:paraId="5CCFFF81" w14:textId="3F49FDAD" w:rsidR="0012612F" w:rsidRPr="0012612F" w:rsidRDefault="0012612F" w:rsidP="0068685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8667315" w14:textId="77777777" w:rsidR="002462C0" w:rsidRDefault="0068685C" w:rsidP="0068685C">
            <w:r w:rsidRPr="0068685C">
              <w:t xml:space="preserve">Tobramycin sulfate is an aminoglycoside derived from </w:t>
            </w:r>
            <w:r w:rsidRPr="0068685C">
              <w:rPr>
                <w:i/>
                <w:iCs/>
              </w:rPr>
              <w:t>Streptomyces</w:t>
            </w:r>
            <w:r>
              <w:rPr>
                <w:i/>
                <w:iCs/>
              </w:rPr>
              <w:t xml:space="preserve"> </w:t>
            </w:r>
            <w:r w:rsidRPr="0068685C">
              <w:rPr>
                <w:i/>
                <w:iCs/>
              </w:rPr>
              <w:t>tenebrarius</w:t>
            </w:r>
            <w:r w:rsidRPr="0068685C">
              <w:t>.</w:t>
            </w:r>
            <w:r>
              <w:t xml:space="preserve"> </w:t>
            </w:r>
            <w:r w:rsidRPr="0068685C">
              <w:t>This aminoglycoside antibiotic is used to treat serious</w:t>
            </w:r>
            <w:r>
              <w:rPr>
                <w:i/>
                <w:iCs/>
              </w:rPr>
              <w:t xml:space="preserve"> </w:t>
            </w:r>
            <w:r w:rsidRPr="0068685C">
              <w:t>bacterial infections by inhibiting the growth of the bacterium by</w:t>
            </w:r>
            <w:r>
              <w:rPr>
                <w:i/>
                <w:iCs/>
              </w:rPr>
              <w:t xml:space="preserve"> </w:t>
            </w:r>
            <w:r w:rsidRPr="0068685C">
              <w:t>intervening in the protein synthesis thereby killing the bacterium.</w:t>
            </w:r>
            <w:r>
              <w:rPr>
                <w:i/>
                <w:iCs/>
              </w:rPr>
              <w:t xml:space="preserve"> </w:t>
            </w:r>
            <w:r w:rsidRPr="0068685C">
              <w:t>Tobramycin is absorbed minimally from the gastrointestinal tract.</w:t>
            </w:r>
            <w:r>
              <w:rPr>
                <w:i/>
                <w:iCs/>
              </w:rPr>
              <w:t xml:space="preserve"> </w:t>
            </w:r>
            <w:r w:rsidRPr="0068685C">
              <w:t>In the first 24 hours after intravenous dosing, the usual route of</w:t>
            </w:r>
            <w:r>
              <w:rPr>
                <w:i/>
                <w:iCs/>
              </w:rPr>
              <w:t xml:space="preserve"> </w:t>
            </w:r>
            <w:r w:rsidRPr="0068685C">
              <w:t>administration, about 99% of the tobramycin is excreted unchanged</w:t>
            </w:r>
            <w:r>
              <w:rPr>
                <w:i/>
                <w:iCs/>
              </w:rPr>
              <w:t xml:space="preserve"> </w:t>
            </w:r>
            <w:r w:rsidRPr="0068685C">
              <w:t>by the kidneys. The average half-life in patients with normal renal</w:t>
            </w:r>
            <w:r>
              <w:rPr>
                <w:i/>
                <w:iCs/>
              </w:rPr>
              <w:t xml:space="preserve"> </w:t>
            </w:r>
            <w:r w:rsidRPr="0068685C">
              <w:t>function is about 2 to 3 hours.</w:t>
            </w:r>
            <w:r>
              <w:t xml:space="preserve"> </w:t>
            </w:r>
            <w:r w:rsidRPr="0068685C">
              <w:t>Therapeutic serum levels vary</w:t>
            </w:r>
            <w:r>
              <w:rPr>
                <w:i/>
                <w:iCs/>
              </w:rPr>
              <w:t xml:space="preserve"> </w:t>
            </w:r>
            <w:r w:rsidRPr="0068685C">
              <w:t>depending on the microorganism involved and the patient</w:t>
            </w:r>
            <w:r w:rsidRPr="0068685C">
              <w:rPr>
                <w:rFonts w:hint="eastAsia"/>
              </w:rPr>
              <w:t>’</w:t>
            </w:r>
            <w:r w:rsidRPr="0068685C">
              <w:t>s tolerance</w:t>
            </w:r>
            <w:r>
              <w:rPr>
                <w:i/>
                <w:iCs/>
              </w:rPr>
              <w:t xml:space="preserve"> </w:t>
            </w:r>
            <w:r w:rsidRPr="0068685C">
              <w:t>to the drug. Tobramycin serum or plasma concentrations are</w:t>
            </w:r>
            <w:r>
              <w:rPr>
                <w:i/>
                <w:iCs/>
              </w:rPr>
              <w:t xml:space="preserve"> </w:t>
            </w:r>
            <w:r w:rsidRPr="0068685C">
              <w:t>monitored to help guide therapy, since individual patient differences</w:t>
            </w:r>
            <w:r>
              <w:rPr>
                <w:i/>
                <w:iCs/>
              </w:rPr>
              <w:t xml:space="preserve"> </w:t>
            </w:r>
            <w:r w:rsidRPr="0068685C">
              <w:t>require dose change</w:t>
            </w:r>
            <w:r>
              <w:t>s that are difficult to predict.</w:t>
            </w:r>
            <w:r w:rsidRPr="0068685C">
              <w:t xml:space="preserve"> Monitoring</w:t>
            </w:r>
            <w:r>
              <w:rPr>
                <w:i/>
                <w:iCs/>
              </w:rPr>
              <w:t xml:space="preserve"> </w:t>
            </w:r>
            <w:r w:rsidRPr="0068685C">
              <w:t>serum or plasma levels of tobramycin decreases the frequency of</w:t>
            </w:r>
            <w:r>
              <w:rPr>
                <w:i/>
                <w:iCs/>
              </w:rPr>
              <w:t xml:space="preserve"> </w:t>
            </w:r>
            <w:r w:rsidRPr="0068685C">
              <w:t>serious toxic effects.</w:t>
            </w:r>
          </w:p>
          <w:p w14:paraId="5CCFFF86" w14:textId="4391F34A" w:rsidR="00A206E5" w:rsidRPr="0068685C" w:rsidRDefault="00A206E5" w:rsidP="0068685C">
            <w:pPr>
              <w:rPr>
                <w:i/>
                <w:iCs/>
              </w:rPr>
            </w:pPr>
          </w:p>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0A0AE8AA" w14:textId="77777777" w:rsidR="0012612F" w:rsidRDefault="0012612F" w:rsidP="0012612F">
            <w:pPr>
              <w:autoSpaceDE w:val="0"/>
              <w:autoSpaceDN w:val="0"/>
              <w:adjustRightInd w:val="0"/>
              <w:rPr>
                <w:rFonts w:cs="Arial"/>
                <w:b/>
                <w:bCs/>
                <w:color w:val="7030A0"/>
                <w:szCs w:val="20"/>
              </w:rPr>
            </w:pPr>
            <w:r>
              <w:rPr>
                <w:rFonts w:cs="Arial"/>
                <w:b/>
                <w:bCs/>
                <w:color w:val="7030A0"/>
                <w:szCs w:val="20"/>
              </w:rPr>
              <w:t>Minneapolis: Abbott Alinity c (Sunquest method code: MACC)</w:t>
            </w:r>
          </w:p>
          <w:p w14:paraId="77DABE5E" w14:textId="439EAE17" w:rsidR="006200C0" w:rsidRDefault="0012612F" w:rsidP="0012612F">
            <w:pPr>
              <w:pStyle w:val="BodyText2"/>
              <w:spacing w:after="60" w:line="240" w:lineRule="auto"/>
              <w:rPr>
                <w:rFonts w:cs="Arial"/>
                <w:bCs/>
                <w:szCs w:val="20"/>
              </w:rPr>
            </w:pPr>
            <w:r>
              <w:rPr>
                <w:rFonts w:cs="Arial"/>
                <w:b/>
                <w:bCs/>
                <w:szCs w:val="20"/>
              </w:rPr>
              <w:t>BACKUP:</w:t>
            </w:r>
            <w:r>
              <w:rPr>
                <w:rFonts w:cs="Arial"/>
                <w:bCs/>
                <w:szCs w:val="20"/>
              </w:rPr>
              <w:t xml:space="preserve"> </w:t>
            </w:r>
            <w:r w:rsidR="00EA54F9">
              <w:rPr>
                <w:rFonts w:cs="Arial"/>
                <w:bCs/>
                <w:szCs w:val="20"/>
              </w:rPr>
              <w:t>Abbott Alinity c (Sunquest method code: MALIC)</w:t>
            </w:r>
          </w:p>
          <w:p w14:paraId="5CCFFF89" w14:textId="5F8C64E6" w:rsidR="00A206E5" w:rsidRPr="00DC7421" w:rsidRDefault="00A206E5" w:rsidP="0012612F">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734C2FC" w:rsidR="00370B0F" w:rsidRPr="0012612F" w:rsidRDefault="0068685C" w:rsidP="00504F3B">
            <w:pPr>
              <w:rPr>
                <w:b/>
              </w:rPr>
            </w:pPr>
            <w:r w:rsidRPr="0012612F">
              <w:rPr>
                <w:b/>
              </w:rPr>
              <w:t>TOBR</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E292ADE"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68685C">
              <w:rPr>
                <w:rStyle w:val="BoldBodyText"/>
                <w:rFonts w:ascii="Arial" w:hAnsi="Arial" w:cs="Arial"/>
                <w:b w:val="0"/>
                <w:bCs w:val="0"/>
                <w:sz w:val="20"/>
                <w:szCs w:val="20"/>
              </w:rPr>
              <w:t>Plasma or Serum (with or without gel barrier)</w:t>
            </w:r>
          </w:p>
          <w:p w14:paraId="34021B1C" w14:textId="1C5E6104"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68685C" w:rsidRPr="0068685C">
              <w:rPr>
                <w:rFonts w:cs="Arial"/>
                <w:szCs w:val="20"/>
              </w:rPr>
              <w:t>Lithium Heparin</w:t>
            </w:r>
          </w:p>
          <w:p w14:paraId="60FE11B0" w14:textId="3B5A7D41" w:rsidR="0017089C" w:rsidRPr="0068685C" w:rsidRDefault="0017089C">
            <w:pPr>
              <w:rPr>
                <w:rFonts w:cs="Arial"/>
                <w:szCs w:val="20"/>
              </w:rPr>
            </w:pPr>
            <w:r w:rsidRPr="009475C8">
              <w:rPr>
                <w:rFonts w:cs="Arial"/>
                <w:b/>
                <w:szCs w:val="20"/>
              </w:rPr>
              <w:t>Alternative:</w:t>
            </w:r>
            <w:r w:rsidR="0068685C">
              <w:rPr>
                <w:rFonts w:cs="Arial"/>
                <w:b/>
                <w:szCs w:val="20"/>
              </w:rPr>
              <w:t xml:space="preserve"> </w:t>
            </w:r>
            <w:r w:rsidR="0068685C">
              <w:rPr>
                <w:rFonts w:cs="Arial"/>
                <w:szCs w:val="20"/>
              </w:rPr>
              <w:t>SST, Sodium Heparin, K2-EDTA, K3-EDTA</w:t>
            </w:r>
          </w:p>
          <w:p w14:paraId="2B4CE3FC" w14:textId="77777777" w:rsidR="004912DC" w:rsidRPr="0068685C" w:rsidRDefault="004912DC" w:rsidP="0068685C">
            <w:pPr>
              <w:rPr>
                <w:rFonts w:cs="Arial"/>
                <w:szCs w:val="20"/>
              </w:rPr>
            </w:pPr>
          </w:p>
          <w:p w14:paraId="00312698" w14:textId="631E997B" w:rsidR="0068685C" w:rsidRDefault="007D65DC" w:rsidP="0068685C">
            <w:pPr>
              <w:rPr>
                <w:rFonts w:cs="Arial"/>
                <w:szCs w:val="20"/>
              </w:rPr>
            </w:pPr>
            <w:r>
              <w:rPr>
                <w:rFonts w:cs="Arial"/>
                <w:b/>
                <w:szCs w:val="20"/>
              </w:rPr>
              <w:t xml:space="preserve">Suggested Patient Preparation: </w:t>
            </w:r>
            <w:r w:rsidR="0068685C" w:rsidRPr="0068685C">
              <w:rPr>
                <w:rFonts w:cs="Arial"/>
                <w:szCs w:val="20"/>
              </w:rPr>
              <w:t>Samples for the Alinity c Tobramycin assay should be drawn just</w:t>
            </w:r>
            <w:r w:rsidR="004912DC">
              <w:rPr>
                <w:rFonts w:cs="Arial"/>
                <w:szCs w:val="20"/>
              </w:rPr>
              <w:t xml:space="preserve"> </w:t>
            </w:r>
            <w:r w:rsidR="0068685C" w:rsidRPr="0068685C">
              <w:rPr>
                <w:rFonts w:cs="Arial"/>
                <w:szCs w:val="20"/>
              </w:rPr>
              <w:t>prior to a dose (trough level) to confirm that an adequate dose has</w:t>
            </w:r>
            <w:r w:rsidR="004912DC">
              <w:rPr>
                <w:rFonts w:cs="Arial"/>
                <w:szCs w:val="20"/>
              </w:rPr>
              <w:t xml:space="preserve"> </w:t>
            </w:r>
            <w:r w:rsidR="0068685C" w:rsidRPr="0068685C">
              <w:rPr>
                <w:rFonts w:cs="Arial"/>
                <w:szCs w:val="20"/>
              </w:rPr>
              <w:t>been prescribed. Peak specimen should be drawn 30 minutes after a</w:t>
            </w:r>
            <w:r w:rsidR="004912DC">
              <w:rPr>
                <w:rFonts w:cs="Arial"/>
                <w:szCs w:val="20"/>
              </w:rPr>
              <w:t xml:space="preserve"> </w:t>
            </w:r>
            <w:r>
              <w:rPr>
                <w:rFonts w:cs="Arial"/>
                <w:szCs w:val="20"/>
              </w:rPr>
              <w:t>30 minute IV infusion.</w:t>
            </w:r>
          </w:p>
          <w:p w14:paraId="3A2645DE" w14:textId="77777777" w:rsidR="004912DC" w:rsidRPr="00DC7421" w:rsidRDefault="004912DC" w:rsidP="0068685C">
            <w:pPr>
              <w:rPr>
                <w:rFonts w:cs="Arial"/>
                <w:szCs w:val="20"/>
              </w:rPr>
            </w:pPr>
          </w:p>
          <w:p w14:paraId="5CCFFF96" w14:textId="356C284D"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4912DC">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4912DC">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43AB829A" w:rsidR="0017089C" w:rsidRPr="007D65DC" w:rsidRDefault="0017089C">
            <w:pPr>
              <w:pStyle w:val="Header"/>
              <w:tabs>
                <w:tab w:val="clear" w:pos="4320"/>
                <w:tab w:val="clear" w:pos="8640"/>
              </w:tabs>
              <w:rPr>
                <w:rFonts w:cs="Arial"/>
                <w:b/>
                <w:szCs w:val="20"/>
              </w:rPr>
            </w:pPr>
            <w:r w:rsidRPr="007D65DC">
              <w:rPr>
                <w:rFonts w:cs="Arial"/>
                <w:b/>
                <w:szCs w:val="20"/>
              </w:rPr>
              <w:t>20 to 25°C</w:t>
            </w:r>
            <w:r w:rsidR="007D65DC">
              <w:rPr>
                <w:rFonts w:cs="Arial"/>
                <w:b/>
                <w:szCs w:val="20"/>
              </w:rPr>
              <w:t>:</w:t>
            </w:r>
            <w:r w:rsidR="007D65DC">
              <w:rPr>
                <w:rFonts w:cs="Arial"/>
                <w:szCs w:val="20"/>
              </w:rPr>
              <w:t xml:space="preserve"> Not specified; 8 hours*</w:t>
            </w:r>
            <w:r w:rsidR="00437425" w:rsidRPr="007D65DC">
              <w:rPr>
                <w:rFonts w:cs="Arial"/>
                <w:b/>
                <w:szCs w:val="20"/>
              </w:rPr>
              <w:tab/>
            </w:r>
          </w:p>
          <w:p w14:paraId="5CCFFF99" w14:textId="3542BDCC" w:rsidR="00E3253B" w:rsidRPr="004912DC" w:rsidRDefault="00BD0AE4">
            <w:pPr>
              <w:pStyle w:val="Header"/>
              <w:tabs>
                <w:tab w:val="clear" w:pos="4320"/>
                <w:tab w:val="clear" w:pos="8640"/>
              </w:tabs>
              <w:rPr>
                <w:rFonts w:cs="Arial"/>
                <w:szCs w:val="20"/>
              </w:rPr>
            </w:pPr>
            <w:r w:rsidRPr="009475C8">
              <w:rPr>
                <w:rFonts w:cs="Arial"/>
                <w:b/>
                <w:szCs w:val="20"/>
              </w:rPr>
              <w:t>2 to 8°C</w:t>
            </w:r>
            <w:r w:rsidR="004912DC">
              <w:rPr>
                <w:rFonts w:cs="Arial"/>
                <w:b/>
                <w:szCs w:val="20"/>
              </w:rPr>
              <w:t xml:space="preserve">: </w:t>
            </w:r>
            <w:r w:rsidR="004912DC">
              <w:rPr>
                <w:rFonts w:cs="Arial"/>
                <w:szCs w:val="20"/>
              </w:rPr>
              <w:t>7 days</w:t>
            </w:r>
            <w:r w:rsidR="00437425" w:rsidRPr="009475C8">
              <w:rPr>
                <w:rFonts w:cs="Arial"/>
                <w:b/>
                <w:szCs w:val="20"/>
              </w:rPr>
              <w:tab/>
            </w:r>
          </w:p>
          <w:p w14:paraId="594E4A3A" w14:textId="03BD577E" w:rsidR="00BD0AE4" w:rsidRDefault="00BD0AE4">
            <w:pPr>
              <w:pStyle w:val="Header"/>
              <w:tabs>
                <w:tab w:val="clear" w:pos="4320"/>
                <w:tab w:val="clear" w:pos="8640"/>
              </w:tabs>
              <w:rPr>
                <w:rFonts w:cs="Arial"/>
                <w:szCs w:val="20"/>
              </w:rPr>
            </w:pPr>
            <w:r w:rsidRPr="009475C8">
              <w:rPr>
                <w:rFonts w:cs="Arial"/>
                <w:b/>
                <w:szCs w:val="20"/>
              </w:rPr>
              <w:t>-20°C</w:t>
            </w:r>
            <w:r w:rsidR="004912DC">
              <w:rPr>
                <w:rFonts w:cs="Arial"/>
                <w:b/>
                <w:szCs w:val="20"/>
              </w:rPr>
              <w:t xml:space="preserve">: </w:t>
            </w:r>
            <w:r w:rsidR="004912DC">
              <w:rPr>
                <w:rFonts w:cs="Arial"/>
                <w:szCs w:val="20"/>
              </w:rPr>
              <w:t>14 days</w:t>
            </w:r>
            <w:r w:rsidR="00437425">
              <w:rPr>
                <w:rFonts w:cs="Arial"/>
                <w:szCs w:val="20"/>
              </w:rPr>
              <w:tab/>
            </w:r>
            <w:r w:rsidR="00437425">
              <w:rPr>
                <w:rFonts w:cs="Arial"/>
                <w:szCs w:val="20"/>
              </w:rPr>
              <w:tab/>
            </w:r>
          </w:p>
          <w:p w14:paraId="1787D068" w14:textId="25BE36EC" w:rsidR="00BD0AE4" w:rsidRDefault="007D65DC" w:rsidP="004912DC">
            <w:pPr>
              <w:pStyle w:val="Header"/>
              <w:rPr>
                <w:rFonts w:cs="Arial"/>
                <w:szCs w:val="20"/>
              </w:rPr>
            </w:pPr>
            <w:r>
              <w:rPr>
                <w:rFonts w:cs="Arial"/>
                <w:b/>
                <w:szCs w:val="20"/>
              </w:rPr>
              <w:t>*</w:t>
            </w:r>
            <w:r w:rsidR="004912DC" w:rsidRPr="007D65DC">
              <w:rPr>
                <w:rFonts w:cs="Arial"/>
                <w:b/>
                <w:szCs w:val="20"/>
              </w:rPr>
              <w:t>NOTE:</w:t>
            </w:r>
            <w:r w:rsidR="004912DC" w:rsidRPr="004912DC">
              <w:rPr>
                <w:rFonts w:cs="Arial"/>
                <w:szCs w:val="20"/>
              </w:rPr>
              <w:t xml:space="preserve"> Samples containing carbe</w:t>
            </w:r>
            <w:r w:rsidR="004912DC">
              <w:rPr>
                <w:rFonts w:cs="Arial"/>
                <w:szCs w:val="20"/>
              </w:rPr>
              <w:t xml:space="preserve">nicillin or piperacillin should </w:t>
            </w:r>
            <w:r w:rsidR="004912DC" w:rsidRPr="004912DC">
              <w:rPr>
                <w:rFonts w:cs="Arial"/>
                <w:szCs w:val="20"/>
              </w:rPr>
              <w:t>be stored frozen if a delay in a</w:t>
            </w:r>
            <w:r w:rsidR="004912DC">
              <w:rPr>
                <w:rFonts w:cs="Arial"/>
                <w:szCs w:val="20"/>
              </w:rPr>
              <w:t xml:space="preserve">nalysis of more than 8 hours is </w:t>
            </w:r>
            <w:r w:rsidR="004912DC" w:rsidRPr="004912DC">
              <w:rPr>
                <w:rFonts w:cs="Arial"/>
                <w:szCs w:val="20"/>
              </w:rPr>
              <w:t>anticipated. Failure to freeze sampl</w:t>
            </w:r>
            <w:r w:rsidR="004912DC">
              <w:rPr>
                <w:rFonts w:cs="Arial"/>
                <w:szCs w:val="20"/>
              </w:rPr>
              <w:t xml:space="preserve">es containing these antibiotics </w:t>
            </w:r>
            <w:r w:rsidR="004912DC" w:rsidRPr="004912DC">
              <w:rPr>
                <w:rFonts w:cs="Arial"/>
                <w:szCs w:val="20"/>
              </w:rPr>
              <w:t xml:space="preserve">may result in falsely low tobramycin levels due to </w:t>
            </w:r>
            <w:r w:rsidR="004912DC" w:rsidRPr="004912DC">
              <w:rPr>
                <w:rFonts w:cs="Arial"/>
                <w:i/>
                <w:iCs/>
                <w:szCs w:val="20"/>
              </w:rPr>
              <w:t>in vitro</w:t>
            </w:r>
            <w:r w:rsidR="004912DC">
              <w:rPr>
                <w:rFonts w:cs="Arial"/>
                <w:i/>
                <w:iCs/>
                <w:szCs w:val="20"/>
              </w:rPr>
              <w:t xml:space="preserve"> </w:t>
            </w:r>
            <w:r w:rsidR="004912DC" w:rsidRPr="004912DC">
              <w:rPr>
                <w:rFonts w:cs="Arial"/>
                <w:szCs w:val="20"/>
              </w:rPr>
              <w:t>inactivation.</w:t>
            </w:r>
          </w:p>
          <w:p w14:paraId="3E52D306" w14:textId="77777777" w:rsidR="007D65DC" w:rsidRDefault="007D65DC" w:rsidP="004912DC">
            <w:pPr>
              <w:pStyle w:val="Header"/>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2850D5D" w14:textId="77777777" w:rsidR="00A206E5" w:rsidRPr="00A206E5" w:rsidRDefault="00A206E5" w:rsidP="00A206E5">
            <w:pPr>
              <w:numPr>
                <w:ilvl w:val="0"/>
                <w:numId w:val="26"/>
              </w:numPr>
              <w:jc w:val="both"/>
              <w:rPr>
                <w:rFonts w:cs="Arial"/>
                <w:szCs w:val="20"/>
              </w:rPr>
            </w:pPr>
            <w:r w:rsidRPr="00A206E5">
              <w:rPr>
                <w:rFonts w:cs="Arial"/>
                <w:szCs w:val="20"/>
              </w:rPr>
              <w:t>Whole blood specimens should be centrifuged following complete clot formation, according to Specimen Processing procedures prior to analysis.</w:t>
            </w:r>
          </w:p>
          <w:p w14:paraId="355E6D92" w14:textId="77777777" w:rsidR="00A206E5" w:rsidRPr="00A206E5" w:rsidRDefault="00A206E5" w:rsidP="00A206E5">
            <w:pPr>
              <w:numPr>
                <w:ilvl w:val="0"/>
                <w:numId w:val="26"/>
              </w:numPr>
              <w:jc w:val="both"/>
              <w:rPr>
                <w:rFonts w:cs="Arial"/>
                <w:szCs w:val="20"/>
              </w:rPr>
            </w:pPr>
            <w:r w:rsidRPr="00A206E5">
              <w:rPr>
                <w:rFonts w:cs="Arial"/>
                <w:szCs w:val="20"/>
              </w:rPr>
              <w:t>Serum or plasma should be physically separated from cells as soon as possible with a maximum limit of two hours from the time of collection.</w:t>
            </w:r>
          </w:p>
          <w:p w14:paraId="029E4A24" w14:textId="77777777" w:rsidR="00A206E5" w:rsidRPr="00A206E5" w:rsidRDefault="00A206E5" w:rsidP="00A206E5">
            <w:pPr>
              <w:numPr>
                <w:ilvl w:val="0"/>
                <w:numId w:val="26"/>
              </w:numPr>
              <w:jc w:val="both"/>
              <w:rPr>
                <w:rFonts w:cs="Arial"/>
                <w:szCs w:val="20"/>
              </w:rPr>
            </w:pPr>
            <w:r w:rsidRPr="00A206E5">
              <w:rPr>
                <w:rFonts w:cs="Arial"/>
                <w:szCs w:val="20"/>
              </w:rPr>
              <w:t xml:space="preserve">Specimens should be free of particulate matter. </w:t>
            </w:r>
          </w:p>
          <w:p w14:paraId="0D8F013A" w14:textId="77777777" w:rsidR="00A206E5" w:rsidRPr="00A206E5" w:rsidRDefault="00A206E5" w:rsidP="00A206E5">
            <w:pPr>
              <w:numPr>
                <w:ilvl w:val="0"/>
                <w:numId w:val="26"/>
              </w:numPr>
              <w:jc w:val="both"/>
              <w:rPr>
                <w:rFonts w:cs="Arial"/>
                <w:szCs w:val="20"/>
              </w:rPr>
            </w:pPr>
            <w:r w:rsidRPr="00A206E5">
              <w:rPr>
                <w:rFonts w:cs="Arial"/>
                <w:szCs w:val="20"/>
              </w:rPr>
              <w:t xml:space="preserve">Transfer serum or plasma directly to a properly labeled pilot tube.  </w:t>
            </w:r>
          </w:p>
          <w:p w14:paraId="422EBFC0" w14:textId="77777777" w:rsidR="00A206E5" w:rsidRPr="00A206E5" w:rsidRDefault="00A206E5" w:rsidP="00A206E5">
            <w:pPr>
              <w:numPr>
                <w:ilvl w:val="0"/>
                <w:numId w:val="26"/>
              </w:numPr>
              <w:jc w:val="both"/>
              <w:rPr>
                <w:rFonts w:cs="Arial"/>
                <w:szCs w:val="20"/>
              </w:rPr>
            </w:pPr>
            <w:r w:rsidRPr="00A206E5">
              <w:rPr>
                <w:rFonts w:cs="Arial"/>
                <w:szCs w:val="20"/>
              </w:rPr>
              <w:t xml:space="preserve">Architect and Alinity systems utilize a specimen level detect mechanism, so special racks specific to tube-type are not required.  </w:t>
            </w:r>
          </w:p>
          <w:p w14:paraId="167F03A4" w14:textId="77777777" w:rsidR="00A206E5" w:rsidRPr="00A206E5" w:rsidRDefault="00A206E5" w:rsidP="00A206E5">
            <w:pPr>
              <w:numPr>
                <w:ilvl w:val="0"/>
                <w:numId w:val="26"/>
              </w:numPr>
              <w:jc w:val="both"/>
              <w:rPr>
                <w:rFonts w:cs="Arial"/>
                <w:szCs w:val="20"/>
              </w:rPr>
            </w:pPr>
            <w:r w:rsidRPr="00A206E5">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09A6C414"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2E82174" w14:textId="0D263F19" w:rsidR="007B410A" w:rsidRPr="00DC7421" w:rsidRDefault="007B410A" w:rsidP="007B410A">
            <w:pPr>
              <w:autoSpaceDE w:val="0"/>
              <w:autoSpaceDN w:val="0"/>
              <w:adjustRightInd w:val="0"/>
              <w:rPr>
                <w:rFonts w:cs="Arial"/>
                <w:bCs/>
                <w:szCs w:val="20"/>
              </w:rPr>
            </w:pPr>
          </w:p>
          <w:p w14:paraId="3025A9E5" w14:textId="7010F1F3" w:rsidR="007B410A" w:rsidRPr="00DC7421" w:rsidRDefault="00A206E5" w:rsidP="007B410A">
            <w:pPr>
              <w:autoSpaceDE w:val="0"/>
              <w:autoSpaceDN w:val="0"/>
              <w:adjustRightInd w:val="0"/>
              <w:spacing w:after="208"/>
              <w:rPr>
                <w:rFonts w:cs="Arial"/>
                <w:color w:val="000000"/>
                <w:szCs w:val="20"/>
              </w:rPr>
            </w:pPr>
            <w:r>
              <w:rPr>
                <w:rFonts w:cs="Arial"/>
                <w:color w:val="000000"/>
                <w:szCs w:val="20"/>
              </w:rPr>
              <w:t xml:space="preserve">Reagents are shipped refrigerated or on cold gel packs.  </w:t>
            </w:r>
            <w:r w:rsidR="007B410A" w:rsidRPr="00DC7421">
              <w:rPr>
                <w:rFonts w:cs="Arial"/>
                <w:color w:val="000000"/>
                <w:szCs w:val="20"/>
              </w:rPr>
              <w:t>Upon receipt,</w:t>
            </w:r>
            <w:r w:rsidR="0081197E">
              <w:rPr>
                <w:rFonts w:cs="Arial"/>
                <w:color w:val="000000"/>
                <w:szCs w:val="20"/>
              </w:rPr>
              <w:t xml:space="preserve"> </w:t>
            </w:r>
            <w:r w:rsidR="007B410A" w:rsidRPr="00DC7421">
              <w:rPr>
                <w:rFonts w:cs="Arial"/>
                <w:color w:val="000000"/>
                <w:szCs w:val="20"/>
              </w:rPr>
              <w:t>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4C252D6A" w14:textId="0737C4DF" w:rsidR="00A206E5" w:rsidRPr="00A206E5" w:rsidRDefault="00A206E5" w:rsidP="0081197E">
            <w:pPr>
              <w:autoSpaceDE w:val="0"/>
              <w:autoSpaceDN w:val="0"/>
              <w:adjustRightInd w:val="0"/>
              <w:spacing w:after="208"/>
              <w:rPr>
                <w:rFonts w:cs="Arial"/>
                <w:b/>
                <w:color w:val="000000"/>
                <w:szCs w:val="20"/>
              </w:rPr>
            </w:pPr>
            <w:r>
              <w:rPr>
                <w:rFonts w:cs="Arial"/>
                <w:b/>
                <w:color w:val="000000"/>
                <w:szCs w:val="20"/>
              </w:rPr>
              <w:t>Immediately prior to loading on the analyzer</w:t>
            </w:r>
            <w:r w:rsidRPr="005705B9">
              <w:rPr>
                <w:rFonts w:cs="Arial"/>
                <w:b/>
                <w:color w:val="000000"/>
                <w:szCs w:val="20"/>
              </w:rPr>
              <w:t xml:space="preserve">, gently invert </w:t>
            </w:r>
            <w:r>
              <w:rPr>
                <w:rFonts w:cs="Arial"/>
                <w:b/>
                <w:color w:val="000000"/>
                <w:szCs w:val="20"/>
              </w:rPr>
              <w:t xml:space="preserve">the </w:t>
            </w:r>
            <w:r w:rsidRPr="005705B9">
              <w:rPr>
                <w:rFonts w:cs="Arial"/>
                <w:b/>
                <w:color w:val="000000"/>
                <w:szCs w:val="20"/>
              </w:rPr>
              <w:t>cartridge 5 times.</w:t>
            </w:r>
            <w:r>
              <w:rPr>
                <w:rFonts w:cs="Arial"/>
                <w:b/>
                <w:color w:val="000000"/>
                <w:szCs w:val="20"/>
              </w:rPr>
              <w:t xml:space="preserve">  Check to ensure there are no bubbles.</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279E3B9"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505D92">
              <w:trPr>
                <w:trHeight w:val="341"/>
              </w:trPr>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EF0062B" w:rsidR="0081197E" w:rsidRPr="00DC7421" w:rsidRDefault="003171FD" w:rsidP="00505D92">
                  <w:pPr>
                    <w:autoSpaceDE w:val="0"/>
                    <w:autoSpaceDN w:val="0"/>
                    <w:adjustRightInd w:val="0"/>
                    <w:rPr>
                      <w:rFonts w:cs="Arial"/>
                      <w:szCs w:val="20"/>
                    </w:rPr>
                  </w:pPr>
                  <w:r>
                    <w:rPr>
                      <w:rFonts w:cs="Arial"/>
                      <w:szCs w:val="20"/>
                    </w:rPr>
                    <w:t xml:space="preserve">Abbott </w:t>
                  </w:r>
                  <w:r w:rsidR="00505D92" w:rsidRPr="00505D92">
                    <w:rPr>
                      <w:rFonts w:cs="Arial"/>
                      <w:szCs w:val="20"/>
                    </w:rPr>
                    <w:t>Al</w:t>
                  </w:r>
                  <w:r w:rsidR="00505D92">
                    <w:rPr>
                      <w:rFonts w:cs="Arial"/>
                      <w:szCs w:val="20"/>
                    </w:rPr>
                    <w:t xml:space="preserve">inity c Tobramycin Reagent Kit </w:t>
                  </w:r>
                </w:p>
              </w:tc>
              <w:tc>
                <w:tcPr>
                  <w:tcW w:w="1710" w:type="dxa"/>
                  <w:vAlign w:val="center"/>
                </w:tcPr>
                <w:p w14:paraId="78062055" w14:textId="46142CD3" w:rsidR="0081197E" w:rsidRPr="00DC7421" w:rsidRDefault="003171FD" w:rsidP="0081197E">
                  <w:pPr>
                    <w:pStyle w:val="BodyText"/>
                    <w:tabs>
                      <w:tab w:val="left" w:pos="3240"/>
                    </w:tabs>
                    <w:rPr>
                      <w:rFonts w:cs="Arial"/>
                      <w:szCs w:val="20"/>
                    </w:rPr>
                  </w:pPr>
                  <w:r w:rsidRPr="003171FD">
                    <w:rPr>
                      <w:rFonts w:cs="Arial"/>
                      <w:szCs w:val="20"/>
                    </w:rPr>
                    <w:t>09P9020</w:t>
                  </w:r>
                </w:p>
              </w:tc>
              <w:tc>
                <w:tcPr>
                  <w:tcW w:w="4533" w:type="dxa"/>
                  <w:vAlign w:val="center"/>
                </w:tcPr>
                <w:p w14:paraId="1E13427C" w14:textId="73A43253"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00505D92" w:rsidRPr="00505D92">
                    <w:rPr>
                      <w:rFonts w:ascii="HelenPro-Regular" w:eastAsia="HelenPro-Regular" w:cs="HelenPro-Regular"/>
                      <w:sz w:val="17"/>
                      <w:szCs w:val="17"/>
                    </w:rPr>
                    <w:t xml:space="preserve"> </w:t>
                  </w:r>
                  <w:r w:rsidR="00505D92" w:rsidRPr="00505D92">
                    <w:rPr>
                      <w:rFonts w:ascii="Arial" w:hAnsi="Arial" w:cs="Arial"/>
                      <w:bCs/>
                    </w:rPr>
                    <w:t>2 to 8°C</w:t>
                  </w:r>
                  <w:r w:rsidRPr="00DC7421">
                    <w:rPr>
                      <w:rFonts w:ascii="Arial" w:hAnsi="Arial" w:cs="Arial"/>
                      <w:bCs/>
                    </w:rPr>
                    <w:t xml:space="preserve"> </w:t>
                  </w:r>
                </w:p>
                <w:p w14:paraId="188F00FD" w14:textId="6240C6E0"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505D92">
                    <w:rPr>
                      <w:rFonts w:ascii="Arial" w:hAnsi="Arial" w:cs="Arial"/>
                      <w:bCs/>
                    </w:rPr>
                    <w:t xml:space="preserve">Until </w:t>
                  </w:r>
                  <w:r w:rsidR="003171FD">
                    <w:rPr>
                      <w:rFonts w:ascii="Arial" w:hAnsi="Arial" w:cs="Arial"/>
                      <w:bCs/>
                    </w:rPr>
                    <w:t>manufacturer’s printed expiration d</w:t>
                  </w:r>
                  <w:r w:rsidR="00115DD6" w:rsidRPr="00505D92">
                    <w:rPr>
                      <w:rFonts w:ascii="Arial" w:hAnsi="Arial" w:cs="Arial"/>
                      <w:bCs/>
                    </w:rPr>
                    <w:t>ate</w:t>
                  </w:r>
                </w:p>
                <w:p w14:paraId="2EC23D08" w14:textId="10205A0E" w:rsidR="0081197E" w:rsidRPr="003F688A" w:rsidRDefault="0081197E" w:rsidP="00115DD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505D92">
                    <w:rPr>
                      <w:rFonts w:ascii="Arial" w:hAnsi="Arial" w:cs="Arial"/>
                      <w:bCs/>
                    </w:rPr>
                    <w:t>32 days</w:t>
                  </w:r>
                </w:p>
              </w:tc>
            </w:tr>
            <w:tr w:rsidR="0081197E" w:rsidRPr="00DC7421" w14:paraId="2A1E45AA" w14:textId="77777777" w:rsidTr="00413A69">
              <w:tc>
                <w:tcPr>
                  <w:tcW w:w="2857" w:type="dxa"/>
                  <w:vAlign w:val="center"/>
                </w:tcPr>
                <w:p w14:paraId="417AB88A" w14:textId="19297B30" w:rsidR="0081197E" w:rsidRPr="00DC7421" w:rsidRDefault="003171FD" w:rsidP="003171FD">
                  <w:pPr>
                    <w:pStyle w:val="BodyText"/>
                    <w:spacing w:after="0"/>
                    <w:rPr>
                      <w:rFonts w:cs="Arial"/>
                      <w:szCs w:val="20"/>
                    </w:rPr>
                  </w:pPr>
                  <w:r>
                    <w:rPr>
                      <w:rFonts w:cs="Arial"/>
                      <w:szCs w:val="20"/>
                    </w:rPr>
                    <w:t xml:space="preserve">Abbott </w:t>
                  </w:r>
                  <w:r w:rsidR="00505D92">
                    <w:rPr>
                      <w:rFonts w:cs="Arial"/>
                      <w:szCs w:val="20"/>
                    </w:rPr>
                    <w:t xml:space="preserve">Alinity c Tobramycin </w:t>
                  </w:r>
                  <w:r w:rsidR="00505D92" w:rsidRPr="00505D92">
                    <w:rPr>
                      <w:rFonts w:cs="Arial"/>
                      <w:szCs w:val="20"/>
                    </w:rPr>
                    <w:t xml:space="preserve">Calibrators </w:t>
                  </w:r>
                </w:p>
              </w:tc>
              <w:tc>
                <w:tcPr>
                  <w:tcW w:w="1710" w:type="dxa"/>
                  <w:vAlign w:val="center"/>
                </w:tcPr>
                <w:p w14:paraId="1C065F4D" w14:textId="3BBD2621" w:rsidR="00505D92" w:rsidRPr="00DC7421" w:rsidRDefault="003171FD" w:rsidP="0081197E">
                  <w:pPr>
                    <w:rPr>
                      <w:rFonts w:cs="Arial"/>
                      <w:szCs w:val="20"/>
                    </w:rPr>
                  </w:pPr>
                  <w:r w:rsidRPr="003171FD">
                    <w:rPr>
                      <w:rFonts w:cs="Arial"/>
                      <w:szCs w:val="20"/>
                    </w:rPr>
                    <w:t>09P9001</w:t>
                  </w:r>
                </w:p>
              </w:tc>
              <w:tc>
                <w:tcPr>
                  <w:tcW w:w="4533" w:type="dxa"/>
                  <w:vAlign w:val="center"/>
                </w:tcPr>
                <w:p w14:paraId="3B82C64B" w14:textId="7A2A2115"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D93C0D" w:rsidRPr="00D93C0D">
                    <w:rPr>
                      <w:rFonts w:ascii="Arial" w:hAnsi="Arial" w:cs="Arial"/>
                      <w:bCs/>
                    </w:rPr>
                    <w:t>2 to 8°C</w:t>
                  </w:r>
                </w:p>
                <w:p w14:paraId="22FE035D" w14:textId="48AFD284" w:rsidR="0081197E" w:rsidRPr="00D93C0D" w:rsidRDefault="0081197E" w:rsidP="00D93C0D">
                  <w:pPr>
                    <w:pStyle w:val="Reagents"/>
                    <w:spacing w:after="80"/>
                    <w:rPr>
                      <w:rFonts w:cs="Arial"/>
                      <w:b/>
                      <w:bCs/>
                    </w:rPr>
                  </w:pPr>
                  <w:r w:rsidRPr="00DC7421">
                    <w:rPr>
                      <w:rFonts w:ascii="Arial" w:hAnsi="Arial" w:cs="Arial"/>
                      <w:b/>
                      <w:bCs/>
                    </w:rPr>
                    <w:t>Unopened:</w:t>
                  </w:r>
                  <w:r w:rsidR="00D93C0D">
                    <w:rPr>
                      <w:rFonts w:ascii="Arial" w:hAnsi="Arial" w:cs="Arial"/>
                      <w:b/>
                      <w:bCs/>
                    </w:rPr>
                    <w:t xml:space="preserve"> </w:t>
                  </w:r>
                  <w:r w:rsidR="003171FD" w:rsidRPr="003171FD">
                    <w:rPr>
                      <w:rFonts w:ascii="Arial" w:hAnsi="Arial" w:cs="Arial"/>
                      <w:bCs/>
                    </w:rPr>
                    <w:t>Until manufacturer’s printed expiration date</w:t>
                  </w:r>
                </w:p>
                <w:p w14:paraId="05D3D1A4" w14:textId="170E069C" w:rsidR="0081197E" w:rsidRPr="00D93C0D" w:rsidRDefault="0081197E" w:rsidP="00D93C0D">
                  <w:pPr>
                    <w:pStyle w:val="BodyText"/>
                    <w:spacing w:after="80"/>
                    <w:rPr>
                      <w:rFonts w:cs="Arial"/>
                      <w:bCs/>
                      <w:szCs w:val="20"/>
                    </w:rPr>
                  </w:pPr>
                  <w:r w:rsidRPr="00DC7421">
                    <w:rPr>
                      <w:rFonts w:cs="Arial"/>
                      <w:b/>
                      <w:bCs/>
                      <w:szCs w:val="20"/>
                    </w:rPr>
                    <w:t xml:space="preserve">Opened expiration: </w:t>
                  </w:r>
                  <w:r w:rsidR="003171FD" w:rsidRPr="003171FD">
                    <w:rPr>
                      <w:rFonts w:cs="Arial"/>
                      <w:bCs/>
                      <w:szCs w:val="20"/>
                    </w:rPr>
                    <w:t xml:space="preserve">Until manufacturer’s printed expiration date </w:t>
                  </w:r>
                  <w:r w:rsidR="00D93C0D">
                    <w:rPr>
                      <w:rFonts w:cs="Arial"/>
                      <w:bCs/>
                      <w:szCs w:val="20"/>
                    </w:rPr>
                    <w:t xml:space="preserve">(Store tightly capped with new replacement </w:t>
                  </w:r>
                  <w:r w:rsidR="00D93C0D" w:rsidRPr="00D93C0D">
                    <w:rPr>
                      <w:rFonts w:cs="Arial"/>
                      <w:bCs/>
                      <w:szCs w:val="20"/>
                    </w:rPr>
                    <w:t>cap</w:t>
                  </w:r>
                  <w:r w:rsidR="00D93C0D">
                    <w:rPr>
                      <w:rFonts w:cs="Arial"/>
                      <w:bCs/>
                      <w:szCs w:val="20"/>
                    </w:rPr>
                    <w:t>)</w:t>
                  </w:r>
                  <w:r w:rsidR="00D93C0D" w:rsidRPr="00D93C0D">
                    <w:rPr>
                      <w:rFonts w:cs="Arial"/>
                      <w:bCs/>
                      <w:szCs w:val="20"/>
                    </w:rPr>
                    <w:t>.</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5C97A8A" w14:textId="50E8A8C6" w:rsidR="009475C8" w:rsidRDefault="00505D92" w:rsidP="00505D92">
            <w:pPr>
              <w:rPr>
                <w:szCs w:val="20"/>
              </w:rPr>
            </w:pPr>
            <w:r>
              <w:rPr>
                <w:noProof/>
              </w:rPr>
              <w:drawing>
                <wp:inline distT="0" distB="0" distL="0" distR="0" wp14:anchorId="73999C59" wp14:editId="67100621">
                  <wp:extent cx="590476" cy="5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476" cy="590476"/>
                          </a:xfrm>
                          <a:prstGeom prst="rect">
                            <a:avLst/>
                          </a:prstGeom>
                        </pic:spPr>
                      </pic:pic>
                    </a:graphicData>
                  </a:graphic>
                </wp:inline>
              </w:drawing>
            </w:r>
            <w:r w:rsidRPr="00505D92">
              <w:rPr>
                <w:b/>
                <w:bCs/>
                <w:szCs w:val="20"/>
              </w:rPr>
              <w:t xml:space="preserve">CAUTION: </w:t>
            </w:r>
            <w:r w:rsidRPr="00505D92">
              <w:rPr>
                <w:szCs w:val="20"/>
              </w:rPr>
              <w:t>This product contains human-sourced and/or</w:t>
            </w:r>
            <w:r>
              <w:rPr>
                <w:szCs w:val="20"/>
              </w:rPr>
              <w:t xml:space="preserve"> </w:t>
            </w:r>
            <w:r w:rsidRPr="00505D92">
              <w:rPr>
                <w:szCs w:val="20"/>
              </w:rPr>
              <w:t>po</w:t>
            </w:r>
            <w:r w:rsidR="003171FD">
              <w:rPr>
                <w:szCs w:val="20"/>
              </w:rPr>
              <w:t>tentially infectious components</w:t>
            </w:r>
            <w:r>
              <w:rPr>
                <w:szCs w:val="20"/>
              </w:rPr>
              <w:t>.</w:t>
            </w:r>
            <w:r w:rsidRPr="00505D92">
              <w:rPr>
                <w:szCs w:val="20"/>
              </w:rPr>
              <w:t xml:space="preserve"> No known test method can offer complete</w:t>
            </w:r>
            <w:r>
              <w:rPr>
                <w:szCs w:val="20"/>
              </w:rPr>
              <w:t xml:space="preserve"> </w:t>
            </w:r>
            <w:r w:rsidRPr="00505D92">
              <w:rPr>
                <w:szCs w:val="20"/>
              </w:rPr>
              <w:t>assurance that products derived from human sources or inactivated</w:t>
            </w:r>
            <w:r>
              <w:rPr>
                <w:szCs w:val="20"/>
              </w:rPr>
              <w:t xml:space="preserve"> </w:t>
            </w:r>
            <w:r w:rsidRPr="00505D92">
              <w:rPr>
                <w:szCs w:val="20"/>
              </w:rPr>
              <w:t>microorganisms will not transmit infection. Therefore, all humansourced</w:t>
            </w:r>
            <w:r>
              <w:rPr>
                <w:szCs w:val="20"/>
              </w:rPr>
              <w:t xml:space="preserve"> </w:t>
            </w:r>
            <w:r w:rsidRPr="00505D92">
              <w:rPr>
                <w:szCs w:val="20"/>
              </w:rPr>
              <w:t>materials should be considered potentially infectious. It</w:t>
            </w:r>
            <w:r>
              <w:rPr>
                <w:szCs w:val="20"/>
              </w:rPr>
              <w:t xml:space="preserve"> </w:t>
            </w:r>
            <w:r w:rsidRPr="00505D92">
              <w:rPr>
                <w:szCs w:val="20"/>
              </w:rPr>
              <w:t>is recommended that these reagents and human specimens be</w:t>
            </w:r>
            <w:r>
              <w:rPr>
                <w:szCs w:val="20"/>
              </w:rPr>
              <w:t xml:space="preserve"> </w:t>
            </w:r>
            <w:r w:rsidRPr="00505D92">
              <w:rPr>
                <w:szCs w:val="20"/>
              </w:rPr>
              <w:t>handled in accordance with the OSHA Standard on Bloodborne</w:t>
            </w:r>
            <w:r>
              <w:rPr>
                <w:szCs w:val="20"/>
              </w:rPr>
              <w:t xml:space="preserve"> </w:t>
            </w:r>
            <w:r w:rsidRPr="00505D92">
              <w:rPr>
                <w:szCs w:val="20"/>
              </w:rPr>
              <w:t>Pathogens. Biosafety Level 2 or other appropriate biosafety practices</w:t>
            </w:r>
            <w:r>
              <w:rPr>
                <w:szCs w:val="20"/>
              </w:rPr>
              <w:t xml:space="preserve"> </w:t>
            </w:r>
            <w:r w:rsidRPr="00505D92">
              <w:rPr>
                <w:szCs w:val="20"/>
              </w:rPr>
              <w:t>should be used for materials that contain or are suspected of</w:t>
            </w:r>
            <w:r>
              <w:rPr>
                <w:szCs w:val="20"/>
              </w:rPr>
              <w:t xml:space="preserve"> </w:t>
            </w:r>
            <w:r w:rsidRPr="00505D92">
              <w:rPr>
                <w:szCs w:val="20"/>
              </w:rPr>
              <w:t>containing infectious agents.</w:t>
            </w:r>
            <w:r>
              <w:rPr>
                <w:szCs w:val="20"/>
              </w:rPr>
              <w:t xml:space="preserve"> The human-sourced </w:t>
            </w:r>
            <w:r w:rsidRPr="00505D92">
              <w:rPr>
                <w:szCs w:val="20"/>
              </w:rPr>
              <w:t xml:space="preserve">material used in </w:t>
            </w:r>
            <w:r>
              <w:rPr>
                <w:b/>
                <w:szCs w:val="20"/>
              </w:rPr>
              <w:t xml:space="preserve">R2 </w:t>
            </w:r>
            <w:r w:rsidRPr="00505D92">
              <w:rPr>
                <w:szCs w:val="20"/>
              </w:rPr>
              <w:t>is nonreactive for HBsAg,</w:t>
            </w:r>
            <w:r>
              <w:rPr>
                <w:szCs w:val="20"/>
              </w:rPr>
              <w:t xml:space="preserve"> </w:t>
            </w:r>
            <w:r w:rsidRPr="00505D92">
              <w:rPr>
                <w:szCs w:val="20"/>
              </w:rPr>
              <w:t>HCV, HIV-1, and HIV-2.</w:t>
            </w:r>
          </w:p>
          <w:p w14:paraId="6C5C58A0" w14:textId="77777777" w:rsidR="00505D92" w:rsidRDefault="00505D92" w:rsidP="00505D92">
            <w:pPr>
              <w:rPr>
                <w:szCs w:val="20"/>
              </w:rPr>
            </w:pPr>
          </w:p>
          <w:p w14:paraId="0D43C426" w14:textId="4FB57CDB" w:rsidR="00505D92" w:rsidRPr="00505D92" w:rsidRDefault="00505D92" w:rsidP="00505D92">
            <w:pPr>
              <w:rPr>
                <w:b/>
                <w:szCs w:val="20"/>
              </w:rPr>
            </w:pPr>
            <w:r w:rsidRPr="00505D92">
              <w:rPr>
                <w:szCs w:val="20"/>
              </w:rPr>
              <w:t>The following warnings and precautions apply to:</w:t>
            </w:r>
            <w:r>
              <w:rPr>
                <w:szCs w:val="20"/>
              </w:rPr>
              <w:t xml:space="preserve"> </w:t>
            </w:r>
            <w:r>
              <w:rPr>
                <w:b/>
                <w:szCs w:val="20"/>
              </w:rPr>
              <w:t>R1</w:t>
            </w:r>
          </w:p>
          <w:p w14:paraId="7BC8A09F" w14:textId="6E41F6E3" w:rsidR="00505D92" w:rsidRPr="00505D92" w:rsidRDefault="00505D92" w:rsidP="00505D92">
            <w:pPr>
              <w:rPr>
                <w:szCs w:val="20"/>
              </w:rPr>
            </w:pPr>
            <w:r w:rsidRPr="00505D92">
              <w:rPr>
                <w:szCs w:val="20"/>
              </w:rPr>
              <w:t xml:space="preserve">Contains </w:t>
            </w:r>
            <w:r w:rsidR="003171FD">
              <w:rPr>
                <w:szCs w:val="20"/>
              </w:rPr>
              <w:t>tris hydroxymethyl aminomethane</w:t>
            </w:r>
            <w:r w:rsidRPr="00505D92">
              <w:rPr>
                <w:szCs w:val="20"/>
              </w:rPr>
              <w:t xml:space="preserve"> and sodium azide.</w:t>
            </w:r>
          </w:p>
          <w:p w14:paraId="5AC6E427" w14:textId="02C1F08F" w:rsidR="00505D92" w:rsidRPr="00505D92" w:rsidRDefault="00505D92" w:rsidP="00505D92">
            <w:pPr>
              <w:rPr>
                <w:szCs w:val="20"/>
              </w:rPr>
            </w:pPr>
            <w:r>
              <w:rPr>
                <w:szCs w:val="20"/>
              </w:rPr>
              <w:t xml:space="preserve">     </w:t>
            </w:r>
            <w:r w:rsidRPr="00505D92">
              <w:rPr>
                <w:szCs w:val="20"/>
              </w:rPr>
              <w:t>Causes mild skin irritation.</w:t>
            </w:r>
          </w:p>
          <w:p w14:paraId="04C036D9" w14:textId="58424E47" w:rsidR="00505D92" w:rsidRDefault="00505D92" w:rsidP="00505D92">
            <w:pPr>
              <w:rPr>
                <w:szCs w:val="20"/>
              </w:rPr>
            </w:pPr>
            <w:r>
              <w:rPr>
                <w:szCs w:val="20"/>
              </w:rPr>
              <w:t xml:space="preserve">     </w:t>
            </w:r>
            <w:r w:rsidRPr="00505D92">
              <w:rPr>
                <w:szCs w:val="20"/>
              </w:rPr>
              <w:t>Contact with acids liberates very toxic gas.</w:t>
            </w:r>
          </w:p>
          <w:p w14:paraId="0AD931FF" w14:textId="77777777" w:rsidR="009D1A03" w:rsidRDefault="009D1A03" w:rsidP="00505D92">
            <w:pPr>
              <w:rPr>
                <w:szCs w:val="20"/>
              </w:rPr>
            </w:pPr>
          </w:p>
          <w:p w14:paraId="495FB3E4" w14:textId="63DA2C55" w:rsidR="009D1A03" w:rsidRDefault="009D1A03" w:rsidP="00505D92">
            <w:pPr>
              <w:rPr>
                <w:szCs w:val="20"/>
              </w:rPr>
            </w:pPr>
            <w:r>
              <w:rPr>
                <w:szCs w:val="20"/>
              </w:rPr>
              <w:t xml:space="preserve">The following warnings and precautions apply to: </w:t>
            </w:r>
            <w:r w:rsidRPr="009D1A03">
              <w:rPr>
                <w:b/>
                <w:szCs w:val="20"/>
              </w:rPr>
              <w:t>CAL</w:t>
            </w:r>
            <w:r>
              <w:rPr>
                <w:szCs w:val="20"/>
              </w:rPr>
              <w:t xml:space="preserve"> </w:t>
            </w:r>
          </w:p>
          <w:p w14:paraId="730BE88E" w14:textId="52BCD09E" w:rsidR="009D1A03" w:rsidRPr="009D1A03" w:rsidRDefault="009D1A03" w:rsidP="009D1A03">
            <w:pPr>
              <w:rPr>
                <w:szCs w:val="20"/>
              </w:rPr>
            </w:pPr>
            <w:r>
              <w:rPr>
                <w:szCs w:val="20"/>
              </w:rPr>
              <w:t xml:space="preserve">     </w:t>
            </w:r>
            <w:r w:rsidRPr="009D1A03">
              <w:rPr>
                <w:szCs w:val="20"/>
              </w:rPr>
              <w:t>Contains sodium azide.</w:t>
            </w:r>
          </w:p>
          <w:p w14:paraId="45FAF258" w14:textId="309C2909" w:rsidR="009D1A03" w:rsidRDefault="009D1A03" w:rsidP="009D1A03">
            <w:pPr>
              <w:rPr>
                <w:szCs w:val="20"/>
              </w:rPr>
            </w:pPr>
            <w:r>
              <w:rPr>
                <w:szCs w:val="20"/>
              </w:rPr>
              <w:t xml:space="preserve">     </w:t>
            </w:r>
            <w:r w:rsidRPr="009D1A03">
              <w:rPr>
                <w:szCs w:val="20"/>
              </w:rPr>
              <w:t>Contact with acids liberates very toxic gas.</w:t>
            </w:r>
          </w:p>
          <w:p w14:paraId="73A9601E" w14:textId="77777777" w:rsidR="003171FD" w:rsidRDefault="003171FD" w:rsidP="009D1A03">
            <w:pPr>
              <w:rPr>
                <w:szCs w:val="20"/>
              </w:rPr>
            </w:pPr>
          </w:p>
          <w:p w14:paraId="43D95044" w14:textId="02E913CD" w:rsidR="003171FD" w:rsidRDefault="003171FD" w:rsidP="009D1A03">
            <w:pPr>
              <w:rPr>
                <w:szCs w:val="20"/>
              </w:rPr>
            </w:pPr>
            <w:r>
              <w:rPr>
                <w:szCs w:val="20"/>
              </w:rPr>
              <w:t>Special disposal not indicated.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3171FD">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42A963CF"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27568504" w:rsidR="00F50200" w:rsidRPr="00DC7421" w:rsidRDefault="007D65DC" w:rsidP="00A32948">
                  <w:pPr>
                    <w:pStyle w:val="CalVerTable"/>
                    <w:ind w:left="0" w:firstLine="0"/>
                    <w:rPr>
                      <w:rFonts w:ascii="Arial" w:hAnsi="Arial" w:cs="Arial"/>
                    </w:rPr>
                  </w:pPr>
                  <w:r>
                    <w:rPr>
                      <w:rFonts w:ascii="Arial" w:hAnsi="Arial" w:cs="Arial"/>
                    </w:rPr>
                    <w:t xml:space="preserve">0.3 to 10.0 </w:t>
                  </w:r>
                  <w:r w:rsidRPr="007D65DC">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1205425" w:rsidR="00F50200" w:rsidRPr="00DC7421" w:rsidRDefault="007D65DC" w:rsidP="00440E37">
                  <w:pPr>
                    <w:pStyle w:val="BodyText"/>
                    <w:rPr>
                      <w:rFonts w:cs="Arial"/>
                      <w:szCs w:val="20"/>
                    </w:rPr>
                  </w:pPr>
                  <w:r w:rsidRPr="007D65DC">
                    <w:rPr>
                      <w:rFonts w:cs="Arial"/>
                      <w:szCs w:val="20"/>
                    </w:rPr>
                    <w:t>Abbott Alinity c Tobramycin Calibrators</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6048DD24" w14:textId="77777777" w:rsidR="005B66A7" w:rsidRDefault="007D65DC" w:rsidP="001D1786">
                  <w:pPr>
                    <w:pStyle w:val="CalVerTable"/>
                    <w:ind w:left="0" w:firstLine="0"/>
                    <w:rPr>
                      <w:rFonts w:ascii="Arial" w:hAnsi="Arial" w:cs="Arial"/>
                    </w:rPr>
                  </w:pPr>
                  <w:r>
                    <w:rPr>
                      <w:rFonts w:ascii="Arial" w:hAnsi="Arial" w:cs="Arial"/>
                    </w:rPr>
                    <w:t>Approximate values:</w:t>
                  </w:r>
                </w:p>
                <w:p w14:paraId="6F76DC1D" w14:textId="1F433109" w:rsidR="007D65DC" w:rsidRDefault="007D65DC" w:rsidP="001D1786">
                  <w:pPr>
                    <w:pStyle w:val="CalVerTable"/>
                    <w:ind w:left="0" w:firstLine="0"/>
                    <w:rPr>
                      <w:rFonts w:ascii="Arial" w:hAnsi="Arial" w:cs="Arial"/>
                    </w:rPr>
                  </w:pPr>
                  <w:r>
                    <w:rPr>
                      <w:rFonts w:ascii="Arial" w:hAnsi="Arial" w:cs="Arial"/>
                    </w:rPr>
                    <w:t>CAL 1: 0.0</w:t>
                  </w:r>
                </w:p>
                <w:p w14:paraId="6FBCF7A4" w14:textId="1F5B951B" w:rsidR="007D65DC" w:rsidRDefault="007D65DC" w:rsidP="001D1786">
                  <w:pPr>
                    <w:pStyle w:val="CalVerTable"/>
                    <w:ind w:left="0" w:firstLine="0"/>
                    <w:rPr>
                      <w:rFonts w:ascii="Arial" w:hAnsi="Arial" w:cs="Arial"/>
                    </w:rPr>
                  </w:pPr>
                  <w:r>
                    <w:rPr>
                      <w:rFonts w:ascii="Arial" w:hAnsi="Arial" w:cs="Arial"/>
                    </w:rPr>
                    <w:t>CAL 2: 0.5</w:t>
                  </w:r>
                </w:p>
                <w:p w14:paraId="5C4F8B2F" w14:textId="177402C1" w:rsidR="007D65DC" w:rsidRDefault="007D65DC" w:rsidP="001D1786">
                  <w:pPr>
                    <w:pStyle w:val="CalVerTable"/>
                    <w:ind w:left="0" w:firstLine="0"/>
                    <w:rPr>
                      <w:rFonts w:ascii="Arial" w:hAnsi="Arial" w:cs="Arial"/>
                    </w:rPr>
                  </w:pPr>
                  <w:r>
                    <w:rPr>
                      <w:rFonts w:ascii="Arial" w:hAnsi="Arial" w:cs="Arial"/>
                    </w:rPr>
                    <w:t>CAL 3: 1.5</w:t>
                  </w:r>
                </w:p>
                <w:p w14:paraId="51C751FA" w14:textId="589A66B3" w:rsidR="007D65DC" w:rsidRDefault="007D65DC" w:rsidP="001D1786">
                  <w:pPr>
                    <w:pStyle w:val="CalVerTable"/>
                    <w:ind w:left="0" w:firstLine="0"/>
                    <w:rPr>
                      <w:rFonts w:ascii="Arial" w:hAnsi="Arial" w:cs="Arial"/>
                    </w:rPr>
                  </w:pPr>
                  <w:r>
                    <w:rPr>
                      <w:rFonts w:ascii="Arial" w:hAnsi="Arial" w:cs="Arial"/>
                    </w:rPr>
                    <w:t>CAL 4: 3.0</w:t>
                  </w:r>
                </w:p>
                <w:p w14:paraId="3FAA0D4A" w14:textId="3662D0E5" w:rsidR="007D65DC" w:rsidRDefault="007D65DC" w:rsidP="001D1786">
                  <w:pPr>
                    <w:pStyle w:val="CalVerTable"/>
                    <w:ind w:left="0" w:firstLine="0"/>
                    <w:rPr>
                      <w:rFonts w:ascii="Arial" w:hAnsi="Arial" w:cs="Arial"/>
                    </w:rPr>
                  </w:pPr>
                  <w:r>
                    <w:rPr>
                      <w:rFonts w:ascii="Arial" w:hAnsi="Arial" w:cs="Arial"/>
                    </w:rPr>
                    <w:t>CAL 5: 6.0</w:t>
                  </w:r>
                </w:p>
                <w:p w14:paraId="5CCFFFE0" w14:textId="07F4C24D" w:rsidR="007D65DC" w:rsidRPr="00DC7421" w:rsidRDefault="007D65DC" w:rsidP="001D1786">
                  <w:pPr>
                    <w:pStyle w:val="CalVerTable"/>
                    <w:ind w:left="0" w:firstLine="0"/>
                    <w:rPr>
                      <w:rFonts w:ascii="Arial" w:hAnsi="Arial" w:cs="Arial"/>
                    </w:rPr>
                  </w:pPr>
                  <w:r>
                    <w:rPr>
                      <w:rFonts w:ascii="Arial" w:hAnsi="Arial" w:cs="Arial"/>
                    </w:rPr>
                    <w:t>CAL 6: 10.0</w:t>
                  </w:r>
                </w:p>
              </w:tc>
            </w:tr>
            <w:tr w:rsidR="00F50200" w:rsidRPr="00DC7421" w14:paraId="5CCFFFE4" w14:textId="77777777" w:rsidTr="001C1CFA">
              <w:tc>
                <w:tcPr>
                  <w:tcW w:w="2947" w:type="dxa"/>
                </w:tcPr>
                <w:p w14:paraId="5CCFFFE2" w14:textId="3F753275"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795866C" w:rsidR="00F50200" w:rsidRPr="00DC7421" w:rsidRDefault="007D65DC"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r>
                    <w:rPr>
                      <w:rFonts w:ascii="Arial" w:hAnsi="Arial" w:cs="Arial"/>
                    </w:rPr>
                    <w:t xml:space="preserve">, </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63416393" w:rsidR="00F50200" w:rsidRPr="00DC7421" w:rsidRDefault="007D65DC" w:rsidP="007D65DC">
                  <w:pPr>
                    <w:autoSpaceDE w:val="0"/>
                    <w:autoSpaceDN w:val="0"/>
                    <w:adjustRightInd w:val="0"/>
                    <w:rPr>
                      <w:rFonts w:cs="Arial"/>
                      <w:szCs w:val="20"/>
                    </w:rPr>
                  </w:pPr>
                  <w:r>
                    <w:rPr>
                      <w:rFonts w:cs="Arial"/>
                      <w:szCs w:val="20"/>
                    </w:rPr>
                    <w:t xml:space="preserve">7 Days, and with every new lot. </w:t>
                  </w:r>
                  <w:r w:rsidRPr="007D65DC">
                    <w:rPr>
                      <w:rFonts w:cs="Arial"/>
                      <w:szCs w:val="20"/>
                    </w:rPr>
                    <w:t xml:space="preserve"> </w:t>
                  </w:r>
                  <w:r w:rsidRPr="007D65DC">
                    <w:rPr>
                      <w:rFonts w:eastAsia="HelenPro-Regular" w:cs="Arial"/>
                      <w:szCs w:val="20"/>
                    </w:rPr>
                    <w:t>This assay may require recalibration after maintenance to critical</w:t>
                  </w:r>
                  <w:r>
                    <w:rPr>
                      <w:rFonts w:eastAsia="HelenPro-Regular" w:cs="Arial"/>
                      <w:szCs w:val="20"/>
                    </w:rPr>
                    <w:t xml:space="preserve"> </w:t>
                  </w:r>
                  <w:r w:rsidRPr="007D65DC">
                    <w:rPr>
                      <w:rFonts w:eastAsia="HelenPro-Regular" w:cs="Arial"/>
                      <w:szCs w:val="20"/>
                    </w:rPr>
                    <w:t>parts or subsystems or after service procedures have been</w:t>
                  </w:r>
                  <w:r>
                    <w:rPr>
                      <w:rFonts w:eastAsia="HelenPro-Regular" w:cs="Arial"/>
                      <w:szCs w:val="20"/>
                    </w:rPr>
                    <w:t xml:space="preserve"> </w:t>
                  </w:r>
                  <w:r w:rsidRPr="007D65DC">
                    <w:rPr>
                      <w:rFonts w:eastAsia="HelenPro-Regular" w:cs="Arial"/>
                      <w:szCs w:val="20"/>
                    </w:rPr>
                    <w:t>performed.</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703A74F2" w:rsidR="00F50200" w:rsidRPr="00DC7421" w:rsidRDefault="009475C8" w:rsidP="007D65DC">
                  <w:pPr>
                    <w:autoSpaceDE w:val="0"/>
                    <w:autoSpaceDN w:val="0"/>
                    <w:adjustRightInd w:val="0"/>
                    <w:rPr>
                      <w:rFonts w:cs="Arial"/>
                      <w:szCs w:val="20"/>
                    </w:rPr>
                  </w:pPr>
                  <w:r w:rsidRPr="00DC7421">
                    <w:rPr>
                      <w:rFonts w:cs="Arial"/>
                      <w:szCs w:val="20"/>
                    </w:rPr>
                    <w:t xml:space="preserve">AMR is verified </w:t>
                  </w:r>
                  <w:r w:rsidR="007D65DC">
                    <w:rPr>
                      <w:rFonts w:cs="Arial"/>
                      <w:szCs w:val="20"/>
                    </w:rPr>
                    <w:t>with every calibration.</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17EC6B9" w14:textId="77777777" w:rsidR="003171FD" w:rsidRPr="00560643" w:rsidRDefault="003171FD" w:rsidP="003171FD">
            <w:r>
              <w:rPr>
                <w:rFonts w:cs="Arial"/>
                <w:b/>
                <w:szCs w:val="20"/>
              </w:rPr>
              <w:t xml:space="preserve">QC Material: </w:t>
            </w:r>
            <w:r>
              <w:rPr>
                <w:rFonts w:cs="Arial"/>
                <w:szCs w:val="20"/>
              </w:rPr>
              <w:t>Bio-Rad Liquichek</w:t>
            </w:r>
            <w:r>
              <w:rPr>
                <w:rFonts w:cs="Arial"/>
                <w:szCs w:val="20"/>
              </w:rPr>
              <w:sym w:font="Symbol" w:char="F0D4"/>
            </w:r>
            <w:r>
              <w:rPr>
                <w:rFonts w:cs="Arial"/>
                <w:szCs w:val="20"/>
              </w:rPr>
              <w:t xml:space="preserve"> </w:t>
            </w:r>
            <w:r w:rsidRPr="00560643">
              <w:t>Therapeutic Drug Monitoring Control</w:t>
            </w:r>
            <w:r>
              <w:t xml:space="preserve"> Levels 1 and 3</w:t>
            </w:r>
          </w:p>
          <w:p w14:paraId="079A8AA4" w14:textId="77777777" w:rsidR="003171FD" w:rsidRDefault="003171FD" w:rsidP="003171FD">
            <w:pPr>
              <w:autoSpaceDE w:val="0"/>
              <w:autoSpaceDN w:val="0"/>
              <w:adjustRightInd w:val="0"/>
              <w:jc w:val="both"/>
              <w:rPr>
                <w:rFonts w:cs="Arial"/>
                <w:szCs w:val="20"/>
              </w:rPr>
            </w:pPr>
          </w:p>
          <w:p w14:paraId="4EC56A7A" w14:textId="77777777" w:rsidR="003171FD" w:rsidRDefault="003171FD" w:rsidP="003171FD">
            <w:pPr>
              <w:autoSpaceDE w:val="0"/>
              <w:autoSpaceDN w:val="0"/>
              <w:adjustRightInd w:val="0"/>
              <w:jc w:val="both"/>
              <w:rPr>
                <w:rFonts w:cs="Arial"/>
                <w:szCs w:val="20"/>
              </w:rPr>
            </w:pPr>
            <w:r>
              <w:rPr>
                <w:rFonts w:cs="Arial"/>
                <w:b/>
                <w:bCs/>
                <w:szCs w:val="20"/>
              </w:rPr>
              <w:t xml:space="preserve">Frequency: </w:t>
            </w:r>
            <w:r>
              <w:rPr>
                <w:rFonts w:cs="Arial"/>
                <w:szCs w:val="20"/>
              </w:rPr>
              <w:t>Two levels each day of use</w:t>
            </w:r>
          </w:p>
          <w:p w14:paraId="0692AD4E" w14:textId="77777777" w:rsidR="003171FD" w:rsidRDefault="003171FD" w:rsidP="003171FD">
            <w:pPr>
              <w:autoSpaceDE w:val="0"/>
              <w:autoSpaceDN w:val="0"/>
              <w:adjustRightInd w:val="0"/>
              <w:jc w:val="both"/>
              <w:rPr>
                <w:rFonts w:cs="Arial"/>
                <w:szCs w:val="20"/>
              </w:rPr>
            </w:pPr>
          </w:p>
          <w:p w14:paraId="440F3ACA" w14:textId="77777777" w:rsidR="003171FD" w:rsidRDefault="003171FD" w:rsidP="003171FD">
            <w:pPr>
              <w:autoSpaceDE w:val="0"/>
              <w:autoSpaceDN w:val="0"/>
              <w:adjustRightInd w:val="0"/>
              <w:rPr>
                <w:rFonts w:eastAsia="HelveticaNeueLTPro-Cn" w:cs="Arial"/>
                <w:szCs w:val="20"/>
              </w:rPr>
            </w:pPr>
            <w:r>
              <w:rPr>
                <w:rFonts w:cs="Arial"/>
                <w:b/>
                <w:bCs/>
                <w:szCs w:val="20"/>
              </w:rPr>
              <w:t xml:space="preserve">Stability: </w:t>
            </w:r>
            <w:r w:rsidRPr="008E0E52">
              <w:rPr>
                <w:rFonts w:cs="Arial"/>
                <w:bCs/>
                <w:szCs w:val="20"/>
              </w:rPr>
              <w:t>Stable until the expiration date when stored frozen between -20 and -40°C.  Once thawed, opened, and stored tightly capped at 2 to 8°C, this product is stable for 5 days in Minneapolis (due to estradiol in this c</w:t>
            </w:r>
            <w:r>
              <w:rPr>
                <w:rFonts w:cs="Arial"/>
                <w:bCs/>
                <w:szCs w:val="20"/>
              </w:rPr>
              <w:t>ontrol).</w:t>
            </w:r>
            <w:r w:rsidRPr="008E0E52">
              <w:rPr>
                <w:rFonts w:cs="Arial"/>
                <w:bCs/>
                <w:szCs w:val="20"/>
              </w:rPr>
              <w:t xml:space="preserve">  </w:t>
            </w:r>
          </w:p>
          <w:p w14:paraId="174F2CBB" w14:textId="77777777" w:rsidR="003171FD" w:rsidRDefault="003171FD" w:rsidP="003171FD">
            <w:pPr>
              <w:autoSpaceDE w:val="0"/>
              <w:autoSpaceDN w:val="0"/>
              <w:adjustRightInd w:val="0"/>
              <w:jc w:val="both"/>
              <w:rPr>
                <w:rFonts w:cs="Arial"/>
                <w:szCs w:val="20"/>
              </w:rPr>
            </w:pPr>
          </w:p>
          <w:p w14:paraId="5373B123" w14:textId="77777777" w:rsidR="003171FD" w:rsidRDefault="003171FD" w:rsidP="003171FD">
            <w:pPr>
              <w:autoSpaceDE w:val="0"/>
              <w:autoSpaceDN w:val="0"/>
              <w:adjustRightInd w:val="0"/>
              <w:rPr>
                <w:rFonts w:cs="Arial"/>
                <w:szCs w:val="20"/>
              </w:rPr>
            </w:pPr>
            <w:r>
              <w:rPr>
                <w:rFonts w:cs="Arial"/>
                <w:b/>
                <w:bCs/>
                <w:szCs w:val="20"/>
              </w:rPr>
              <w:t>Preparation</w:t>
            </w:r>
            <w:r>
              <w:rPr>
                <w:rFonts w:cs="Arial"/>
                <w:szCs w:val="20"/>
              </w:rPr>
              <w:t xml:space="preserve">: </w:t>
            </w:r>
          </w:p>
          <w:p w14:paraId="185F7631" w14:textId="77777777" w:rsidR="003171FD" w:rsidRDefault="003171FD" w:rsidP="003171FD">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2145ED8D" w14:textId="77777777" w:rsidR="003171FD" w:rsidRDefault="003171FD" w:rsidP="003171F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12B6F319" w14:textId="77777777" w:rsidR="003171FD" w:rsidRDefault="003171FD" w:rsidP="003171F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0F98B464" w14:textId="77777777" w:rsidR="003171FD" w:rsidRDefault="003171FD" w:rsidP="003171F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704D1D8B" w14:textId="77777777" w:rsidR="003171FD" w:rsidRDefault="003171FD" w:rsidP="003171FD">
            <w:pPr>
              <w:pStyle w:val="ListParagraph"/>
              <w:numPr>
                <w:ilvl w:val="0"/>
                <w:numId w:val="35"/>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597346B2" w14:textId="77777777" w:rsidR="003171FD" w:rsidRDefault="003171FD" w:rsidP="003171FD">
            <w:pPr>
              <w:pStyle w:val="ListParagraph"/>
              <w:autoSpaceDE w:val="0"/>
              <w:autoSpaceDN w:val="0"/>
              <w:adjustRightInd w:val="0"/>
              <w:ind w:left="360"/>
              <w:rPr>
                <w:rFonts w:eastAsia="HelveticaNeueLTPro-Cn" w:cs="Arial"/>
                <w:szCs w:val="20"/>
              </w:rPr>
            </w:pPr>
          </w:p>
          <w:p w14:paraId="366BF567" w14:textId="77777777" w:rsidR="003171FD" w:rsidRDefault="003171FD" w:rsidP="003171FD">
            <w:pPr>
              <w:jc w:val="both"/>
              <w:rPr>
                <w:rFonts w:cs="Arial"/>
                <w:szCs w:val="20"/>
              </w:rPr>
            </w:pPr>
            <w:r>
              <w:rPr>
                <w:rFonts w:cs="Arial"/>
                <w:b/>
                <w:bCs/>
                <w:szCs w:val="20"/>
              </w:rPr>
              <w:t>Acceptable ranges:</w:t>
            </w:r>
            <w:r>
              <w:rPr>
                <w:rFonts w:cs="Arial"/>
                <w:szCs w:val="20"/>
              </w:rPr>
              <w:t xml:space="preserve"> </w:t>
            </w:r>
          </w:p>
          <w:p w14:paraId="66B248FB" w14:textId="77777777" w:rsidR="003171FD" w:rsidRDefault="003171FD" w:rsidP="003171FD">
            <w:pPr>
              <w:pStyle w:val="ListParagraph"/>
              <w:numPr>
                <w:ilvl w:val="0"/>
                <w:numId w:val="19"/>
              </w:numPr>
              <w:jc w:val="both"/>
              <w:rPr>
                <w:rFonts w:cs="Arial"/>
                <w:szCs w:val="20"/>
              </w:rPr>
            </w:pPr>
            <w:r>
              <w:rPr>
                <w:rFonts w:cs="Arial"/>
                <w:szCs w:val="20"/>
              </w:rPr>
              <w:t xml:space="preserve">Non-Bio-Rad controls will utilize manufacturer ranges and 2 SD Westgard rules.  </w:t>
            </w:r>
          </w:p>
          <w:p w14:paraId="60A6B9D8" w14:textId="77777777" w:rsidR="003171FD" w:rsidRDefault="003171FD" w:rsidP="003171FD">
            <w:pPr>
              <w:pStyle w:val="ListParagraph"/>
              <w:numPr>
                <w:ilvl w:val="0"/>
                <w:numId w:val="19"/>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77348C8D" w14:textId="77777777" w:rsidR="003171FD" w:rsidRDefault="003171FD" w:rsidP="003171FD">
            <w:pPr>
              <w:pStyle w:val="ListParagraph"/>
              <w:numPr>
                <w:ilvl w:val="0"/>
                <w:numId w:val="19"/>
              </w:numPr>
              <w:jc w:val="both"/>
              <w:rPr>
                <w:rFonts w:cs="Arial"/>
                <w:szCs w:val="20"/>
              </w:rPr>
            </w:pPr>
            <w:r>
              <w:rPr>
                <w:rFonts w:cs="Arial"/>
                <w:szCs w:val="20"/>
              </w:rPr>
              <w:t xml:space="preserve">Refer to the Westgard Rules in Chemistry procedure for current Westgard rules in place for each analyte.  </w:t>
            </w:r>
          </w:p>
          <w:p w14:paraId="3600EB71" w14:textId="77777777" w:rsidR="003171FD" w:rsidRDefault="003171FD" w:rsidP="003171FD">
            <w:pPr>
              <w:numPr>
                <w:ilvl w:val="0"/>
                <w:numId w:val="19"/>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5C552F62" w14:textId="77777777" w:rsidR="003171FD" w:rsidRDefault="003171FD" w:rsidP="003171FD">
            <w:pPr>
              <w:numPr>
                <w:ilvl w:val="0"/>
                <w:numId w:val="19"/>
              </w:numPr>
              <w:autoSpaceDE w:val="0"/>
              <w:autoSpaceDN w:val="0"/>
              <w:adjustRightInd w:val="0"/>
              <w:jc w:val="both"/>
              <w:rPr>
                <w:rFonts w:cs="Arial"/>
                <w:color w:val="000000"/>
                <w:szCs w:val="20"/>
              </w:rPr>
            </w:pPr>
            <w:r>
              <w:rPr>
                <w:rFonts w:cs="Arial"/>
                <w:szCs w:val="20"/>
              </w:rPr>
              <w:t xml:space="preserve">In the event of a QC failure, refer to the </w:t>
            </w:r>
            <w:hyperlink r:id="rId14" w:history="1">
              <w:r>
                <w:rPr>
                  <w:rStyle w:val="Hyperlink"/>
                  <w:rFonts w:cs="Arial"/>
                  <w:szCs w:val="20"/>
                </w:rPr>
                <w:t>Unity Real Time QC Review, General User</w:t>
              </w:r>
            </w:hyperlink>
            <w:r>
              <w:rPr>
                <w:rFonts w:cs="Arial"/>
                <w:szCs w:val="20"/>
              </w:rPr>
              <w:t xml:space="preserve"> and navigate to the QC Troubleshooting section.</w:t>
            </w:r>
          </w:p>
          <w:p w14:paraId="4B079A91" w14:textId="77777777" w:rsidR="003171FD" w:rsidRDefault="003171FD" w:rsidP="003171FD">
            <w:pPr>
              <w:numPr>
                <w:ilvl w:val="0"/>
                <w:numId w:val="1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675FD8C2" w14:textId="77777777" w:rsidR="003171FD" w:rsidRPr="00234207" w:rsidRDefault="003171FD" w:rsidP="003171FD">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3171FD" w:rsidRPr="006A26B2" w14:paraId="52A8FBA2" w14:textId="77777777" w:rsidTr="00817F9E">
              <w:tc>
                <w:tcPr>
                  <w:tcW w:w="472" w:type="dxa"/>
                </w:tcPr>
                <w:p w14:paraId="630B6B22" w14:textId="77777777" w:rsidR="003171FD" w:rsidRPr="006A26B2" w:rsidRDefault="003171FD" w:rsidP="003171FD">
                  <w:pPr>
                    <w:autoSpaceDE w:val="0"/>
                    <w:autoSpaceDN w:val="0"/>
                    <w:adjustRightInd w:val="0"/>
                    <w:jc w:val="both"/>
                    <w:rPr>
                      <w:rFonts w:cs="Arial"/>
                      <w:b/>
                      <w:szCs w:val="20"/>
                    </w:rPr>
                  </w:pPr>
                  <w:r w:rsidRPr="006A26B2">
                    <w:rPr>
                      <w:rFonts w:cs="Arial"/>
                      <w:b/>
                      <w:szCs w:val="20"/>
                    </w:rPr>
                    <w:t>H</w:t>
                  </w:r>
                </w:p>
              </w:tc>
              <w:tc>
                <w:tcPr>
                  <w:tcW w:w="394" w:type="dxa"/>
                </w:tcPr>
                <w:p w14:paraId="4819DD54" w14:textId="77777777" w:rsidR="003171FD" w:rsidRPr="006A26B2" w:rsidRDefault="003171FD" w:rsidP="003171FD">
                  <w:pPr>
                    <w:autoSpaceDE w:val="0"/>
                    <w:autoSpaceDN w:val="0"/>
                    <w:adjustRightInd w:val="0"/>
                    <w:jc w:val="both"/>
                    <w:rPr>
                      <w:rFonts w:cs="Arial"/>
                      <w:b/>
                      <w:szCs w:val="20"/>
                    </w:rPr>
                  </w:pPr>
                  <w:r w:rsidRPr="006A26B2">
                    <w:rPr>
                      <w:rFonts w:cs="Arial"/>
                      <w:b/>
                      <w:szCs w:val="20"/>
                    </w:rPr>
                    <w:t>I</w:t>
                  </w:r>
                </w:p>
              </w:tc>
              <w:tc>
                <w:tcPr>
                  <w:tcW w:w="443" w:type="dxa"/>
                </w:tcPr>
                <w:p w14:paraId="234CC186" w14:textId="77777777" w:rsidR="003171FD" w:rsidRPr="006A26B2" w:rsidRDefault="003171FD" w:rsidP="003171FD">
                  <w:pPr>
                    <w:autoSpaceDE w:val="0"/>
                    <w:autoSpaceDN w:val="0"/>
                    <w:adjustRightInd w:val="0"/>
                    <w:jc w:val="both"/>
                    <w:rPr>
                      <w:rFonts w:cs="Arial"/>
                      <w:b/>
                      <w:szCs w:val="20"/>
                    </w:rPr>
                  </w:pPr>
                  <w:r w:rsidRPr="006A26B2">
                    <w:rPr>
                      <w:rFonts w:cs="Arial"/>
                      <w:b/>
                      <w:szCs w:val="20"/>
                    </w:rPr>
                    <w:t>L</w:t>
                  </w:r>
                </w:p>
              </w:tc>
            </w:tr>
            <w:tr w:rsidR="003171FD" w:rsidRPr="006A26B2" w14:paraId="4DE6DF0D" w14:textId="77777777" w:rsidTr="00817F9E">
              <w:tc>
                <w:tcPr>
                  <w:tcW w:w="472" w:type="dxa"/>
                </w:tcPr>
                <w:p w14:paraId="37CA5A68" w14:textId="77777777" w:rsidR="003171FD" w:rsidRPr="006A26B2" w:rsidRDefault="003171FD" w:rsidP="003171FD">
                  <w:pPr>
                    <w:autoSpaceDE w:val="0"/>
                    <w:autoSpaceDN w:val="0"/>
                    <w:adjustRightInd w:val="0"/>
                    <w:jc w:val="both"/>
                    <w:rPr>
                      <w:rFonts w:cs="Arial"/>
                      <w:b/>
                      <w:szCs w:val="20"/>
                    </w:rPr>
                  </w:pPr>
                  <w:r>
                    <w:rPr>
                      <w:rFonts w:cs="Arial"/>
                      <w:b/>
                      <w:szCs w:val="20"/>
                    </w:rPr>
                    <w:t>-</w:t>
                  </w:r>
                </w:p>
              </w:tc>
              <w:tc>
                <w:tcPr>
                  <w:tcW w:w="394" w:type="dxa"/>
                </w:tcPr>
                <w:p w14:paraId="68FB187A" w14:textId="77777777" w:rsidR="003171FD" w:rsidRPr="006A26B2" w:rsidRDefault="003171FD" w:rsidP="003171FD">
                  <w:pPr>
                    <w:autoSpaceDE w:val="0"/>
                    <w:autoSpaceDN w:val="0"/>
                    <w:adjustRightInd w:val="0"/>
                    <w:jc w:val="both"/>
                    <w:rPr>
                      <w:rFonts w:cs="Arial"/>
                      <w:b/>
                      <w:szCs w:val="20"/>
                    </w:rPr>
                  </w:pPr>
                  <w:r w:rsidRPr="006A26B2">
                    <w:rPr>
                      <w:rFonts w:cs="Arial"/>
                      <w:b/>
                      <w:szCs w:val="20"/>
                    </w:rPr>
                    <w:t>-</w:t>
                  </w:r>
                </w:p>
              </w:tc>
              <w:tc>
                <w:tcPr>
                  <w:tcW w:w="443" w:type="dxa"/>
                </w:tcPr>
                <w:p w14:paraId="03E6F237" w14:textId="77777777" w:rsidR="003171FD" w:rsidRPr="006A26B2" w:rsidRDefault="003171FD" w:rsidP="003171FD">
                  <w:pPr>
                    <w:autoSpaceDE w:val="0"/>
                    <w:autoSpaceDN w:val="0"/>
                    <w:adjustRightInd w:val="0"/>
                    <w:jc w:val="both"/>
                    <w:rPr>
                      <w:rFonts w:cs="Arial"/>
                      <w:b/>
                      <w:szCs w:val="20"/>
                    </w:rPr>
                  </w:pPr>
                  <w:r>
                    <w:rPr>
                      <w:rFonts w:cs="Arial"/>
                      <w:b/>
                      <w:szCs w:val="20"/>
                    </w:rPr>
                    <w:t>-</w:t>
                  </w:r>
                </w:p>
              </w:tc>
            </w:tr>
          </w:tbl>
          <w:p w14:paraId="2D07E2F8" w14:textId="77777777" w:rsidR="003171FD" w:rsidRPr="00DC7421" w:rsidRDefault="003171FD" w:rsidP="003171FD">
            <w:pPr>
              <w:autoSpaceDE w:val="0"/>
              <w:autoSpaceDN w:val="0"/>
              <w:adjustRightInd w:val="0"/>
              <w:rPr>
                <w:rFonts w:cs="Arial"/>
                <w:b/>
                <w:bCs/>
                <w:color w:val="5F497A"/>
                <w:szCs w:val="20"/>
              </w:rPr>
            </w:pPr>
          </w:p>
          <w:p w14:paraId="229B177E" w14:textId="77777777" w:rsidR="003171FD" w:rsidRDefault="003171FD" w:rsidP="003171FD">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32E0F69F" w14:textId="77777777" w:rsidR="003171FD" w:rsidRDefault="003171FD" w:rsidP="003171FD">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7B61EDED" w14:textId="77777777" w:rsidR="003171FD" w:rsidRDefault="003171FD" w:rsidP="003171FD">
            <w:pPr>
              <w:autoSpaceDE w:val="0"/>
              <w:autoSpaceDN w:val="0"/>
              <w:adjustRightInd w:val="0"/>
              <w:rPr>
                <w:rFonts w:eastAsia="HelenPro-Regular" w:cs="Arial"/>
                <w:szCs w:val="20"/>
              </w:rPr>
            </w:pPr>
            <w:r>
              <w:rPr>
                <w:rFonts w:eastAsia="HelenPro-Regular" w:cs="Arial"/>
                <w:szCs w:val="20"/>
              </w:rPr>
              <w:t>-BIN for “Bilirubin Interference”</w:t>
            </w:r>
          </w:p>
          <w:p w14:paraId="76F197D4" w14:textId="77777777" w:rsidR="003171FD" w:rsidRDefault="003171FD" w:rsidP="003171FD">
            <w:pPr>
              <w:autoSpaceDE w:val="0"/>
              <w:autoSpaceDN w:val="0"/>
              <w:adjustRightInd w:val="0"/>
              <w:rPr>
                <w:rFonts w:eastAsia="HelenPro-Regular" w:cs="Arial"/>
                <w:szCs w:val="20"/>
              </w:rPr>
            </w:pPr>
            <w:r>
              <w:rPr>
                <w:rFonts w:eastAsia="HelenPro-Regular" w:cs="Arial"/>
                <w:szCs w:val="20"/>
              </w:rPr>
              <w:t xml:space="preserve">-LINT for “Lipid Interference”  </w:t>
            </w:r>
          </w:p>
          <w:p w14:paraId="0AF14225" w14:textId="77777777" w:rsidR="000244AC" w:rsidRDefault="000244AC" w:rsidP="007D65DC">
            <w:pPr>
              <w:autoSpaceDE w:val="0"/>
              <w:autoSpaceDN w:val="0"/>
              <w:adjustRightInd w:val="0"/>
              <w:jc w:val="both"/>
              <w:rPr>
                <w:rFonts w:cs="Arial"/>
                <w:szCs w:val="20"/>
              </w:rPr>
            </w:pPr>
          </w:p>
          <w:p w14:paraId="0A6037AE" w14:textId="77777777" w:rsidR="007D65DC" w:rsidRDefault="007D65DC" w:rsidP="007D65DC">
            <w:pPr>
              <w:autoSpaceDE w:val="0"/>
              <w:autoSpaceDN w:val="0"/>
              <w:adjustRightInd w:val="0"/>
              <w:jc w:val="both"/>
              <w:rPr>
                <w:rFonts w:cs="Arial"/>
                <w:szCs w:val="20"/>
              </w:rPr>
            </w:pPr>
            <w:r>
              <w:rPr>
                <w:rFonts w:cs="Arial"/>
                <w:szCs w:val="20"/>
              </w:rPr>
              <w:t xml:space="preserve">No endogenous substance interference noted in Abbott studies.  </w:t>
            </w:r>
          </w:p>
          <w:p w14:paraId="5CD00011" w14:textId="1BB503D1" w:rsidR="007D65DC" w:rsidRPr="00DC7421" w:rsidRDefault="007D65DC" w:rsidP="007D65DC">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7D9C5DCA" w14:textId="77777777" w:rsidR="00A01D90" w:rsidRDefault="00A01D90" w:rsidP="0039587D">
            <w:pPr>
              <w:rPr>
                <w:rFonts w:cs="Arial"/>
                <w:szCs w:val="20"/>
              </w:rPr>
            </w:pPr>
            <w:r w:rsidRPr="00A01D90">
              <w:rPr>
                <w:rFonts w:cs="Arial"/>
                <w:b/>
                <w:szCs w:val="20"/>
              </w:rPr>
              <w:t>Peak Levels:</w:t>
            </w:r>
            <w:r w:rsidRPr="00A01D90">
              <w:rPr>
                <w:rFonts w:cs="Arial"/>
                <w:szCs w:val="20"/>
              </w:rPr>
              <w:t xml:space="preserve"> 4-8 </w:t>
            </w:r>
            <w:r>
              <w:rPr>
                <w:rFonts w:cs="Arial"/>
              </w:rPr>
              <w:t>µg/mL</w:t>
            </w:r>
            <w:r w:rsidRPr="00A01D90">
              <w:rPr>
                <w:rFonts w:cs="Arial"/>
                <w:szCs w:val="20"/>
              </w:rPr>
              <w:t xml:space="preserve"> </w:t>
            </w:r>
          </w:p>
          <w:p w14:paraId="2BD143D4" w14:textId="7A4E5EBD" w:rsidR="00A01D90" w:rsidRDefault="00A01D90" w:rsidP="00A01D90">
            <w:pPr>
              <w:rPr>
                <w:rFonts w:cs="Arial"/>
                <w:szCs w:val="20"/>
              </w:rPr>
            </w:pPr>
            <w:r w:rsidRPr="00A01D90">
              <w:rPr>
                <w:rFonts w:cs="Arial"/>
                <w:b/>
                <w:szCs w:val="20"/>
              </w:rPr>
              <w:t>Peak Toxic Levels</w:t>
            </w:r>
            <w:r>
              <w:rPr>
                <w:rFonts w:cs="Arial"/>
                <w:b/>
                <w:szCs w:val="20"/>
              </w:rPr>
              <w:t>:</w:t>
            </w:r>
            <w:r>
              <w:rPr>
                <w:rFonts w:cs="Arial"/>
                <w:szCs w:val="20"/>
              </w:rPr>
              <w:t xml:space="preserve">     </w:t>
            </w:r>
            <w:r w:rsidRPr="00A01D90">
              <w:rPr>
                <w:rFonts w:cs="Arial"/>
                <w:szCs w:val="20"/>
              </w:rPr>
              <w:t>&gt; 12</w:t>
            </w:r>
            <w:r>
              <w:t xml:space="preserve"> </w:t>
            </w:r>
            <w:r w:rsidRPr="00A01D90">
              <w:rPr>
                <w:rFonts w:cs="Arial"/>
                <w:szCs w:val="20"/>
              </w:rPr>
              <w:t xml:space="preserve">µg/mL                         </w:t>
            </w:r>
          </w:p>
          <w:p w14:paraId="2B95793D" w14:textId="77777777" w:rsidR="00A01D90" w:rsidRDefault="00A01D90" w:rsidP="00A01D90">
            <w:pPr>
              <w:rPr>
                <w:rFonts w:cs="Arial"/>
                <w:szCs w:val="20"/>
              </w:rPr>
            </w:pPr>
            <w:r w:rsidRPr="00A01D90">
              <w:rPr>
                <w:rFonts w:cs="Arial"/>
                <w:b/>
                <w:szCs w:val="20"/>
              </w:rPr>
              <w:t>Trough</w:t>
            </w:r>
            <w:r w:rsidRPr="00A01D90">
              <w:rPr>
                <w:rFonts w:cs="Arial"/>
                <w:szCs w:val="20"/>
              </w:rPr>
              <w:t xml:space="preserve">: 0-4 </w:t>
            </w:r>
            <w:r w:rsidRPr="007D65DC">
              <w:rPr>
                <w:rFonts w:cs="Arial"/>
              </w:rPr>
              <w:t>µg/mL</w:t>
            </w:r>
            <w:r w:rsidRPr="00A01D90">
              <w:rPr>
                <w:rFonts w:cs="Arial"/>
                <w:szCs w:val="20"/>
              </w:rPr>
              <w:t xml:space="preserve"> </w:t>
            </w:r>
          </w:p>
          <w:p w14:paraId="0129D0EF" w14:textId="77777777" w:rsidR="0039587D" w:rsidRDefault="00A01D90" w:rsidP="00A01D90">
            <w:pPr>
              <w:rPr>
                <w:rFonts w:cs="Arial"/>
                <w:szCs w:val="20"/>
              </w:rPr>
            </w:pPr>
            <w:r w:rsidRPr="00A01D90">
              <w:rPr>
                <w:rFonts w:cs="Arial"/>
                <w:b/>
                <w:szCs w:val="20"/>
              </w:rPr>
              <w:t>Trough Toxic Levels</w:t>
            </w:r>
            <w:r w:rsidRPr="00A01D90">
              <w:rPr>
                <w:rFonts w:cs="Arial"/>
                <w:szCs w:val="20"/>
              </w:rPr>
              <w:t xml:space="preserve"> &gt;4</w:t>
            </w:r>
            <w:r w:rsidRPr="007D65DC">
              <w:rPr>
                <w:rFonts w:cs="Arial"/>
              </w:rPr>
              <w:t xml:space="preserve"> µg/mL</w:t>
            </w:r>
            <w:r w:rsidRPr="00A01D90">
              <w:rPr>
                <w:rFonts w:cs="Arial"/>
                <w:szCs w:val="20"/>
              </w:rPr>
              <w:t xml:space="preserve"> </w:t>
            </w:r>
          </w:p>
          <w:p w14:paraId="3C411AF8" w14:textId="77777777" w:rsidR="00A01D90" w:rsidRDefault="00A01D90" w:rsidP="00A01D90">
            <w:pPr>
              <w:rPr>
                <w:rFonts w:cs="Arial"/>
                <w:szCs w:val="20"/>
              </w:rPr>
            </w:pPr>
          </w:p>
          <w:p w14:paraId="5A05775D" w14:textId="77777777" w:rsidR="00A01D90" w:rsidRDefault="00A01D90" w:rsidP="00A01D90">
            <w:pPr>
              <w:rPr>
                <w:rFonts w:cs="Arial"/>
              </w:rPr>
            </w:pPr>
            <w:r>
              <w:rPr>
                <w:rFonts w:cs="Arial"/>
                <w:szCs w:val="20"/>
              </w:rPr>
              <w:t xml:space="preserve">Samples &gt;8 </w:t>
            </w:r>
            <w:r>
              <w:rPr>
                <w:rFonts w:cs="Arial"/>
              </w:rPr>
              <w:t>µg/mL will be flagged as abnormal for all ages in Sunquest.</w:t>
            </w:r>
          </w:p>
          <w:p w14:paraId="36388FED" w14:textId="77777777" w:rsidR="00583A93" w:rsidRDefault="00583A93" w:rsidP="00A01D90">
            <w:pPr>
              <w:rPr>
                <w:rFonts w:cs="Arial"/>
              </w:rPr>
            </w:pPr>
          </w:p>
          <w:p w14:paraId="32F64D0B" w14:textId="70E3DE4A" w:rsidR="00583A93" w:rsidRDefault="00583A93" w:rsidP="00583A93">
            <w:pPr>
              <w:rPr>
                <w:rFonts w:cs="Arial"/>
              </w:rPr>
            </w:pPr>
            <w:r w:rsidRPr="00583A93">
              <w:rPr>
                <w:rFonts w:cs="Arial"/>
              </w:rPr>
              <w:t>The</w:t>
            </w:r>
            <w:r>
              <w:rPr>
                <w:rFonts w:cs="Arial"/>
              </w:rPr>
              <w:t xml:space="preserve"> </w:t>
            </w:r>
            <w:r w:rsidRPr="00583A93">
              <w:rPr>
                <w:rFonts w:cs="Arial"/>
              </w:rPr>
              <w:t>susceptibility of the infecting organism, the severity of the infection,</w:t>
            </w:r>
            <w:r>
              <w:rPr>
                <w:rFonts w:cs="Arial"/>
              </w:rPr>
              <w:t xml:space="preserve"> </w:t>
            </w:r>
            <w:r w:rsidRPr="00583A93">
              <w:rPr>
                <w:rFonts w:cs="Arial"/>
              </w:rPr>
              <w:t>and the general health of the patient should be considered when</w:t>
            </w:r>
            <w:r>
              <w:rPr>
                <w:rFonts w:cs="Arial"/>
              </w:rPr>
              <w:t xml:space="preserve"> </w:t>
            </w:r>
            <w:r w:rsidRPr="00583A93">
              <w:rPr>
                <w:rFonts w:cs="Arial"/>
              </w:rPr>
              <w:t>determining an adequate drug level for patients.</w:t>
            </w:r>
          </w:p>
          <w:p w14:paraId="5CD00018" w14:textId="2DD83211" w:rsidR="00A01D90" w:rsidRPr="00DC7421" w:rsidRDefault="00A01D90" w:rsidP="00A01D90">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1EC105AD"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BEAE40" w14:textId="77777777" w:rsidR="00E3253B" w:rsidRPr="00A01D90" w:rsidRDefault="00A01D90" w:rsidP="001C641E">
            <w:pPr>
              <w:pStyle w:val="Header"/>
              <w:tabs>
                <w:tab w:val="clear" w:pos="4320"/>
                <w:tab w:val="clear" w:pos="8640"/>
              </w:tabs>
              <w:rPr>
                <w:rFonts w:cs="Arial"/>
                <w:b/>
              </w:rPr>
            </w:pPr>
            <w:r w:rsidRPr="00A01D90">
              <w:rPr>
                <w:rFonts w:cs="Arial"/>
                <w:b/>
                <w:szCs w:val="20"/>
              </w:rPr>
              <w:t xml:space="preserve">&gt; 10 </w:t>
            </w:r>
            <w:r w:rsidRPr="00A01D90">
              <w:rPr>
                <w:rFonts w:cs="Arial"/>
                <w:b/>
              </w:rPr>
              <w:t>µg/mL</w:t>
            </w:r>
          </w:p>
          <w:p w14:paraId="6E037DFC" w14:textId="77777777" w:rsidR="00A01D90" w:rsidRDefault="00A01D90" w:rsidP="001C641E">
            <w:pPr>
              <w:pStyle w:val="Header"/>
              <w:tabs>
                <w:tab w:val="clear" w:pos="4320"/>
                <w:tab w:val="clear" w:pos="8640"/>
              </w:tabs>
              <w:rPr>
                <w:rFonts w:cs="Arial"/>
              </w:rPr>
            </w:pPr>
            <w:r>
              <w:rPr>
                <w:rFonts w:cs="Arial"/>
              </w:rPr>
              <w:t>Critical results are called and documented according to the Critical Values policy.</w:t>
            </w:r>
          </w:p>
          <w:p w14:paraId="5CD0001B" w14:textId="1A2FA79E" w:rsidR="00A01D90" w:rsidRPr="00DC7421" w:rsidRDefault="00A01D90" w:rsidP="001C641E">
            <w:pPr>
              <w:pStyle w:val="Header"/>
              <w:tabs>
                <w:tab w:val="clear" w:pos="4320"/>
                <w:tab w:val="clear" w:pos="8640"/>
              </w:tabs>
              <w:rPr>
                <w:rFonts w:cs="Arial"/>
                <w:szCs w:val="20"/>
              </w:rPr>
            </w:pP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3EB407D5" w14:textId="77777777" w:rsidR="00DC7421" w:rsidRDefault="007D65DC" w:rsidP="007D65DC">
            <w:pPr>
              <w:autoSpaceDE w:val="0"/>
              <w:autoSpaceDN w:val="0"/>
              <w:adjustRightInd w:val="0"/>
              <w:rPr>
                <w:rFonts w:cs="Arial"/>
                <w:bCs/>
                <w:szCs w:val="20"/>
              </w:rPr>
            </w:pPr>
            <w:r w:rsidRPr="007D65DC">
              <w:rPr>
                <w:rFonts w:cs="Arial"/>
                <w:bCs/>
                <w:szCs w:val="20"/>
              </w:rPr>
              <w:t>Samples containing carbenicillin or piperacillin should</w:t>
            </w:r>
            <w:r>
              <w:rPr>
                <w:rFonts w:cs="Arial"/>
                <w:bCs/>
                <w:szCs w:val="20"/>
              </w:rPr>
              <w:t xml:space="preserve"> </w:t>
            </w:r>
            <w:r w:rsidRPr="007D65DC">
              <w:rPr>
                <w:rFonts w:cs="Arial"/>
                <w:bCs/>
                <w:szCs w:val="20"/>
              </w:rPr>
              <w:t>be stored frozen if a delay in analysis of more than 8 hours is</w:t>
            </w:r>
            <w:r>
              <w:rPr>
                <w:rFonts w:cs="Arial"/>
                <w:bCs/>
                <w:szCs w:val="20"/>
              </w:rPr>
              <w:t xml:space="preserve"> </w:t>
            </w:r>
            <w:r w:rsidRPr="007D65DC">
              <w:rPr>
                <w:rFonts w:cs="Arial"/>
                <w:bCs/>
                <w:szCs w:val="20"/>
              </w:rPr>
              <w:t>anticipated. Failure to freeze samples containing these antibiotics</w:t>
            </w:r>
            <w:r>
              <w:rPr>
                <w:rFonts w:cs="Arial"/>
                <w:bCs/>
                <w:szCs w:val="20"/>
              </w:rPr>
              <w:t xml:space="preserve"> </w:t>
            </w:r>
            <w:r w:rsidRPr="007D65DC">
              <w:rPr>
                <w:rFonts w:cs="Arial"/>
                <w:bCs/>
                <w:szCs w:val="20"/>
              </w:rPr>
              <w:t>may result in falsely low tobramycin levels due to in vitro</w:t>
            </w:r>
            <w:r>
              <w:rPr>
                <w:rFonts w:cs="Arial"/>
                <w:bCs/>
                <w:szCs w:val="20"/>
              </w:rPr>
              <w:t xml:space="preserve"> </w:t>
            </w:r>
            <w:r w:rsidRPr="007D65DC">
              <w:rPr>
                <w:rFonts w:cs="Arial"/>
                <w:bCs/>
                <w:szCs w:val="20"/>
              </w:rPr>
              <w:t>inactivation.</w:t>
            </w:r>
          </w:p>
          <w:p w14:paraId="5D8F61AB" w14:textId="77777777" w:rsidR="00583A93" w:rsidRDefault="00583A93" w:rsidP="007D65DC">
            <w:pPr>
              <w:autoSpaceDE w:val="0"/>
              <w:autoSpaceDN w:val="0"/>
              <w:adjustRightInd w:val="0"/>
              <w:rPr>
                <w:rFonts w:cs="Arial"/>
                <w:bCs/>
                <w:szCs w:val="20"/>
              </w:rPr>
            </w:pPr>
          </w:p>
          <w:p w14:paraId="60A2C100" w14:textId="76511E64" w:rsidR="00583A93" w:rsidRDefault="00583A93" w:rsidP="00583A93">
            <w:pPr>
              <w:autoSpaceDE w:val="0"/>
              <w:autoSpaceDN w:val="0"/>
              <w:adjustRightInd w:val="0"/>
              <w:rPr>
                <w:rFonts w:cs="Arial"/>
                <w:bCs/>
                <w:szCs w:val="20"/>
              </w:rPr>
            </w:pPr>
            <w:r w:rsidRPr="00583A93">
              <w:rPr>
                <w:rFonts w:cs="Arial"/>
                <w:bCs/>
                <w:szCs w:val="20"/>
              </w:rPr>
              <w:t>For diagnostic purposes, the test findings should always be</w:t>
            </w:r>
            <w:r>
              <w:rPr>
                <w:rFonts w:cs="Arial"/>
                <w:bCs/>
                <w:szCs w:val="20"/>
              </w:rPr>
              <w:t xml:space="preserve"> </w:t>
            </w:r>
            <w:r w:rsidRPr="00583A93">
              <w:rPr>
                <w:rFonts w:cs="Arial"/>
                <w:bCs/>
                <w:szCs w:val="20"/>
              </w:rPr>
              <w:t>assessed in conjunction with the patient’s medical history, clinical</w:t>
            </w:r>
            <w:r>
              <w:rPr>
                <w:rFonts w:cs="Arial"/>
                <w:bCs/>
                <w:szCs w:val="20"/>
              </w:rPr>
              <w:t xml:space="preserve"> </w:t>
            </w:r>
            <w:r w:rsidRPr="00583A93">
              <w:rPr>
                <w:rFonts w:cs="Arial"/>
                <w:bCs/>
                <w:szCs w:val="20"/>
              </w:rPr>
              <w:t>examinations, and other findings.</w:t>
            </w:r>
          </w:p>
          <w:p w14:paraId="2107E827" w14:textId="77777777" w:rsidR="00583A93" w:rsidRDefault="00583A93" w:rsidP="00583A93">
            <w:pPr>
              <w:autoSpaceDE w:val="0"/>
              <w:autoSpaceDN w:val="0"/>
              <w:adjustRightInd w:val="0"/>
              <w:rPr>
                <w:rFonts w:cs="Arial"/>
                <w:bCs/>
                <w:szCs w:val="20"/>
              </w:rPr>
            </w:pPr>
          </w:p>
          <w:p w14:paraId="4761E387" w14:textId="7706671A" w:rsidR="00583A93" w:rsidRDefault="00583A93" w:rsidP="00583A93">
            <w:pPr>
              <w:autoSpaceDE w:val="0"/>
              <w:autoSpaceDN w:val="0"/>
              <w:adjustRightInd w:val="0"/>
              <w:rPr>
                <w:rFonts w:cs="Arial"/>
                <w:bCs/>
                <w:szCs w:val="20"/>
              </w:rPr>
            </w:pPr>
            <w:r w:rsidRPr="00583A93">
              <w:rPr>
                <w:rFonts w:cs="Arial"/>
                <w:bCs/>
                <w:szCs w:val="20"/>
              </w:rPr>
              <w:t>In very rare cases, patient samples may contain heterophile</w:t>
            </w:r>
            <w:r>
              <w:rPr>
                <w:rFonts w:cs="Arial"/>
                <w:bCs/>
                <w:szCs w:val="20"/>
              </w:rPr>
              <w:t xml:space="preserve"> </w:t>
            </w:r>
            <w:r w:rsidRPr="00583A93">
              <w:rPr>
                <w:rFonts w:cs="Arial"/>
                <w:bCs/>
                <w:szCs w:val="20"/>
              </w:rPr>
              <w:t>antibodies, which may produce low results with the Alinity c</w:t>
            </w:r>
            <w:r>
              <w:rPr>
                <w:rFonts w:cs="Arial"/>
                <w:bCs/>
                <w:szCs w:val="20"/>
              </w:rPr>
              <w:t xml:space="preserve"> </w:t>
            </w:r>
            <w:r w:rsidRPr="00583A93">
              <w:rPr>
                <w:rFonts w:cs="Arial"/>
                <w:bCs/>
                <w:szCs w:val="20"/>
              </w:rPr>
              <w:t>Tobramycin assay. Interfering heterophile antibodies occur at a low</w:t>
            </w:r>
            <w:r>
              <w:rPr>
                <w:rFonts w:cs="Arial"/>
                <w:bCs/>
                <w:szCs w:val="20"/>
              </w:rPr>
              <w:t xml:space="preserve"> </w:t>
            </w:r>
            <w:r w:rsidRPr="00583A93">
              <w:rPr>
                <w:rFonts w:cs="Arial"/>
                <w:bCs/>
                <w:szCs w:val="20"/>
              </w:rPr>
              <w:t>frequency in the general population. These antibodies can cause</w:t>
            </w:r>
            <w:r>
              <w:rPr>
                <w:rFonts w:cs="Arial"/>
                <w:bCs/>
                <w:szCs w:val="20"/>
              </w:rPr>
              <w:t xml:space="preserve"> </w:t>
            </w:r>
            <w:r w:rsidRPr="00583A93">
              <w:rPr>
                <w:rFonts w:cs="Arial"/>
                <w:bCs/>
                <w:szCs w:val="20"/>
              </w:rPr>
              <w:t>autoagglutination of the microparticle reagent leading to undetected</w:t>
            </w:r>
            <w:r>
              <w:rPr>
                <w:rFonts w:cs="Arial"/>
                <w:bCs/>
                <w:szCs w:val="20"/>
              </w:rPr>
              <w:t xml:space="preserve"> </w:t>
            </w:r>
            <w:r w:rsidRPr="00583A93">
              <w:rPr>
                <w:rFonts w:cs="Arial"/>
                <w:bCs/>
                <w:szCs w:val="20"/>
              </w:rPr>
              <w:t>erroneously low results.</w:t>
            </w:r>
          </w:p>
          <w:p w14:paraId="70D3B285" w14:textId="77777777" w:rsidR="00583A93" w:rsidRDefault="00583A93" w:rsidP="00583A93">
            <w:pPr>
              <w:autoSpaceDE w:val="0"/>
              <w:autoSpaceDN w:val="0"/>
              <w:adjustRightInd w:val="0"/>
              <w:rPr>
                <w:rFonts w:cs="Arial"/>
                <w:bCs/>
                <w:szCs w:val="20"/>
              </w:rPr>
            </w:pPr>
          </w:p>
          <w:p w14:paraId="798E785C" w14:textId="0E3E69B3" w:rsidR="00A01D90" w:rsidRDefault="00583A93" w:rsidP="00583A93">
            <w:pPr>
              <w:autoSpaceDE w:val="0"/>
              <w:autoSpaceDN w:val="0"/>
              <w:adjustRightInd w:val="0"/>
              <w:rPr>
                <w:rFonts w:cs="Arial"/>
                <w:bCs/>
                <w:szCs w:val="20"/>
              </w:rPr>
            </w:pPr>
            <w:r w:rsidRPr="00583A93">
              <w:rPr>
                <w:rFonts w:cs="Arial"/>
                <w:bCs/>
                <w:szCs w:val="20"/>
              </w:rPr>
              <w:t>Patient samples which contain the drugs amikacin, kanamycin A,</w:t>
            </w:r>
            <w:r>
              <w:rPr>
                <w:rFonts w:cs="Arial"/>
                <w:bCs/>
                <w:szCs w:val="20"/>
              </w:rPr>
              <w:t xml:space="preserve"> </w:t>
            </w:r>
            <w:r w:rsidRPr="00583A93">
              <w:rPr>
                <w:rFonts w:cs="Arial"/>
                <w:bCs/>
                <w:szCs w:val="20"/>
              </w:rPr>
              <w:t>kanamycin B, and/or 3',4'-dideoxykanamycin B may yield falsely</w:t>
            </w:r>
            <w:r>
              <w:rPr>
                <w:rFonts w:cs="Arial"/>
                <w:bCs/>
                <w:szCs w:val="20"/>
              </w:rPr>
              <w:t xml:space="preserve"> </w:t>
            </w:r>
            <w:r w:rsidRPr="00583A93">
              <w:rPr>
                <w:rFonts w:cs="Arial"/>
                <w:bCs/>
                <w:szCs w:val="20"/>
              </w:rPr>
              <w:t>elevated values for tobramycin. Refer to the Cross-Reactants section</w:t>
            </w:r>
            <w:r>
              <w:rPr>
                <w:rFonts w:cs="Arial"/>
                <w:bCs/>
                <w:szCs w:val="20"/>
              </w:rPr>
              <w:t xml:space="preserve"> of the Instructions for Use (package insert) </w:t>
            </w:r>
            <w:r w:rsidRPr="00583A93">
              <w:rPr>
                <w:rFonts w:cs="Arial"/>
                <w:bCs/>
                <w:szCs w:val="20"/>
              </w:rPr>
              <w:t>for further explanation. However, these drugs are not usually coadministered</w:t>
            </w:r>
            <w:r>
              <w:rPr>
                <w:rFonts w:cs="Arial"/>
                <w:bCs/>
                <w:szCs w:val="20"/>
              </w:rPr>
              <w:t xml:space="preserve"> </w:t>
            </w:r>
            <w:r w:rsidRPr="00583A93">
              <w:rPr>
                <w:rFonts w:cs="Arial"/>
                <w:bCs/>
                <w:szCs w:val="20"/>
              </w:rPr>
              <w:t>with tobramycin. High concentrations of penicillins</w:t>
            </w:r>
            <w:r>
              <w:rPr>
                <w:rFonts w:cs="Arial"/>
                <w:bCs/>
                <w:szCs w:val="20"/>
              </w:rPr>
              <w:t xml:space="preserve"> </w:t>
            </w:r>
            <w:r w:rsidRPr="00583A93">
              <w:rPr>
                <w:rFonts w:cs="Arial"/>
                <w:bCs/>
                <w:szCs w:val="20"/>
              </w:rPr>
              <w:t>or cephalosporins have been shown to inactivate tobramycin in</w:t>
            </w:r>
            <w:r>
              <w:rPr>
                <w:rFonts w:cs="Arial"/>
                <w:bCs/>
                <w:szCs w:val="20"/>
              </w:rPr>
              <w:t xml:space="preserve"> </w:t>
            </w:r>
            <w:r w:rsidRPr="00583A93">
              <w:rPr>
                <w:rFonts w:cs="Arial"/>
                <w:bCs/>
                <w:szCs w:val="20"/>
              </w:rPr>
              <w:t>vitro. The degree of inactivation is dependent on the particular</w:t>
            </w:r>
            <w:r>
              <w:rPr>
                <w:rFonts w:cs="Arial"/>
                <w:bCs/>
                <w:szCs w:val="20"/>
              </w:rPr>
              <w:t xml:space="preserve"> </w:t>
            </w:r>
            <w:r w:rsidRPr="00583A93">
              <w:rPr>
                <w:rFonts w:cs="Arial"/>
                <w:bCs/>
                <w:szCs w:val="20"/>
              </w:rPr>
              <w:t>aminoglycoside being measured, the type and concentration of</w:t>
            </w:r>
            <w:r>
              <w:rPr>
                <w:rFonts w:cs="Arial"/>
                <w:bCs/>
                <w:szCs w:val="20"/>
              </w:rPr>
              <w:t xml:space="preserve"> </w:t>
            </w:r>
            <w:r w:rsidRPr="00583A93">
              <w:rPr>
                <w:rFonts w:cs="Arial"/>
                <w:bCs/>
                <w:szCs w:val="20"/>
              </w:rPr>
              <w:t>the penicillin or cephalosporin that is also present, and the storage</w:t>
            </w:r>
            <w:r>
              <w:rPr>
                <w:rFonts w:cs="Arial"/>
                <w:bCs/>
                <w:szCs w:val="20"/>
              </w:rPr>
              <w:t xml:space="preserve"> conditions of the sample.</w:t>
            </w:r>
            <w:r w:rsidRPr="00583A93">
              <w:rPr>
                <w:rFonts w:cs="Arial"/>
                <w:bCs/>
                <w:szCs w:val="20"/>
              </w:rPr>
              <w:t xml:space="preserve"> Samples from patients receiving</w:t>
            </w:r>
            <w:r>
              <w:rPr>
                <w:rFonts w:cs="Arial"/>
                <w:bCs/>
                <w:szCs w:val="20"/>
              </w:rPr>
              <w:t xml:space="preserve"> </w:t>
            </w:r>
            <w:r w:rsidRPr="00583A93">
              <w:rPr>
                <w:rFonts w:cs="Arial"/>
                <w:bCs/>
                <w:szCs w:val="20"/>
              </w:rPr>
              <w:t>additional antibiotics of these types should be assayed immediately</w:t>
            </w:r>
            <w:r>
              <w:rPr>
                <w:rFonts w:cs="Arial"/>
                <w:bCs/>
                <w:szCs w:val="20"/>
              </w:rPr>
              <w:t xml:space="preserve"> </w:t>
            </w:r>
            <w:r w:rsidRPr="00583A93">
              <w:rPr>
                <w:rFonts w:cs="Arial"/>
                <w:bCs/>
                <w:szCs w:val="20"/>
              </w:rPr>
              <w:t>or stored frozen.</w:t>
            </w:r>
          </w:p>
          <w:p w14:paraId="5CD00021" w14:textId="5B49F11F" w:rsidR="007D65DC" w:rsidRPr="00DC7421" w:rsidRDefault="007D65DC" w:rsidP="007D65DC">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A01D90" w:rsidRPr="00EC40A2" w14:paraId="072C88EE" w14:textId="77777777" w:rsidTr="00817F9E">
              <w:tc>
                <w:tcPr>
                  <w:tcW w:w="1867" w:type="dxa"/>
                </w:tcPr>
                <w:p w14:paraId="36C3A9CF" w14:textId="77777777" w:rsidR="00A01D90" w:rsidRPr="00EC40A2" w:rsidRDefault="00A01D90" w:rsidP="00A01D90">
                  <w:pPr>
                    <w:rPr>
                      <w:rFonts w:cs="Arial"/>
                      <w:szCs w:val="20"/>
                    </w:rPr>
                  </w:pPr>
                  <w:r>
                    <w:rPr>
                      <w:rFonts w:cs="Arial"/>
                      <w:szCs w:val="20"/>
                    </w:rPr>
                    <w:t xml:space="preserve">Max </w:t>
                  </w:r>
                  <w:r w:rsidRPr="00EC40A2">
                    <w:rPr>
                      <w:rFonts w:cs="Arial"/>
                      <w:szCs w:val="20"/>
                    </w:rPr>
                    <w:t>Auto Dilution:</w:t>
                  </w:r>
                </w:p>
              </w:tc>
              <w:tc>
                <w:tcPr>
                  <w:tcW w:w="7200" w:type="dxa"/>
                </w:tcPr>
                <w:p w14:paraId="0B5641F2" w14:textId="27A181FF" w:rsidR="00A01D90" w:rsidRPr="00D41D9F" w:rsidRDefault="00A01D90" w:rsidP="00A01D90">
                  <w:pPr>
                    <w:autoSpaceDE w:val="0"/>
                    <w:autoSpaceDN w:val="0"/>
                    <w:adjustRightInd w:val="0"/>
                    <w:rPr>
                      <w:rFonts w:cs="Arial"/>
                      <w:szCs w:val="20"/>
                    </w:rPr>
                  </w:pPr>
                  <w:r>
                    <w:rPr>
                      <w:rFonts w:cs="Arial"/>
                      <w:szCs w:val="20"/>
                    </w:rPr>
                    <w:t>None</w:t>
                  </w:r>
                </w:p>
              </w:tc>
            </w:tr>
            <w:tr w:rsidR="00A01D90" w:rsidRPr="00EC40A2" w14:paraId="53CA5287" w14:textId="77777777" w:rsidTr="00817F9E">
              <w:trPr>
                <w:trHeight w:val="485"/>
              </w:trPr>
              <w:tc>
                <w:tcPr>
                  <w:tcW w:w="1867" w:type="dxa"/>
                </w:tcPr>
                <w:p w14:paraId="528DC5C9" w14:textId="77777777" w:rsidR="00A01D90" w:rsidRPr="00EC40A2" w:rsidRDefault="00A01D90" w:rsidP="00A01D90">
                  <w:pPr>
                    <w:rPr>
                      <w:rFonts w:cs="Arial"/>
                      <w:szCs w:val="20"/>
                    </w:rPr>
                  </w:pPr>
                  <w:r w:rsidRPr="00EC40A2">
                    <w:rPr>
                      <w:rFonts w:cs="Arial"/>
                      <w:szCs w:val="20"/>
                    </w:rPr>
                    <w:t>Maximum Manual Dilution:</w:t>
                  </w:r>
                </w:p>
              </w:tc>
              <w:tc>
                <w:tcPr>
                  <w:tcW w:w="7200" w:type="dxa"/>
                </w:tcPr>
                <w:p w14:paraId="23E99A1F" w14:textId="282BA91C" w:rsidR="00A01D90" w:rsidRPr="00D41D9F" w:rsidRDefault="00A01D90" w:rsidP="00A01D90">
                  <w:pPr>
                    <w:autoSpaceDE w:val="0"/>
                    <w:autoSpaceDN w:val="0"/>
                    <w:adjustRightInd w:val="0"/>
                    <w:rPr>
                      <w:rFonts w:cs="Arial"/>
                      <w:szCs w:val="20"/>
                    </w:rPr>
                  </w:pPr>
                  <w:r>
                    <w:rPr>
                      <w:rFonts w:cs="Arial"/>
                      <w:szCs w:val="20"/>
                    </w:rPr>
                    <w:t>1:2</w:t>
                  </w:r>
                </w:p>
              </w:tc>
            </w:tr>
            <w:tr w:rsidR="00A01D90" w:rsidRPr="00EC40A2" w14:paraId="504BEE61" w14:textId="77777777" w:rsidTr="00817F9E">
              <w:tc>
                <w:tcPr>
                  <w:tcW w:w="1867" w:type="dxa"/>
                </w:tcPr>
                <w:p w14:paraId="13CCF8E3" w14:textId="77777777" w:rsidR="00A01D90" w:rsidRPr="00EC40A2" w:rsidRDefault="00A01D90" w:rsidP="00A01D90">
                  <w:pPr>
                    <w:rPr>
                      <w:rFonts w:cs="Arial"/>
                      <w:szCs w:val="20"/>
                    </w:rPr>
                  </w:pPr>
                  <w:r w:rsidRPr="00EC40A2">
                    <w:rPr>
                      <w:rFonts w:cs="Arial"/>
                      <w:szCs w:val="20"/>
                    </w:rPr>
                    <w:t>Diluent:</w:t>
                  </w:r>
                </w:p>
              </w:tc>
              <w:tc>
                <w:tcPr>
                  <w:tcW w:w="7200" w:type="dxa"/>
                </w:tcPr>
                <w:p w14:paraId="3974C8E6" w14:textId="4D8E0F8B" w:rsidR="00A01D90" w:rsidRPr="00D41D9F" w:rsidRDefault="00A01D90" w:rsidP="00A01D90">
                  <w:pPr>
                    <w:autoSpaceDE w:val="0"/>
                    <w:autoSpaceDN w:val="0"/>
                    <w:adjustRightInd w:val="0"/>
                    <w:rPr>
                      <w:rFonts w:cs="Arial"/>
                      <w:szCs w:val="20"/>
                    </w:rPr>
                  </w:pPr>
                  <w:r>
                    <w:rPr>
                      <w:rFonts w:cs="Arial"/>
                      <w:szCs w:val="20"/>
                    </w:rPr>
                    <w:t>Abbott Alinity c Tobramycin Calibrator Level 1</w:t>
                  </w:r>
                </w:p>
              </w:tc>
            </w:tr>
            <w:tr w:rsidR="00A01D90" w:rsidRPr="00EC40A2" w14:paraId="13C59844" w14:textId="77777777" w:rsidTr="00817F9E">
              <w:tc>
                <w:tcPr>
                  <w:tcW w:w="1867" w:type="dxa"/>
                </w:tcPr>
                <w:p w14:paraId="0C04DC61" w14:textId="6ECC1AA2" w:rsidR="00A01D90" w:rsidRPr="00EC40A2" w:rsidRDefault="00A01D90" w:rsidP="00A01D90">
                  <w:pPr>
                    <w:rPr>
                      <w:rFonts w:cs="Arial"/>
                      <w:szCs w:val="20"/>
                    </w:rPr>
                  </w:pPr>
                  <w:r>
                    <w:rPr>
                      <w:rFonts w:cs="Arial"/>
                      <w:szCs w:val="20"/>
                    </w:rPr>
                    <w:t xml:space="preserve">Manual </w:t>
                  </w:r>
                  <w:r w:rsidRPr="00EC40A2">
                    <w:rPr>
                      <w:rFonts w:cs="Arial"/>
                      <w:szCs w:val="20"/>
                    </w:rPr>
                    <w:t>Dilution:</w:t>
                  </w:r>
                </w:p>
              </w:tc>
              <w:tc>
                <w:tcPr>
                  <w:tcW w:w="7200" w:type="dxa"/>
                </w:tcPr>
                <w:p w14:paraId="31872040" w14:textId="77777777" w:rsidR="00A01D90" w:rsidRPr="00D41D9F" w:rsidRDefault="00A01D90" w:rsidP="00A01D90">
                  <w:pPr>
                    <w:autoSpaceDE w:val="0"/>
                    <w:autoSpaceDN w:val="0"/>
                    <w:adjustRightInd w:val="0"/>
                    <w:rPr>
                      <w:rFonts w:eastAsia="HelenPro-Regular" w:cs="Arial"/>
                      <w:szCs w:val="20"/>
                    </w:rPr>
                  </w:pPr>
                  <w:r w:rsidRPr="00D41D9F">
                    <w:rPr>
                      <w:rFonts w:cs="Arial"/>
                      <w:szCs w:val="20"/>
                    </w:rPr>
                    <w:t xml:space="preserve">Follow Abbott </w:t>
                  </w:r>
                  <w:hyperlink r:id="rId15" w:history="1">
                    <w:r w:rsidRPr="00D41D9F">
                      <w:rPr>
                        <w:rStyle w:val="Hyperlink"/>
                        <w:rFonts w:cs="Arial"/>
                        <w:szCs w:val="20"/>
                      </w:rPr>
                      <w:t>Alinity Operator’s Manual</w:t>
                    </w:r>
                  </w:hyperlink>
                  <w:r w:rsidRPr="00D41D9F">
                    <w:rPr>
                      <w:rFonts w:cs="Arial"/>
                      <w:szCs w:val="20"/>
                    </w:rPr>
                    <w:t xml:space="preserve"> instructions for programming automated dilutions.  </w:t>
                  </w:r>
                  <w:r w:rsidRPr="00D41D9F">
                    <w:rPr>
                      <w:rFonts w:eastAsia="HelenPro-Regular" w:cs="Arial"/>
                      <w:szCs w:val="20"/>
                    </w:rPr>
                    <w:t xml:space="preserve">The system will automatically calculate the concentration of the sample and report the result.  </w:t>
                  </w:r>
                </w:p>
                <w:p w14:paraId="27ECF4C5" w14:textId="77777777" w:rsidR="00A01D90" w:rsidRPr="00D41D9F" w:rsidRDefault="00A01D90" w:rsidP="00A01D90">
                  <w:pPr>
                    <w:autoSpaceDE w:val="0"/>
                    <w:autoSpaceDN w:val="0"/>
                    <w:adjustRightInd w:val="0"/>
                    <w:rPr>
                      <w:rFonts w:eastAsia="HelenPro-Regular" w:cs="Arial"/>
                      <w:szCs w:val="20"/>
                    </w:rPr>
                  </w:pPr>
                </w:p>
                <w:p w14:paraId="4876E1EA" w14:textId="545A6E33" w:rsidR="00A01D90" w:rsidRPr="00D41D9F" w:rsidRDefault="00A01D90" w:rsidP="00A01D90">
                  <w:pPr>
                    <w:autoSpaceDE w:val="0"/>
                    <w:autoSpaceDN w:val="0"/>
                    <w:adjustRightInd w:val="0"/>
                    <w:rPr>
                      <w:rFonts w:eastAsia="HelenPro-Regular" w:cs="Arial"/>
                      <w:szCs w:val="20"/>
                    </w:rPr>
                  </w:pPr>
                  <w:r w:rsidRPr="00D41D9F">
                    <w:rPr>
                      <w:rFonts w:eastAsia="HelenPro-Regular" w:cs="Arial"/>
                      <w:szCs w:val="20"/>
                    </w:rPr>
                    <w:t xml:space="preserve">If a diluted sample result is less than the lower value of the measuring interval of </w:t>
                  </w:r>
                  <w:r>
                    <w:rPr>
                      <w:rFonts w:eastAsia="HelenPro-Regular" w:cs="Arial"/>
                      <w:szCs w:val="20"/>
                    </w:rPr>
                    <w:t>0.3,</w:t>
                  </w:r>
                  <w:r w:rsidRPr="00D41D9F">
                    <w:rPr>
                      <w:rFonts w:eastAsia="HelenPro-Regular" w:cs="Arial"/>
                      <w:szCs w:val="20"/>
                    </w:rPr>
                    <w:t xml:space="preserve"> do not report the result. Rerun and/or investigate for other possible causes of error.</w:t>
                  </w: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0916859E"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A01D90">
              <w:rPr>
                <w:rFonts w:cs="Arial"/>
                <w:szCs w:val="20"/>
              </w:rPr>
              <w:t>0.3</w:t>
            </w:r>
            <w:r w:rsidR="00E47DE5">
              <w:rPr>
                <w:rFonts w:cs="Arial"/>
                <w:szCs w:val="20"/>
              </w:rPr>
              <w:t xml:space="preserve"> </w:t>
            </w:r>
            <w:r>
              <w:rPr>
                <w:rFonts w:cs="Arial"/>
                <w:szCs w:val="20"/>
              </w:rPr>
              <w:t xml:space="preserve">and </w:t>
            </w:r>
            <w:r w:rsidR="00A01D90">
              <w:rPr>
                <w:rFonts w:cs="Arial"/>
                <w:szCs w:val="20"/>
              </w:rPr>
              <w:t xml:space="preserve">8.0 </w:t>
            </w:r>
            <w:r w:rsidR="00A01D90">
              <w:rPr>
                <w:rFonts w:cs="Arial"/>
              </w:rPr>
              <w:t>µg/mL</w:t>
            </w:r>
            <w:r w:rsidR="00E47DE5" w:rsidRPr="00DC7421">
              <w:rPr>
                <w:rFonts w:cs="Arial"/>
                <w:szCs w:val="20"/>
              </w:rPr>
              <w:t xml:space="preserve"> </w:t>
            </w:r>
            <w:r w:rsidRPr="00DC7421">
              <w:rPr>
                <w:rFonts w:cs="Arial"/>
                <w:szCs w:val="20"/>
              </w:rPr>
              <w:t>without error messages are released</w:t>
            </w:r>
          </w:p>
          <w:p w14:paraId="512DB6C5" w14:textId="78A513DD" w:rsidR="00F84C8E" w:rsidRPr="00A01D90" w:rsidRDefault="00F84C8E" w:rsidP="00F84C8E">
            <w:pPr>
              <w:numPr>
                <w:ilvl w:val="0"/>
                <w:numId w:val="40"/>
              </w:numPr>
              <w:rPr>
                <w:rFonts w:cs="Arial"/>
                <w:szCs w:val="20"/>
              </w:rPr>
            </w:pPr>
            <w:r>
              <w:rPr>
                <w:rFonts w:cs="Arial"/>
                <w:szCs w:val="20"/>
              </w:rPr>
              <w:t xml:space="preserve">Results below </w:t>
            </w:r>
            <w:r w:rsidR="00A01D90">
              <w:rPr>
                <w:rFonts w:cs="Arial"/>
                <w:szCs w:val="20"/>
              </w:rPr>
              <w:t>0.3</w:t>
            </w:r>
            <w:r w:rsidR="00583A93">
              <w:rPr>
                <w:rFonts w:cs="Arial"/>
              </w:rPr>
              <w:t xml:space="preserve"> µg/mL</w:t>
            </w:r>
            <w:r w:rsidR="00E47DE5">
              <w:rPr>
                <w:rFonts w:cs="Arial"/>
                <w:szCs w:val="20"/>
              </w:rPr>
              <w:t xml:space="preserve"> </w:t>
            </w:r>
            <w:r>
              <w:rPr>
                <w:rFonts w:cs="Arial"/>
                <w:szCs w:val="20"/>
              </w:rPr>
              <w:t xml:space="preserve">without error messages are reported as &lt; </w:t>
            </w:r>
            <w:r w:rsidR="00A01D90">
              <w:rPr>
                <w:rFonts w:cs="Arial"/>
                <w:szCs w:val="20"/>
              </w:rPr>
              <w:t>0.3</w:t>
            </w:r>
            <w:r w:rsidR="00A01D90">
              <w:rPr>
                <w:rFonts w:cs="Arial"/>
              </w:rPr>
              <w:t xml:space="preserve"> µg/mL</w:t>
            </w:r>
          </w:p>
          <w:p w14:paraId="59A6FCBE" w14:textId="19DD53D0" w:rsidR="00A01D90" w:rsidRPr="00DC7421" w:rsidRDefault="00A01D90" w:rsidP="00F84C8E">
            <w:pPr>
              <w:numPr>
                <w:ilvl w:val="0"/>
                <w:numId w:val="40"/>
              </w:numPr>
              <w:rPr>
                <w:rFonts w:cs="Arial"/>
                <w:szCs w:val="20"/>
              </w:rPr>
            </w:pPr>
            <w:r>
              <w:rPr>
                <w:rFonts w:cs="Arial"/>
              </w:rPr>
              <w:t xml:space="preserve">Results &gt;10.0 </w:t>
            </w:r>
            <w:r w:rsidR="00583A93">
              <w:rPr>
                <w:rFonts w:cs="Arial"/>
              </w:rPr>
              <w:t xml:space="preserve">µg/mL </w:t>
            </w:r>
            <w:r>
              <w:rPr>
                <w:rFonts w:cs="Arial"/>
              </w:rPr>
              <w:t>should be diluted manually 1:2 with Tobra Calibrator 1.  Results without error flags following this dilution are reported according to critical values policy.</w:t>
            </w:r>
          </w:p>
          <w:p w14:paraId="1516BBCC" w14:textId="0EAEE0C5" w:rsidR="00EA580E" w:rsidRPr="00F84C8E" w:rsidRDefault="00F84C8E" w:rsidP="00F84C8E">
            <w:pPr>
              <w:numPr>
                <w:ilvl w:val="0"/>
                <w:numId w:val="40"/>
              </w:numPr>
              <w:rPr>
                <w:rFonts w:cs="Arial"/>
                <w:szCs w:val="20"/>
              </w:rPr>
            </w:pPr>
            <w:r>
              <w:rPr>
                <w:rFonts w:cs="Arial"/>
                <w:szCs w:val="20"/>
              </w:rPr>
              <w:t xml:space="preserve">Results &gt; </w:t>
            </w:r>
            <w:r w:rsidR="00A01D90">
              <w:rPr>
                <w:rFonts w:cs="Arial"/>
                <w:szCs w:val="20"/>
              </w:rPr>
              <w:t>20.0</w:t>
            </w:r>
            <w:r w:rsidR="00E47DE5">
              <w:rPr>
                <w:rFonts w:cs="Arial"/>
                <w:szCs w:val="20"/>
              </w:rPr>
              <w:t xml:space="preserve"> </w:t>
            </w:r>
            <w:r w:rsidRPr="00A166AA">
              <w:rPr>
                <w:rFonts w:cs="Arial"/>
                <w:szCs w:val="20"/>
              </w:rPr>
              <w:t xml:space="preserve">following </w:t>
            </w:r>
            <w:r w:rsidR="00A01D90">
              <w:rPr>
                <w:rFonts w:cs="Arial"/>
                <w:szCs w:val="20"/>
              </w:rPr>
              <w:t>manual</w:t>
            </w:r>
            <w:r>
              <w:rPr>
                <w:rFonts w:cs="Arial"/>
                <w:szCs w:val="20"/>
              </w:rPr>
              <w:t xml:space="preserve"> dilution are reported as &gt; </w:t>
            </w:r>
            <w:r w:rsidR="00A01D90">
              <w:rPr>
                <w:rFonts w:cs="Arial"/>
                <w:szCs w:val="20"/>
              </w:rPr>
              <w:t xml:space="preserve">20.0 </w:t>
            </w:r>
            <w:r w:rsidR="00A01D90">
              <w:rPr>
                <w:rFonts w:cs="Arial"/>
              </w:rPr>
              <w:t>µg/mL</w:t>
            </w:r>
          </w:p>
          <w:p w14:paraId="5CD0003C" w14:textId="77777777" w:rsidR="00F83DB0" w:rsidRPr="00DC7421" w:rsidRDefault="00F83DB0" w:rsidP="00A01D90">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176BFF42"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w:t>
            </w:r>
            <w:r w:rsidR="00EA54F9">
              <w:rPr>
                <w:rFonts w:cs="Arial"/>
                <w:szCs w:val="20"/>
              </w:rPr>
              <w:t>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1D89200" w14:textId="4F2A7C47" w:rsidR="0012612F" w:rsidRPr="0012612F" w:rsidRDefault="0012612F" w:rsidP="0012612F">
            <w:pPr>
              <w:numPr>
                <w:ilvl w:val="0"/>
                <w:numId w:val="33"/>
              </w:numPr>
              <w:rPr>
                <w:rFonts w:cs="Arial"/>
                <w:szCs w:val="20"/>
              </w:rPr>
            </w:pPr>
            <w:r>
              <w:rPr>
                <w:rFonts w:cs="Arial"/>
                <w:szCs w:val="20"/>
              </w:rPr>
              <w:t>Abbott Alinity c Tobramycin</w:t>
            </w:r>
            <w:r w:rsidRPr="0012612F">
              <w:rPr>
                <w:rFonts w:cs="Arial"/>
                <w:szCs w:val="20"/>
              </w:rPr>
              <w:t xml:space="preserve"> Reagent Kit Instructions for Use, Abbott Diagnostics Division, Abbott Park, IL USA.  Revised </w:t>
            </w:r>
            <w:r>
              <w:rPr>
                <w:rFonts w:cs="Arial"/>
                <w:szCs w:val="20"/>
              </w:rPr>
              <w:t>October 2018</w:t>
            </w:r>
          </w:p>
          <w:p w14:paraId="6C65C8DD" w14:textId="0F64B695" w:rsidR="0012612F" w:rsidRPr="0012612F" w:rsidRDefault="0012612F" w:rsidP="0012612F">
            <w:pPr>
              <w:numPr>
                <w:ilvl w:val="0"/>
                <w:numId w:val="33"/>
              </w:numPr>
              <w:rPr>
                <w:rFonts w:cs="Arial"/>
                <w:szCs w:val="20"/>
              </w:rPr>
            </w:pPr>
            <w:r w:rsidRPr="0012612F">
              <w:rPr>
                <w:rFonts w:cs="Arial"/>
                <w:szCs w:val="20"/>
              </w:rPr>
              <w:t xml:space="preserve">Abbott Alinity c </w:t>
            </w:r>
            <w:r>
              <w:rPr>
                <w:rFonts w:cs="Arial"/>
                <w:szCs w:val="20"/>
              </w:rPr>
              <w:t>Tobramycin</w:t>
            </w:r>
            <w:r w:rsidRPr="0012612F">
              <w:rPr>
                <w:rFonts w:cs="Arial"/>
                <w:szCs w:val="20"/>
              </w:rPr>
              <w:t xml:space="preserve"> Calibrator </w:t>
            </w:r>
            <w:r>
              <w:rPr>
                <w:rFonts w:cs="Arial"/>
                <w:szCs w:val="20"/>
              </w:rPr>
              <w:t xml:space="preserve">Kit </w:t>
            </w:r>
            <w:r w:rsidRPr="0012612F">
              <w:rPr>
                <w:rFonts w:cs="Arial"/>
                <w:szCs w:val="20"/>
              </w:rPr>
              <w:t xml:space="preserve">Package Insert, Abbott Diagnostics Division, Abbott Park, IL USA.  Revised </w:t>
            </w:r>
            <w:r>
              <w:rPr>
                <w:rFonts w:cs="Arial"/>
                <w:szCs w:val="20"/>
              </w:rPr>
              <w:t>March 2018</w:t>
            </w:r>
          </w:p>
          <w:p w14:paraId="17D7AF57" w14:textId="77777777" w:rsidR="0012612F" w:rsidRPr="0012612F" w:rsidRDefault="0012612F" w:rsidP="0012612F">
            <w:pPr>
              <w:numPr>
                <w:ilvl w:val="0"/>
                <w:numId w:val="33"/>
              </w:numPr>
              <w:rPr>
                <w:rFonts w:cs="Arial"/>
                <w:szCs w:val="20"/>
              </w:rPr>
            </w:pPr>
            <w:r w:rsidRPr="0012612F">
              <w:rPr>
                <w:rFonts w:cs="Arial"/>
                <w:szCs w:val="20"/>
              </w:rPr>
              <w:t>Bio-Rad Liquichek Immunoassay Plus Package Insert, Bio-Rad Laboratories, Irvine CA USA.</w:t>
            </w:r>
          </w:p>
          <w:p w14:paraId="5CD00046" w14:textId="77777777" w:rsidR="00E3253B" w:rsidRPr="00DC7421" w:rsidRDefault="00E3253B" w:rsidP="00B415C8">
            <w:pPr>
              <w:numPr>
                <w:ilvl w:val="0"/>
                <w:numId w:val="33"/>
              </w:numPr>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5BD1E6A"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6441A930" w:rsidR="00F50200" w:rsidRPr="00DC7421" w:rsidRDefault="009D1A03">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008C014B" w:rsidR="00F50200" w:rsidRPr="00DC7421" w:rsidRDefault="009D1A03">
            <w:pPr>
              <w:rPr>
                <w:rFonts w:cs="Arial"/>
                <w:iCs/>
                <w:szCs w:val="20"/>
              </w:rPr>
            </w:pPr>
            <w:r>
              <w:rPr>
                <w:rFonts w:cs="Arial"/>
                <w:iCs/>
                <w:szCs w:val="20"/>
              </w:rPr>
              <w:t>April 24,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5757CD11" w:rsidR="00F50200" w:rsidRPr="00F84C8E" w:rsidRDefault="0012612F">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5E62FC29" w:rsidR="00F50200" w:rsidRPr="00F84C8E" w:rsidRDefault="0012612F">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6709BD2" w:rsidR="00F50200" w:rsidRPr="00F84C8E" w:rsidRDefault="0012612F">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916827B" w:rsidR="00F50200" w:rsidRPr="00F84C8E" w:rsidRDefault="0012612F">
            <w:pPr>
              <w:rPr>
                <w:rFonts w:cs="Arial"/>
                <w:iCs/>
                <w:szCs w:val="20"/>
              </w:rPr>
            </w:pPr>
            <w:r>
              <w:rPr>
                <w:rFonts w:cs="Arial"/>
                <w:iCs/>
                <w:szCs w:val="20"/>
              </w:rPr>
              <w:t>Formatting, added assay number/title, dilutions, AMR, calibrations, reference interval, references, etc for new analyzer</w:t>
            </w:r>
          </w:p>
        </w:tc>
      </w:tr>
    </w:tbl>
    <w:p w14:paraId="5CD0005A" w14:textId="77777777" w:rsidR="00E3253B" w:rsidRPr="00BC1DCC" w:rsidRDefault="00E3253B" w:rsidP="007132A9">
      <w:pPr>
        <w:rPr>
          <w:rFonts w:cs="Arial"/>
        </w:rPr>
      </w:pPr>
      <w:bookmarkStart w:id="0" w:name="_GoBack"/>
      <w:bookmarkEnd w:id="0"/>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60DEABD1" w:rsidR="00B13C1A" w:rsidRPr="002E718D" w:rsidRDefault="00B13C1A" w:rsidP="002E718D">
    <w:pPr>
      <w:ind w:left="-1260" w:right="-1260"/>
      <w:rPr>
        <w:rFonts w:cs="Arial"/>
        <w:sz w:val="16"/>
      </w:rPr>
    </w:pPr>
    <w:r>
      <w:rPr>
        <w:rFonts w:cs="Arial"/>
        <w:sz w:val="16"/>
      </w:rPr>
      <w:t>Laboratory, Children’s Minnesota, 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04158">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04158">
      <w:rPr>
        <w:noProof/>
        <w:sz w:val="18"/>
      </w:rPr>
      <w:t>6</w:t>
    </w:r>
    <w:r w:rsidR="008F2C6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1EBDAB36"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3555F2">
      <w:rPr>
        <w:rFonts w:cs="Arial"/>
      </w:rPr>
      <w:t>6.851</w:t>
    </w:r>
    <w:r w:rsidR="00981A4A">
      <w:rPr>
        <w:rFonts w:cs="Arial"/>
      </w:rPr>
      <w:t xml:space="preserve"> </w:t>
    </w:r>
    <w:r w:rsidR="003555F2">
      <w:rPr>
        <w:rFonts w:cs="Arial"/>
      </w:rPr>
      <w:t>Tobramycin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6D5DEF69" w:rsidR="00B13C1A" w:rsidRDefault="00B13C1A">
    <w:pPr>
      <w:ind w:left="-1260" w:right="-1260"/>
      <w:rPr>
        <w:rFonts w:cs="Arial"/>
      </w:rPr>
    </w:pPr>
    <w:r>
      <w:rPr>
        <w:rFonts w:cs="Arial"/>
      </w:rPr>
      <w:t xml:space="preserve">Effective Date: </w:t>
    </w:r>
    <w:r w:rsidR="003555F2">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 w:numId="41">
    <w:abstractNumId w:val="3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2612F"/>
    <w:rsid w:val="0017089C"/>
    <w:rsid w:val="001A1584"/>
    <w:rsid w:val="001B58ED"/>
    <w:rsid w:val="001C1CFA"/>
    <w:rsid w:val="001C3CEF"/>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4158"/>
    <w:rsid w:val="0030640D"/>
    <w:rsid w:val="003100D1"/>
    <w:rsid w:val="003145F4"/>
    <w:rsid w:val="003171FD"/>
    <w:rsid w:val="003278F7"/>
    <w:rsid w:val="003555F2"/>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912DC"/>
    <w:rsid w:val="004A698D"/>
    <w:rsid w:val="004B5D63"/>
    <w:rsid w:val="004C14CE"/>
    <w:rsid w:val="004C6A64"/>
    <w:rsid w:val="00504F3B"/>
    <w:rsid w:val="00505D92"/>
    <w:rsid w:val="005125A4"/>
    <w:rsid w:val="005665A7"/>
    <w:rsid w:val="00575F3F"/>
    <w:rsid w:val="00583A93"/>
    <w:rsid w:val="005A7373"/>
    <w:rsid w:val="005B66A7"/>
    <w:rsid w:val="005C6F36"/>
    <w:rsid w:val="006200C0"/>
    <w:rsid w:val="00646E63"/>
    <w:rsid w:val="00655B61"/>
    <w:rsid w:val="00685D61"/>
    <w:rsid w:val="0068685C"/>
    <w:rsid w:val="00693888"/>
    <w:rsid w:val="006A26B2"/>
    <w:rsid w:val="006A2770"/>
    <w:rsid w:val="006A41B1"/>
    <w:rsid w:val="006A5A84"/>
    <w:rsid w:val="006B78CE"/>
    <w:rsid w:val="006C5661"/>
    <w:rsid w:val="006C7814"/>
    <w:rsid w:val="007132A9"/>
    <w:rsid w:val="00747868"/>
    <w:rsid w:val="007B1809"/>
    <w:rsid w:val="007B2A3E"/>
    <w:rsid w:val="007B410A"/>
    <w:rsid w:val="007B7903"/>
    <w:rsid w:val="007D65DC"/>
    <w:rsid w:val="007F5B07"/>
    <w:rsid w:val="008044BA"/>
    <w:rsid w:val="0081197E"/>
    <w:rsid w:val="0081598A"/>
    <w:rsid w:val="00824C10"/>
    <w:rsid w:val="00853155"/>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D1A03"/>
    <w:rsid w:val="009F5F31"/>
    <w:rsid w:val="00A002D3"/>
    <w:rsid w:val="00A01D90"/>
    <w:rsid w:val="00A062E1"/>
    <w:rsid w:val="00A166AA"/>
    <w:rsid w:val="00A206E5"/>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3C0D"/>
    <w:rsid w:val="00D955F6"/>
    <w:rsid w:val="00DC24D6"/>
    <w:rsid w:val="00DC7091"/>
    <w:rsid w:val="00DC7421"/>
    <w:rsid w:val="00DF5549"/>
    <w:rsid w:val="00DF6343"/>
    <w:rsid w:val="00E049CF"/>
    <w:rsid w:val="00E246BA"/>
    <w:rsid w:val="00E3253B"/>
    <w:rsid w:val="00E47DE5"/>
    <w:rsid w:val="00E55C7B"/>
    <w:rsid w:val="00E93074"/>
    <w:rsid w:val="00EA2B3F"/>
    <w:rsid w:val="00EA54F9"/>
    <w:rsid w:val="00EA580E"/>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486088E5-01B6-45A3-B360-8B0A61C6A90A}">
  <ds:schemaRefs>
    <ds:schemaRef ds:uri="http://schemas.microsoft.com/office/infopath/2007/PartnerControls"/>
    <ds:schemaRef ds:uri="http://schemas.microsoft.com/sharepoint.v3"/>
    <ds:schemaRef ds:uri="http://schemas.openxmlformats.org/package/2006/metadata/core-properties"/>
    <ds:schemaRef ds:uri="http://purl.org/dc/terms/"/>
    <ds:schemaRef ds:uri="http://purl.org/dc/dcmitype/"/>
    <ds:schemaRef ds:uri="http://schemas.microsoft.com/office/2006/metadata/properties"/>
    <ds:schemaRef ds:uri="http://schemas.microsoft.com/sharepoint/v3/fields"/>
    <ds:schemaRef ds:uri="c1848e11-9cf6-4ce4-877e-6837d2c2fa23"/>
    <ds:schemaRef ds:uri="199f0838-75a6-4f0c-9be1-f2c07140bccc"/>
    <ds:schemaRef ds:uri="http://schemas.microsoft.com/office/2006/documentManagement/typ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C930ECC4-3DC0-422A-BD33-15470DE7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1975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13724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2020-11-11T02:08:00Z</dcterms:created>
  <dcterms:modified xsi:type="dcterms:W3CDTF">2021-01-14T18:22:00Z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