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572EA036" w:rsidR="006C5661" w:rsidRDefault="00E537DC">
            <w:pPr>
              <w:rPr>
                <w:rFonts w:cs="Arial"/>
                <w:b/>
                <w:bCs/>
                <w:color w:val="0000FF"/>
              </w:rPr>
            </w:pPr>
            <w:r w:rsidRPr="00E537DC">
              <w:rPr>
                <w:rFonts w:cs="Arial"/>
                <w:b/>
                <w:bCs/>
                <w:color w:val="0000FF"/>
                <w:sz w:val="36"/>
              </w:rPr>
              <w:t>Transferrin</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49719E04" w:rsidR="00E3253B" w:rsidRDefault="00A34EE2" w:rsidP="00945962">
            <w:pPr>
              <w:autoSpaceDE w:val="0"/>
              <w:autoSpaceDN w:val="0"/>
              <w:adjustRightInd w:val="0"/>
              <w:rPr>
                <w:rFonts w:cs="Arial"/>
                <w:color w:val="000000"/>
                <w:szCs w:val="20"/>
              </w:rPr>
            </w:pPr>
            <w:r w:rsidRPr="00DC7421">
              <w:rPr>
                <w:rStyle w:val="A7"/>
                <w:rFonts w:cs="Arial"/>
                <w:b w:val="0"/>
                <w:bCs w:val="0"/>
                <w:sz w:val="20"/>
                <w:szCs w:val="20"/>
              </w:rPr>
              <w:t>This procedure provides instructions</w:t>
            </w:r>
            <w:r w:rsidR="00945962">
              <w:rPr>
                <w:rStyle w:val="A7"/>
                <w:rFonts w:cs="Arial"/>
                <w:b w:val="0"/>
                <w:bCs w:val="0"/>
                <w:sz w:val="20"/>
                <w:szCs w:val="20"/>
              </w:rPr>
              <w:t xml:space="preserve"> for performing</w:t>
            </w:r>
            <w:r w:rsidRPr="00DC7421">
              <w:rPr>
                <w:rStyle w:val="A7"/>
                <w:rFonts w:cs="Arial"/>
                <w:b w:val="0"/>
                <w:bCs w:val="0"/>
                <w:sz w:val="20"/>
                <w:szCs w:val="20"/>
              </w:rPr>
              <w:t xml:space="preserve"> </w:t>
            </w:r>
            <w:r w:rsidR="00945962">
              <w:rPr>
                <w:rFonts w:cs="Arial"/>
                <w:color w:val="000000"/>
                <w:szCs w:val="20"/>
              </w:rPr>
              <w:t>TRANSFERRIN</w:t>
            </w:r>
            <w:r w:rsidR="00E537DC">
              <w:rPr>
                <w:rFonts w:cs="Arial"/>
                <w:color w:val="000000"/>
                <w:szCs w:val="20"/>
              </w:rPr>
              <w:t xml:space="preserve"> </w:t>
            </w:r>
            <w:r w:rsidR="00945962">
              <w:rPr>
                <w:rStyle w:val="A7"/>
                <w:rFonts w:cs="Arial"/>
                <w:b w:val="0"/>
                <w:bCs w:val="0"/>
                <w:sz w:val="20"/>
                <w:szCs w:val="20"/>
              </w:rPr>
              <w:t>on</w:t>
            </w:r>
            <w:r w:rsidRPr="00DC7421">
              <w:rPr>
                <w:rStyle w:val="A7"/>
                <w:rFonts w:cs="Arial"/>
                <w:b w:val="0"/>
                <w:bCs w:val="0"/>
                <w:sz w:val="20"/>
                <w:szCs w:val="20"/>
              </w:rPr>
              <w:t xml:space="preserve"> ABBOTT</w:t>
            </w:r>
            <w:r w:rsidR="00945962">
              <w:rPr>
                <w:rStyle w:val="A7"/>
                <w:rFonts w:cs="Arial"/>
                <w:b w:val="0"/>
                <w:bCs w:val="0"/>
                <w:sz w:val="20"/>
                <w:szCs w:val="20"/>
              </w:rPr>
              <w:t xml:space="preserve"> </w:t>
            </w:r>
            <w:r w:rsidRPr="00DC7421">
              <w:rPr>
                <w:rStyle w:val="A7"/>
                <w:rFonts w:cs="Arial"/>
                <w:b w:val="0"/>
                <w:bCs w:val="0"/>
                <w:sz w:val="20"/>
                <w:szCs w:val="20"/>
              </w:rPr>
              <w:t>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945962" w:rsidRPr="00945962">
              <w:rPr>
                <w:rStyle w:val="A7"/>
                <w:rFonts w:cs="Arial"/>
                <w:b w:val="0"/>
                <w:bCs w:val="0"/>
                <w:sz w:val="20"/>
                <w:szCs w:val="20"/>
              </w:rPr>
              <w:t>The Alinity c Transferrin assay is used for the quantitation of</w:t>
            </w:r>
            <w:r w:rsidR="00945962">
              <w:rPr>
                <w:rStyle w:val="A7"/>
                <w:rFonts w:cs="Arial"/>
                <w:b w:val="0"/>
                <w:bCs w:val="0"/>
                <w:sz w:val="20"/>
                <w:szCs w:val="20"/>
              </w:rPr>
              <w:t xml:space="preserve"> </w:t>
            </w:r>
            <w:r w:rsidR="00945962" w:rsidRPr="00945962">
              <w:rPr>
                <w:rStyle w:val="A7"/>
                <w:rFonts w:cs="Arial"/>
                <w:b w:val="0"/>
                <w:bCs w:val="0"/>
                <w:sz w:val="20"/>
                <w:szCs w:val="20"/>
              </w:rPr>
              <w:t>transferrin in human serum or plasma on the Alinity 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2DC6D775"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r w:rsidR="00424D80">
              <w:rPr>
                <w:rFonts w:cs="Arial"/>
                <w:szCs w:val="20"/>
              </w:rPr>
              <w:t>, Minneapolis</w:t>
            </w:r>
            <w:r w:rsidRPr="001A1584">
              <w:rPr>
                <w:rFonts w:cs="Arial"/>
                <w:szCs w:val="20"/>
              </w:rPr>
              <w:t>.</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DB81DF0" w14:textId="2C9C95E2" w:rsidR="00E537DC" w:rsidRDefault="00E537DC" w:rsidP="00E537DC">
            <w:pPr>
              <w:pStyle w:val="Header"/>
              <w:rPr>
                <w:rFonts w:cs="Arial"/>
                <w:color w:val="000000"/>
                <w:szCs w:val="20"/>
              </w:rPr>
            </w:pPr>
            <w:r w:rsidRPr="00E537DC">
              <w:rPr>
                <w:rFonts w:cs="Arial"/>
                <w:color w:val="000000"/>
                <w:szCs w:val="20"/>
              </w:rPr>
              <w:t>The Alinity c Transferrin assay is a</w:t>
            </w:r>
            <w:r>
              <w:rPr>
                <w:rFonts w:cs="Arial"/>
                <w:color w:val="000000"/>
                <w:szCs w:val="20"/>
              </w:rPr>
              <w:t xml:space="preserve">n immunoturbidimetric procedure </w:t>
            </w:r>
            <w:r w:rsidRPr="00E537DC">
              <w:rPr>
                <w:rFonts w:cs="Arial"/>
                <w:color w:val="000000"/>
                <w:szCs w:val="20"/>
              </w:rPr>
              <w:t>that measures increasing sample tu</w:t>
            </w:r>
            <w:r>
              <w:rPr>
                <w:rFonts w:cs="Arial"/>
                <w:color w:val="000000"/>
                <w:szCs w:val="20"/>
              </w:rPr>
              <w:t xml:space="preserve">rbidity caused by the formation </w:t>
            </w:r>
            <w:r w:rsidRPr="00E537DC">
              <w:rPr>
                <w:rFonts w:cs="Arial"/>
                <w:color w:val="000000"/>
                <w:szCs w:val="20"/>
              </w:rPr>
              <w:t xml:space="preserve">of insoluble immune complexes </w:t>
            </w:r>
            <w:r>
              <w:rPr>
                <w:rFonts w:cs="Arial"/>
                <w:color w:val="000000"/>
                <w:szCs w:val="20"/>
              </w:rPr>
              <w:t xml:space="preserve">when antibody to transferrin is added </w:t>
            </w:r>
            <w:r w:rsidRPr="00E537DC">
              <w:rPr>
                <w:rFonts w:cs="Arial"/>
                <w:color w:val="000000"/>
                <w:szCs w:val="20"/>
              </w:rPr>
              <w:t>to the sample. Sample containing transferrin is incubat</w:t>
            </w:r>
            <w:r>
              <w:rPr>
                <w:rFonts w:cs="Arial"/>
                <w:color w:val="000000"/>
                <w:szCs w:val="20"/>
              </w:rPr>
              <w:t>ed with a buffer (R1</w:t>
            </w:r>
            <w:r w:rsidRPr="00E537DC">
              <w:rPr>
                <w:rFonts w:cs="Arial"/>
                <w:color w:val="000000"/>
                <w:szCs w:val="20"/>
              </w:rPr>
              <w:t>) and a sample b</w:t>
            </w:r>
            <w:r>
              <w:rPr>
                <w:rFonts w:cs="Arial"/>
                <w:color w:val="000000"/>
                <w:szCs w:val="20"/>
              </w:rPr>
              <w:t xml:space="preserve">lank determination is performed </w:t>
            </w:r>
            <w:r w:rsidRPr="00E537DC">
              <w:rPr>
                <w:rFonts w:cs="Arial"/>
                <w:color w:val="000000"/>
                <w:szCs w:val="20"/>
              </w:rPr>
              <w:t>prior to the add</w:t>
            </w:r>
            <w:r>
              <w:rPr>
                <w:rFonts w:cs="Arial"/>
                <w:color w:val="000000"/>
                <w:szCs w:val="20"/>
              </w:rPr>
              <w:t xml:space="preserve">ition of transferrin antibody (R2). In the presence of </w:t>
            </w:r>
            <w:r w:rsidRPr="00E537DC">
              <w:rPr>
                <w:rFonts w:cs="Arial"/>
                <w:color w:val="000000"/>
                <w:szCs w:val="20"/>
              </w:rPr>
              <w:t>an appropriate antibody in excess, t</w:t>
            </w:r>
            <w:r>
              <w:rPr>
                <w:rFonts w:cs="Arial"/>
                <w:color w:val="000000"/>
                <w:szCs w:val="20"/>
              </w:rPr>
              <w:t xml:space="preserve">he transferrin concentration is </w:t>
            </w:r>
            <w:r w:rsidRPr="00E537DC">
              <w:rPr>
                <w:rFonts w:cs="Arial"/>
                <w:color w:val="000000"/>
                <w:szCs w:val="20"/>
              </w:rPr>
              <w:t>measured as a function of turbidity.</w:t>
            </w:r>
          </w:p>
          <w:p w14:paraId="5AA6B1AB" w14:textId="77777777" w:rsidR="00E537DC" w:rsidRPr="00E537DC" w:rsidRDefault="00E537DC" w:rsidP="00E537DC">
            <w:pPr>
              <w:pStyle w:val="Header"/>
              <w:rPr>
                <w:rFonts w:cs="Arial"/>
                <w:color w:val="000000"/>
                <w:szCs w:val="20"/>
              </w:rPr>
            </w:pPr>
          </w:p>
          <w:p w14:paraId="1B6184AA" w14:textId="77777777" w:rsidR="00E537DC" w:rsidRDefault="00E537DC" w:rsidP="00E537DC">
            <w:pPr>
              <w:pStyle w:val="Header"/>
              <w:rPr>
                <w:rFonts w:cs="Arial"/>
                <w:color w:val="000000"/>
                <w:szCs w:val="20"/>
              </w:rPr>
            </w:pPr>
            <w:r w:rsidRPr="00E537DC">
              <w:rPr>
                <w:rFonts w:cs="Arial"/>
                <w:b/>
                <w:color w:val="000000"/>
                <w:szCs w:val="20"/>
              </w:rPr>
              <w:t>Methodology:</w:t>
            </w:r>
            <w:r w:rsidRPr="00E537DC">
              <w:rPr>
                <w:rFonts w:cs="Arial"/>
                <w:color w:val="000000"/>
                <w:szCs w:val="20"/>
              </w:rPr>
              <w:t xml:space="preserve"> Immunoturbidimetric</w:t>
            </w:r>
          </w:p>
          <w:p w14:paraId="3D30F99C" w14:textId="77777777" w:rsidR="00945962" w:rsidRPr="00E537DC" w:rsidRDefault="00945962" w:rsidP="00E537DC">
            <w:pPr>
              <w:pStyle w:val="Header"/>
              <w:rPr>
                <w:rFonts w:cs="Arial"/>
                <w:color w:val="000000"/>
                <w:szCs w:val="20"/>
              </w:rPr>
            </w:pPr>
          </w:p>
          <w:p w14:paraId="22B60D82" w14:textId="77777777" w:rsidR="006C5661" w:rsidRDefault="00E537DC" w:rsidP="00E537DC">
            <w:pPr>
              <w:pStyle w:val="Header"/>
              <w:rPr>
                <w:rFonts w:cs="Arial"/>
                <w:color w:val="000000"/>
                <w:szCs w:val="20"/>
              </w:rPr>
            </w:pPr>
            <w:r w:rsidRPr="00E537DC">
              <w:rPr>
                <w:rFonts w:cs="Arial"/>
                <w:color w:val="000000"/>
                <w:szCs w:val="20"/>
              </w:rPr>
              <w:t>For additional information on system</w:t>
            </w:r>
            <w:r>
              <w:rPr>
                <w:rFonts w:cs="Arial"/>
                <w:color w:val="000000"/>
                <w:szCs w:val="20"/>
              </w:rPr>
              <w:t xml:space="preserve"> and assay technology, refer to </w:t>
            </w:r>
            <w:r w:rsidRPr="00E537DC">
              <w:rPr>
                <w:rFonts w:cs="Arial"/>
                <w:color w:val="000000"/>
                <w:szCs w:val="20"/>
              </w:rPr>
              <w:t>the Alinity ci-series Operations Manual, Section 3.</w:t>
            </w:r>
          </w:p>
          <w:p w14:paraId="5CCFFF81" w14:textId="0C52AC3F" w:rsidR="00945962" w:rsidRPr="00DC7421" w:rsidRDefault="00945962" w:rsidP="00E537DC">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06A37067" w14:textId="162815BE" w:rsidR="00E537DC" w:rsidRPr="00E537DC" w:rsidRDefault="00E537DC" w:rsidP="00E537DC">
            <w:r w:rsidRPr="00E537DC">
              <w:t xml:space="preserve">Transferrin is a </w:t>
            </w:r>
            <w:r w:rsidRPr="00E537DC">
              <w:rPr>
                <w:rFonts w:hint="eastAsia"/>
              </w:rPr>
              <w:t>β</w:t>
            </w:r>
            <w:r w:rsidRPr="00E537DC">
              <w:t>-globulin, synthesized primarily in the liver, which</w:t>
            </w:r>
            <w:r>
              <w:t xml:space="preserve"> </w:t>
            </w:r>
            <w:r w:rsidRPr="00E537DC">
              <w:t>is the principal protein responsible for iron transport. Transferrin</w:t>
            </w:r>
            <w:r>
              <w:t xml:space="preserve"> </w:t>
            </w:r>
            <w:r w:rsidRPr="00E537DC">
              <w:t>transports ferric ions from the iron stores of intracellular or mucosal</w:t>
            </w:r>
            <w:r>
              <w:t xml:space="preserve"> </w:t>
            </w:r>
            <w:r w:rsidRPr="00E537DC">
              <w:t>ferritin to bone marrow where erythrocyte precursors and other cells</w:t>
            </w:r>
            <w:r>
              <w:t xml:space="preserve"> </w:t>
            </w:r>
            <w:r w:rsidRPr="00E537DC">
              <w:t>have transferrin surface receptors.</w:t>
            </w:r>
            <w:r>
              <w:t xml:space="preserve"> </w:t>
            </w:r>
            <w:r w:rsidRPr="00E537DC">
              <w:t>Transferrin is responsible for 50%</w:t>
            </w:r>
            <w:r>
              <w:t xml:space="preserve"> </w:t>
            </w:r>
            <w:r w:rsidRPr="00E537DC">
              <w:t>to 70% of the iron binding capacity of serum. Since other proteins</w:t>
            </w:r>
            <w:r>
              <w:t xml:space="preserve"> </w:t>
            </w:r>
            <w:r w:rsidRPr="00E537DC">
              <w:t>may bind iron, transferrin concentration correlates with, but is not</w:t>
            </w:r>
            <w:r>
              <w:t xml:space="preserve"> </w:t>
            </w:r>
            <w:r w:rsidRPr="00E537DC">
              <w:t>identical to, Total Iron Binding Capacity (TIBC).</w:t>
            </w:r>
            <w:r>
              <w:t xml:space="preserve"> </w:t>
            </w:r>
            <w:r w:rsidRPr="00E537DC">
              <w:t>Indications for transferrin quantitation include: screening for</w:t>
            </w:r>
            <w:r>
              <w:t xml:space="preserve"> </w:t>
            </w:r>
            <w:r w:rsidRPr="00E537DC">
              <w:t>nutritional status; differential diagnosis of anemia; and monitoring</w:t>
            </w:r>
            <w:r>
              <w:t xml:space="preserve"> </w:t>
            </w:r>
            <w:r w:rsidRPr="00E537DC">
              <w:t>anemia treatment. Iron deficiency and iron overload are best</w:t>
            </w:r>
            <w:r>
              <w:t xml:space="preserve"> </w:t>
            </w:r>
            <w:r w:rsidRPr="00E537DC">
              <w:t>diagnosed using a combination of iron, transferrin, and ferritin</w:t>
            </w:r>
            <w:r>
              <w:t xml:space="preserve"> </w:t>
            </w:r>
            <w:r w:rsidRPr="00E537DC">
              <w:t>determinations.</w:t>
            </w:r>
          </w:p>
          <w:p w14:paraId="57BBCE90" w14:textId="77777777" w:rsidR="00E537DC" w:rsidRDefault="00E537DC" w:rsidP="00E537DC"/>
          <w:p w14:paraId="661CCB9B" w14:textId="6AA0B8ED" w:rsidR="002462C0" w:rsidRDefault="00E537DC" w:rsidP="00E537DC">
            <w:r w:rsidRPr="00E537DC">
              <w:t>Transferrin is considered to belong to a group of proteins, along with</w:t>
            </w:r>
            <w:r>
              <w:t xml:space="preserve"> </w:t>
            </w:r>
            <w:r w:rsidRPr="00E537DC">
              <w:t xml:space="preserve">albumin, prealbumin, and </w:t>
            </w:r>
            <w:r w:rsidRPr="00E537DC">
              <w:rPr>
                <w:rFonts w:hint="eastAsia"/>
              </w:rPr>
              <w:t>β</w:t>
            </w:r>
            <w:r w:rsidRPr="00E537DC">
              <w:t>-lipoprotein, referred to as negative acute</w:t>
            </w:r>
            <w:r>
              <w:t xml:space="preserve"> </w:t>
            </w:r>
            <w:r w:rsidRPr="00E537DC">
              <w:t>phase reactants (APRs). Negative APRs are found in decreased</w:t>
            </w:r>
            <w:r>
              <w:t xml:space="preserve"> </w:t>
            </w:r>
            <w:r w:rsidRPr="00E537DC">
              <w:t>levels in response to inflammation, necrosis, or malignancy.</w:t>
            </w:r>
            <w:r>
              <w:t xml:space="preserve"> </w:t>
            </w:r>
            <w:r w:rsidRPr="00E537DC">
              <w:t>Decreased levels of transferrin are also associated with conditions</w:t>
            </w:r>
            <w:r>
              <w:t xml:space="preserve"> </w:t>
            </w:r>
            <w:r w:rsidRPr="00E537DC">
              <w:t>involving chronic liver disease, malnutrition, nephrotic syndrome,</w:t>
            </w:r>
            <w:r w:rsidR="00932D51">
              <w:t xml:space="preserve"> </w:t>
            </w:r>
            <w:r w:rsidR="00945962">
              <w:t>p</w:t>
            </w:r>
            <w:r w:rsidRPr="00E537DC">
              <w:t>rotein-losing enteropathies, iron overload due to multiple transfusion</w:t>
            </w:r>
            <w:r>
              <w:t xml:space="preserve"> </w:t>
            </w:r>
            <w:r w:rsidRPr="00E537DC">
              <w:t>or hereditary hemochromatosis, and congenital atransferrinemia.</w:t>
            </w:r>
            <w:r>
              <w:t xml:space="preserve"> </w:t>
            </w:r>
            <w:r w:rsidRPr="00E537DC">
              <w:t>Transferrin Index (calculated as serum iron/transferrin) has been</w:t>
            </w:r>
            <w:r>
              <w:t xml:space="preserve"> </w:t>
            </w:r>
            <w:r w:rsidRPr="00E537DC">
              <w:t>suggested as a better screen for iron overload.</w:t>
            </w:r>
            <w:r>
              <w:t xml:space="preserve"> </w:t>
            </w:r>
            <w:r w:rsidRPr="00E537DC">
              <w:t>Elevated levels of transferrin are associated with iron deficiency</w:t>
            </w:r>
            <w:r>
              <w:t xml:space="preserve"> </w:t>
            </w:r>
            <w:r w:rsidRPr="00E537DC">
              <w:t>anemia where elevated transferrin often precedes the appearance of</w:t>
            </w:r>
            <w:r>
              <w:t xml:space="preserve"> </w:t>
            </w:r>
            <w:r w:rsidRPr="00E537DC">
              <w:t>anemia by days to months. Transferrin levels are also elevated with</w:t>
            </w:r>
            <w:r>
              <w:t xml:space="preserve"> </w:t>
            </w:r>
            <w:r w:rsidRPr="00E537DC">
              <w:t>increased estrogen due to pregnancy, oral contraceptives, etc.</w:t>
            </w:r>
          </w:p>
          <w:p w14:paraId="5CCFFF86" w14:textId="77C1F5E5" w:rsidR="00945962" w:rsidRPr="00370B0F" w:rsidRDefault="00945962" w:rsidP="00E537DC"/>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215572AB"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w:t>
            </w:r>
            <w:r w:rsidR="00945962">
              <w:rPr>
                <w:rFonts w:cs="Arial"/>
                <w:b/>
                <w:bCs/>
                <w:color w:val="7030A0"/>
                <w:szCs w:val="20"/>
              </w:rPr>
              <w:t>i (Sunquest method code: MAC</w:t>
            </w:r>
            <w:r>
              <w:rPr>
                <w:rFonts w:cs="Arial"/>
                <w:b/>
                <w:bCs/>
                <w:color w:val="7030A0"/>
                <w:szCs w:val="20"/>
              </w:rPr>
              <w:t>C)</w:t>
            </w:r>
          </w:p>
          <w:p w14:paraId="5CCFFF89" w14:textId="639C422B" w:rsidR="00DC6EF7" w:rsidRDefault="00945962" w:rsidP="006B78CE">
            <w:pPr>
              <w:pStyle w:val="BodyText2"/>
              <w:spacing w:after="60" w:line="240" w:lineRule="auto"/>
              <w:rPr>
                <w:rFonts w:cs="Arial"/>
                <w:bCs/>
                <w:color w:val="7030A0"/>
                <w:szCs w:val="20"/>
              </w:rPr>
            </w:pPr>
            <w:r>
              <w:rPr>
                <w:rFonts w:cs="Arial"/>
                <w:b/>
                <w:bCs/>
                <w:szCs w:val="20"/>
              </w:rPr>
              <w:t>Backup:</w:t>
            </w:r>
            <w:r>
              <w:rPr>
                <w:rFonts w:cs="Arial"/>
                <w:bCs/>
                <w:szCs w:val="20"/>
              </w:rPr>
              <w:t xml:space="preserve"> </w:t>
            </w:r>
            <w:r w:rsidR="00562F80">
              <w:rPr>
                <w:rFonts w:cs="Arial"/>
                <w:bCs/>
                <w:szCs w:val="20"/>
              </w:rPr>
              <w:t>Hold until instrument is back in service.  Send to Mayo if directed by provider.</w:t>
            </w:r>
            <w:bookmarkStart w:id="0" w:name="_GoBack"/>
            <w:bookmarkEnd w:id="0"/>
            <w:r>
              <w:rPr>
                <w:rFonts w:cs="Arial"/>
                <w:bCs/>
                <w:szCs w:val="20"/>
              </w:rPr>
              <w:t xml:space="preserve"> </w:t>
            </w:r>
          </w:p>
          <w:p w14:paraId="137A8FC5" w14:textId="77777777" w:rsidR="00DC6EF7" w:rsidRPr="00DC6EF7" w:rsidRDefault="00DC6EF7" w:rsidP="00DC6EF7"/>
          <w:p w14:paraId="36CDA67A" w14:textId="77777777" w:rsidR="00DC6EF7" w:rsidRPr="00DC6EF7" w:rsidRDefault="00DC6EF7" w:rsidP="00DC6EF7"/>
          <w:p w14:paraId="49A1A47F" w14:textId="77777777" w:rsidR="00DC6EF7" w:rsidRPr="00DC6EF7" w:rsidRDefault="00DC6EF7" w:rsidP="00DC6EF7"/>
          <w:p w14:paraId="34B777A5" w14:textId="77777777" w:rsidR="00DC6EF7" w:rsidRPr="00DC6EF7" w:rsidRDefault="00DC6EF7" w:rsidP="00DC6EF7"/>
          <w:p w14:paraId="2C7C1577" w14:textId="77777777" w:rsidR="00DC6EF7" w:rsidRPr="00DC6EF7" w:rsidRDefault="00DC6EF7" w:rsidP="00DC6EF7"/>
          <w:p w14:paraId="36EE9648" w14:textId="77777777" w:rsidR="00DC6EF7" w:rsidRPr="00DC6EF7" w:rsidRDefault="00DC6EF7" w:rsidP="00DC6EF7"/>
          <w:p w14:paraId="235DD8B6" w14:textId="77777777" w:rsidR="00DC6EF7" w:rsidRPr="00DC6EF7" w:rsidRDefault="00DC6EF7" w:rsidP="00DC6EF7"/>
          <w:p w14:paraId="1D5B1F2B" w14:textId="77777777" w:rsidR="00DC6EF7" w:rsidRPr="00DC6EF7" w:rsidRDefault="00DC6EF7" w:rsidP="00DC6EF7"/>
          <w:p w14:paraId="3E417E1D" w14:textId="77777777" w:rsidR="00DC6EF7" w:rsidRPr="00DC6EF7" w:rsidRDefault="00DC6EF7" w:rsidP="00DC6EF7"/>
          <w:p w14:paraId="3A6955DC" w14:textId="77777777" w:rsidR="00DC6EF7" w:rsidRPr="00DC6EF7" w:rsidRDefault="00DC6EF7" w:rsidP="00DC6EF7"/>
          <w:p w14:paraId="51B7469E" w14:textId="77777777" w:rsidR="00DC6EF7" w:rsidRPr="00DC6EF7" w:rsidRDefault="00DC6EF7" w:rsidP="00DC6EF7"/>
          <w:p w14:paraId="1526F4C4" w14:textId="77777777" w:rsidR="00DC6EF7" w:rsidRPr="00DC6EF7" w:rsidRDefault="00DC6EF7" w:rsidP="00DC6EF7"/>
          <w:p w14:paraId="236770C7" w14:textId="77777777" w:rsidR="00DC6EF7" w:rsidRPr="00DC6EF7" w:rsidRDefault="00DC6EF7" w:rsidP="00DC6EF7"/>
          <w:p w14:paraId="08B69964" w14:textId="77777777" w:rsidR="00DC6EF7" w:rsidRPr="00DC6EF7" w:rsidRDefault="00DC6EF7" w:rsidP="00DC6EF7"/>
          <w:p w14:paraId="5C4572FE" w14:textId="77777777" w:rsidR="00DC6EF7" w:rsidRPr="00DC6EF7" w:rsidRDefault="00DC6EF7" w:rsidP="00DC6EF7"/>
          <w:p w14:paraId="313A9177" w14:textId="6F5954DC" w:rsidR="006200C0" w:rsidRPr="00DC6EF7" w:rsidRDefault="00DC6EF7" w:rsidP="00DC6EF7">
            <w:pPr>
              <w:tabs>
                <w:tab w:val="left" w:pos="1797"/>
              </w:tabs>
            </w:pPr>
            <w:r>
              <w:tab/>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lastRenderedPageBreak/>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3BE73201" w14:textId="33EAEC25" w:rsidR="00DC6EF7" w:rsidRPr="00DC6EF7" w:rsidRDefault="00945962" w:rsidP="00DC6EF7">
            <w:pPr>
              <w:rPr>
                <w:b/>
              </w:rPr>
            </w:pPr>
            <w:r>
              <w:rPr>
                <w:b/>
              </w:rPr>
              <w:t>TRAF</w:t>
            </w:r>
          </w:p>
          <w:p w14:paraId="1D2D3144" w14:textId="77777777" w:rsidR="00370B0F" w:rsidRPr="00DC6EF7" w:rsidRDefault="00370B0F" w:rsidP="00DC6EF7"/>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7EFF4EAB"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A47941">
              <w:rPr>
                <w:rStyle w:val="BoldBodyText"/>
                <w:rFonts w:ascii="Arial" w:hAnsi="Arial" w:cs="Arial"/>
                <w:b w:val="0"/>
                <w:bCs w:val="0"/>
                <w:sz w:val="20"/>
                <w:szCs w:val="20"/>
              </w:rPr>
              <w:t xml:space="preserve">Plasma or Serum (with or without gel barrier) </w:t>
            </w:r>
          </w:p>
          <w:p w14:paraId="34021B1C" w14:textId="2379F3EE" w:rsidR="00981A4A" w:rsidRPr="009475C8" w:rsidRDefault="0017089C">
            <w:pPr>
              <w:rPr>
                <w:rFonts w:cs="Arial"/>
                <w:b/>
                <w:szCs w:val="20"/>
              </w:rPr>
            </w:pPr>
            <w:r w:rsidRPr="009475C8">
              <w:rPr>
                <w:rFonts w:cs="Arial"/>
                <w:b/>
                <w:szCs w:val="20"/>
              </w:rPr>
              <w:t>Preferred:</w:t>
            </w:r>
            <w:r w:rsidR="006C5661" w:rsidRPr="009475C8">
              <w:rPr>
                <w:rFonts w:cs="Arial"/>
                <w:b/>
                <w:szCs w:val="20"/>
              </w:rPr>
              <w:t xml:space="preserve"> </w:t>
            </w:r>
            <w:r w:rsidR="00A47941" w:rsidRPr="00A47941">
              <w:rPr>
                <w:rFonts w:cs="Arial"/>
                <w:szCs w:val="20"/>
              </w:rPr>
              <w:t>Lithium Heparin</w:t>
            </w:r>
          </w:p>
          <w:p w14:paraId="60FE11B0" w14:textId="5994DE69" w:rsidR="0017089C" w:rsidRPr="00A47941" w:rsidRDefault="0017089C">
            <w:pPr>
              <w:rPr>
                <w:rFonts w:cs="Arial"/>
                <w:szCs w:val="20"/>
              </w:rPr>
            </w:pPr>
            <w:r w:rsidRPr="009475C8">
              <w:rPr>
                <w:rFonts w:cs="Arial"/>
                <w:b/>
                <w:szCs w:val="20"/>
              </w:rPr>
              <w:t>Alternative:</w:t>
            </w:r>
            <w:r w:rsidR="00A47941">
              <w:rPr>
                <w:rFonts w:cs="Arial"/>
                <w:b/>
                <w:szCs w:val="20"/>
              </w:rPr>
              <w:t xml:space="preserve"> </w:t>
            </w:r>
            <w:r w:rsidR="00A47941">
              <w:rPr>
                <w:rFonts w:cs="Arial"/>
                <w:szCs w:val="20"/>
              </w:rPr>
              <w:t>SST, Sodium Heparin, EDTA</w:t>
            </w:r>
          </w:p>
          <w:p w14:paraId="34F12611" w14:textId="77777777" w:rsidR="0017089C" w:rsidRPr="00DC7421" w:rsidRDefault="0017089C">
            <w:pPr>
              <w:rPr>
                <w:rFonts w:cs="Arial"/>
                <w:szCs w:val="20"/>
              </w:rPr>
            </w:pPr>
          </w:p>
          <w:p w14:paraId="5CCFFF96" w14:textId="2FA9AA3C"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A47941">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A47941">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5CCFFF99" w14:textId="7753CAED" w:rsidR="00E3253B" w:rsidRPr="009475C8" w:rsidRDefault="00BD0AE4">
            <w:pPr>
              <w:pStyle w:val="Header"/>
              <w:tabs>
                <w:tab w:val="clear" w:pos="4320"/>
                <w:tab w:val="clear" w:pos="8640"/>
              </w:tabs>
              <w:rPr>
                <w:rFonts w:cs="Arial"/>
                <w:b/>
                <w:szCs w:val="20"/>
              </w:rPr>
            </w:pPr>
            <w:r w:rsidRPr="009475C8">
              <w:rPr>
                <w:rFonts w:cs="Arial"/>
                <w:b/>
                <w:szCs w:val="20"/>
              </w:rPr>
              <w:t>2 to 8°C</w:t>
            </w:r>
            <w:r w:rsidR="00A47941">
              <w:rPr>
                <w:rFonts w:cs="Arial"/>
                <w:b/>
                <w:szCs w:val="20"/>
              </w:rPr>
              <w:t>:</w:t>
            </w:r>
            <w:r w:rsidR="00021AFC">
              <w:rPr>
                <w:rFonts w:cs="Arial"/>
                <w:b/>
                <w:szCs w:val="20"/>
              </w:rPr>
              <w:tab/>
            </w:r>
            <w:r w:rsidR="00A47941">
              <w:rPr>
                <w:rFonts w:cs="Arial"/>
                <w:b/>
                <w:szCs w:val="20"/>
              </w:rPr>
              <w:t xml:space="preserve"> </w:t>
            </w:r>
            <w:r w:rsidR="00A47941">
              <w:rPr>
                <w:rFonts w:cs="Arial"/>
                <w:szCs w:val="20"/>
              </w:rPr>
              <w:t>3 days</w:t>
            </w:r>
            <w:r w:rsidR="00437425" w:rsidRPr="009475C8">
              <w:rPr>
                <w:rFonts w:cs="Arial"/>
                <w:b/>
                <w:szCs w:val="20"/>
              </w:rPr>
              <w:tab/>
            </w:r>
          </w:p>
          <w:p w14:paraId="594E4A3A" w14:textId="6F0686BA" w:rsidR="00BD0AE4" w:rsidRDefault="00BD0AE4">
            <w:pPr>
              <w:pStyle w:val="Header"/>
              <w:tabs>
                <w:tab w:val="clear" w:pos="4320"/>
                <w:tab w:val="clear" w:pos="8640"/>
              </w:tabs>
              <w:rPr>
                <w:rFonts w:cs="Arial"/>
                <w:szCs w:val="20"/>
              </w:rPr>
            </w:pPr>
            <w:r w:rsidRPr="009475C8">
              <w:rPr>
                <w:rFonts w:cs="Arial"/>
                <w:b/>
                <w:szCs w:val="20"/>
              </w:rPr>
              <w:t>-20°C</w:t>
            </w:r>
            <w:r w:rsidR="00A47941">
              <w:rPr>
                <w:rFonts w:cs="Arial"/>
                <w:b/>
                <w:szCs w:val="20"/>
              </w:rPr>
              <w:t>:</w:t>
            </w:r>
            <w:r w:rsidR="00021AFC">
              <w:rPr>
                <w:rFonts w:cs="Arial"/>
                <w:b/>
                <w:szCs w:val="20"/>
              </w:rPr>
              <w:tab/>
            </w:r>
            <w:r w:rsidR="00021AFC">
              <w:rPr>
                <w:rFonts w:cs="Arial"/>
                <w:b/>
                <w:szCs w:val="20"/>
              </w:rPr>
              <w:tab/>
            </w:r>
            <w:r w:rsidR="00A47941">
              <w:rPr>
                <w:rFonts w:cs="Arial"/>
                <w:b/>
                <w:szCs w:val="20"/>
              </w:rPr>
              <w:t xml:space="preserve"> </w:t>
            </w:r>
            <w:r w:rsidR="00A47941">
              <w:rPr>
                <w:rFonts w:cs="Arial"/>
                <w:szCs w:val="20"/>
              </w:rPr>
              <w:t>6 months</w:t>
            </w:r>
            <w:r w:rsidR="00437425">
              <w:rPr>
                <w:rFonts w:cs="Arial"/>
                <w:szCs w:val="20"/>
              </w:rPr>
              <w:tab/>
            </w:r>
            <w:r w:rsidR="00437425">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354FB2AA" w14:textId="77777777" w:rsidR="00932D51" w:rsidRPr="00932D51" w:rsidRDefault="00932D51" w:rsidP="00932D51">
            <w:pPr>
              <w:numPr>
                <w:ilvl w:val="0"/>
                <w:numId w:val="26"/>
              </w:numPr>
              <w:jc w:val="both"/>
              <w:rPr>
                <w:rFonts w:cs="Arial"/>
                <w:szCs w:val="20"/>
              </w:rPr>
            </w:pPr>
            <w:r w:rsidRPr="00932D51">
              <w:rPr>
                <w:rFonts w:cs="Arial"/>
                <w:szCs w:val="20"/>
              </w:rPr>
              <w:t>Whole blood specimens should be centrifuged following complete clot formation, according to Specimen Processing procedures prior to analysis.</w:t>
            </w:r>
          </w:p>
          <w:p w14:paraId="4D85F3A2" w14:textId="77777777" w:rsidR="00932D51" w:rsidRPr="00932D51" w:rsidRDefault="00932D51" w:rsidP="00932D51">
            <w:pPr>
              <w:numPr>
                <w:ilvl w:val="0"/>
                <w:numId w:val="26"/>
              </w:numPr>
              <w:jc w:val="both"/>
              <w:rPr>
                <w:rFonts w:cs="Arial"/>
                <w:szCs w:val="20"/>
              </w:rPr>
            </w:pPr>
            <w:r w:rsidRPr="00932D51">
              <w:rPr>
                <w:rFonts w:cs="Arial"/>
                <w:szCs w:val="20"/>
              </w:rPr>
              <w:t>Serum or plasma should be physically separated from cells as soon as possible with a maximum limit of two hours from the time of collection.</w:t>
            </w:r>
          </w:p>
          <w:p w14:paraId="26E05975" w14:textId="77777777" w:rsidR="00932D51" w:rsidRPr="00932D51" w:rsidRDefault="00932D51" w:rsidP="00932D51">
            <w:pPr>
              <w:numPr>
                <w:ilvl w:val="0"/>
                <w:numId w:val="26"/>
              </w:numPr>
              <w:jc w:val="both"/>
              <w:rPr>
                <w:rFonts w:cs="Arial"/>
                <w:szCs w:val="20"/>
              </w:rPr>
            </w:pPr>
            <w:r w:rsidRPr="00932D51">
              <w:rPr>
                <w:rFonts w:cs="Arial"/>
                <w:szCs w:val="20"/>
              </w:rPr>
              <w:t xml:space="preserve">Specimens should be free of particulate matter. </w:t>
            </w:r>
          </w:p>
          <w:p w14:paraId="07D49B8C" w14:textId="77777777" w:rsidR="00932D51" w:rsidRPr="00932D51" w:rsidRDefault="00932D51" w:rsidP="00932D51">
            <w:pPr>
              <w:numPr>
                <w:ilvl w:val="0"/>
                <w:numId w:val="26"/>
              </w:numPr>
              <w:jc w:val="both"/>
              <w:rPr>
                <w:rFonts w:cs="Arial"/>
                <w:szCs w:val="20"/>
              </w:rPr>
            </w:pPr>
            <w:r w:rsidRPr="00932D51">
              <w:rPr>
                <w:rFonts w:cs="Arial"/>
                <w:szCs w:val="20"/>
              </w:rPr>
              <w:t xml:space="preserve">Transfer serum or plasma directly to a properly labeled pilot tube.  </w:t>
            </w:r>
          </w:p>
          <w:p w14:paraId="02600CA0" w14:textId="77777777" w:rsidR="00932D51" w:rsidRPr="00932D51" w:rsidRDefault="00932D51" w:rsidP="00932D51">
            <w:pPr>
              <w:numPr>
                <w:ilvl w:val="0"/>
                <w:numId w:val="26"/>
              </w:numPr>
              <w:jc w:val="both"/>
              <w:rPr>
                <w:rFonts w:cs="Arial"/>
                <w:szCs w:val="20"/>
              </w:rPr>
            </w:pPr>
            <w:r w:rsidRPr="00932D51">
              <w:rPr>
                <w:rFonts w:cs="Arial"/>
                <w:szCs w:val="20"/>
              </w:rPr>
              <w:t xml:space="preserve">Architect and Alinity systems utilize a specimen level detect mechanism, so special racks specific to tube-type are not required.  </w:t>
            </w:r>
          </w:p>
          <w:p w14:paraId="39D10388" w14:textId="77777777" w:rsidR="00932D51" w:rsidRPr="00932D51" w:rsidRDefault="00932D51" w:rsidP="00932D51">
            <w:pPr>
              <w:numPr>
                <w:ilvl w:val="0"/>
                <w:numId w:val="26"/>
              </w:numPr>
              <w:jc w:val="both"/>
              <w:rPr>
                <w:rFonts w:cs="Arial"/>
                <w:szCs w:val="20"/>
              </w:rPr>
            </w:pPr>
            <w:r w:rsidRPr="00932D51">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56AA5EA5"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sidR="009A0779">
              <w:rPr>
                <w:rFonts w:cs="Arial"/>
                <w:color w:val="000000"/>
                <w:szCs w:val="20"/>
              </w:rPr>
              <w:t>ges in an upright position for 8</w:t>
            </w:r>
            <w:r>
              <w:rPr>
                <w:rFonts w:cs="Arial"/>
                <w:color w:val="000000"/>
                <w:szCs w:val="20"/>
              </w:rPr>
              <w:t xml:space="preserve"> hour</w:t>
            </w:r>
            <w:r w:rsidR="00932D51">
              <w:rPr>
                <w:rFonts w:cs="Arial"/>
                <w:color w:val="000000"/>
                <w:szCs w:val="20"/>
              </w:rPr>
              <w:t>s</w:t>
            </w:r>
            <w:r w:rsidRPr="00DC7421">
              <w:rPr>
                <w:rFonts w:cs="Arial"/>
                <w:color w:val="000000"/>
                <w:szCs w:val="20"/>
              </w:rPr>
              <w:t xml:space="preserve"> before use to allow bubbles that may have formed to dissipate. </w:t>
            </w:r>
          </w:p>
          <w:p w14:paraId="666CE016" w14:textId="60FDD37B"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115DD6">
              <w:rPr>
                <w:rFonts w:cs="Arial"/>
                <w:color w:val="000000"/>
                <w:szCs w:val="20"/>
              </w:rPr>
              <w:t>8</w:t>
            </w:r>
            <w:r w:rsidRPr="00DC7421">
              <w:rPr>
                <w:rFonts w:cs="Arial"/>
                <w:color w:val="000000"/>
                <w:szCs w:val="20"/>
              </w:rPr>
              <w:t xml:space="preserve"> hour</w:t>
            </w:r>
            <w:r w:rsidR="00932D51">
              <w:rPr>
                <w:rFonts w:cs="Arial"/>
                <w:color w:val="000000"/>
                <w:szCs w:val="20"/>
              </w:rPr>
              <w:t>s</w:t>
            </w:r>
            <w:r w:rsidRPr="00DC7421">
              <w:rPr>
                <w:rFonts w:cs="Arial"/>
                <w:color w:val="000000"/>
                <w:szCs w:val="20"/>
              </w:rPr>
              <w:t xml:space="preserve">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30071507"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06955C93" w:rsidR="0081197E" w:rsidRPr="00DC7421" w:rsidRDefault="00945962" w:rsidP="009A0779">
                  <w:pPr>
                    <w:autoSpaceDE w:val="0"/>
                    <w:autoSpaceDN w:val="0"/>
                    <w:adjustRightInd w:val="0"/>
                    <w:rPr>
                      <w:rFonts w:cs="Arial"/>
                      <w:szCs w:val="20"/>
                    </w:rPr>
                  </w:pPr>
                  <w:r>
                    <w:rPr>
                      <w:rFonts w:cs="Arial"/>
                      <w:szCs w:val="20"/>
                    </w:rPr>
                    <w:t xml:space="preserve">Abbott </w:t>
                  </w:r>
                  <w:r w:rsidR="009A0779" w:rsidRPr="009A0779">
                    <w:rPr>
                      <w:rFonts w:cs="Arial"/>
                      <w:szCs w:val="20"/>
                    </w:rPr>
                    <w:t xml:space="preserve">Alinity c Transferrin Reagent Kit </w:t>
                  </w:r>
                </w:p>
              </w:tc>
              <w:tc>
                <w:tcPr>
                  <w:tcW w:w="1710" w:type="dxa"/>
                  <w:vAlign w:val="center"/>
                </w:tcPr>
                <w:p w14:paraId="78062055" w14:textId="1567C267" w:rsidR="0081197E" w:rsidRPr="00DC7421" w:rsidRDefault="00932D51" w:rsidP="0081197E">
                  <w:pPr>
                    <w:pStyle w:val="BodyText"/>
                    <w:tabs>
                      <w:tab w:val="left" w:pos="3240"/>
                    </w:tabs>
                    <w:rPr>
                      <w:rFonts w:cs="Arial"/>
                      <w:szCs w:val="20"/>
                    </w:rPr>
                  </w:pPr>
                  <w:r w:rsidRPr="00932D51">
                    <w:rPr>
                      <w:rFonts w:cs="Arial"/>
                      <w:szCs w:val="20"/>
                    </w:rPr>
                    <w:t>08P3820</w:t>
                  </w:r>
                </w:p>
              </w:tc>
              <w:tc>
                <w:tcPr>
                  <w:tcW w:w="4533" w:type="dxa"/>
                  <w:vAlign w:val="center"/>
                </w:tcPr>
                <w:p w14:paraId="1E13427C" w14:textId="47AC9DF8" w:rsidR="0081197E" w:rsidRPr="00945962" w:rsidRDefault="0081197E" w:rsidP="0081197E">
                  <w:pPr>
                    <w:pStyle w:val="Reagents"/>
                    <w:spacing w:after="80"/>
                    <w:rPr>
                      <w:rFonts w:ascii="Arial" w:eastAsia="HelenPro-Regular" w:hAnsi="Arial" w:cs="Arial"/>
                    </w:rPr>
                  </w:pPr>
                  <w:r w:rsidRPr="00945962">
                    <w:rPr>
                      <w:rFonts w:ascii="Arial" w:hAnsi="Arial" w:cs="Arial"/>
                      <w:b/>
                      <w:bCs/>
                    </w:rPr>
                    <w:t>Store at:</w:t>
                  </w:r>
                  <w:r w:rsidRPr="00945962">
                    <w:rPr>
                      <w:rFonts w:ascii="Arial" w:hAnsi="Arial" w:cs="Arial"/>
                      <w:bCs/>
                    </w:rPr>
                    <w:t xml:space="preserve"> </w:t>
                  </w:r>
                  <w:r w:rsidR="009A0779" w:rsidRPr="00945962">
                    <w:rPr>
                      <w:rFonts w:ascii="Arial" w:hAnsi="Arial" w:cs="Arial"/>
                      <w:bCs/>
                    </w:rPr>
                    <w:t>2 to 8°C</w:t>
                  </w:r>
                </w:p>
                <w:p w14:paraId="188F00FD" w14:textId="6D6422E9" w:rsidR="00115DD6" w:rsidRPr="00945962" w:rsidRDefault="0081197E" w:rsidP="0081197E">
                  <w:pPr>
                    <w:pStyle w:val="Reagents"/>
                    <w:spacing w:after="80"/>
                    <w:rPr>
                      <w:rFonts w:ascii="Arial" w:hAnsi="Arial" w:cs="Arial"/>
                      <w:b/>
                      <w:bCs/>
                    </w:rPr>
                  </w:pPr>
                  <w:r w:rsidRPr="00945962">
                    <w:rPr>
                      <w:rFonts w:ascii="Arial" w:hAnsi="Arial" w:cs="Arial"/>
                      <w:b/>
                      <w:bCs/>
                    </w:rPr>
                    <w:t xml:space="preserve">Unopened: </w:t>
                  </w:r>
                  <w:r w:rsidR="00115DD6" w:rsidRPr="00945962">
                    <w:rPr>
                      <w:rFonts w:ascii="Arial" w:hAnsi="Arial" w:cs="Arial"/>
                      <w:bCs/>
                    </w:rPr>
                    <w:t xml:space="preserve">Until </w:t>
                  </w:r>
                  <w:r w:rsidR="00945962">
                    <w:rPr>
                      <w:rFonts w:ascii="Arial" w:hAnsi="Arial" w:cs="Arial"/>
                      <w:bCs/>
                    </w:rPr>
                    <w:t xml:space="preserve">manufacturer’s printed </w:t>
                  </w:r>
                  <w:r w:rsidR="00115DD6" w:rsidRPr="00945962">
                    <w:rPr>
                      <w:rFonts w:ascii="Arial" w:hAnsi="Arial" w:cs="Arial"/>
                      <w:bCs/>
                    </w:rPr>
                    <w:t xml:space="preserve">expiration </w:t>
                  </w:r>
                  <w:r w:rsidR="00945962">
                    <w:rPr>
                      <w:rFonts w:ascii="Arial" w:hAnsi="Arial" w:cs="Arial"/>
                      <w:bCs/>
                    </w:rPr>
                    <w:t>d</w:t>
                  </w:r>
                  <w:r w:rsidR="00115DD6" w:rsidRPr="00945962">
                    <w:rPr>
                      <w:rFonts w:ascii="Arial" w:hAnsi="Arial" w:cs="Arial"/>
                      <w:bCs/>
                    </w:rPr>
                    <w:t>ate</w:t>
                  </w:r>
                </w:p>
                <w:p w14:paraId="2EC23D08" w14:textId="2255A1DE" w:rsidR="0081197E" w:rsidRPr="003F688A" w:rsidRDefault="0081197E" w:rsidP="00115DD6">
                  <w:pPr>
                    <w:pStyle w:val="Reagents"/>
                    <w:spacing w:after="80"/>
                    <w:rPr>
                      <w:rFonts w:ascii="Arial" w:hAnsi="Arial" w:cs="Arial"/>
                      <w:bCs/>
                    </w:rPr>
                  </w:pPr>
                  <w:r w:rsidRPr="00945962">
                    <w:rPr>
                      <w:rFonts w:ascii="Arial" w:hAnsi="Arial" w:cs="Arial"/>
                      <w:b/>
                      <w:bCs/>
                    </w:rPr>
                    <w:t>On-board</w:t>
                  </w:r>
                  <w:r w:rsidR="00EA2B3F" w:rsidRPr="00945962">
                    <w:rPr>
                      <w:rFonts w:ascii="Arial" w:hAnsi="Arial" w:cs="Arial"/>
                      <w:bCs/>
                    </w:rPr>
                    <w:t xml:space="preserve">: </w:t>
                  </w:r>
                  <w:r w:rsidR="009A0779" w:rsidRPr="00945962">
                    <w:rPr>
                      <w:rFonts w:ascii="Arial" w:hAnsi="Arial" w:cs="Arial"/>
                      <w:bCs/>
                    </w:rPr>
                    <w:t>57 days</w:t>
                  </w:r>
                </w:p>
              </w:tc>
            </w:tr>
            <w:tr w:rsidR="00945962" w:rsidRPr="00DC7421" w14:paraId="2A1E45AA" w14:textId="77777777" w:rsidTr="00413A69">
              <w:tc>
                <w:tcPr>
                  <w:tcW w:w="2857" w:type="dxa"/>
                  <w:vAlign w:val="center"/>
                </w:tcPr>
                <w:p w14:paraId="417AB88A" w14:textId="5AAC0B4A" w:rsidR="00945962" w:rsidRPr="00DC7421" w:rsidRDefault="00945962" w:rsidP="00945962">
                  <w:pPr>
                    <w:pStyle w:val="BodyText"/>
                    <w:spacing w:after="0"/>
                    <w:rPr>
                      <w:rFonts w:cs="Arial"/>
                      <w:szCs w:val="20"/>
                    </w:rPr>
                  </w:pPr>
                  <w:r w:rsidRPr="00303904">
                    <w:rPr>
                      <w:rFonts w:cs="Arial"/>
                      <w:bCs/>
                      <w:szCs w:val="20"/>
                    </w:rPr>
                    <w:t>Abbott Alinity c Specific Proteins Multiconstituent Calibrator Kit</w:t>
                  </w:r>
                </w:p>
              </w:tc>
              <w:tc>
                <w:tcPr>
                  <w:tcW w:w="1710" w:type="dxa"/>
                  <w:vAlign w:val="center"/>
                </w:tcPr>
                <w:p w14:paraId="1C065F4D" w14:textId="6BC53155" w:rsidR="00945962" w:rsidRPr="00DC7421" w:rsidRDefault="00945962" w:rsidP="00945962">
                  <w:pPr>
                    <w:rPr>
                      <w:rFonts w:cs="Arial"/>
                      <w:szCs w:val="20"/>
                    </w:rPr>
                  </w:pPr>
                  <w:r w:rsidRPr="00303904">
                    <w:rPr>
                      <w:rFonts w:cs="Arial"/>
                      <w:szCs w:val="20"/>
                    </w:rPr>
                    <w:t>08P6201</w:t>
                  </w:r>
                </w:p>
              </w:tc>
              <w:tc>
                <w:tcPr>
                  <w:tcW w:w="4533" w:type="dxa"/>
                  <w:vAlign w:val="center"/>
                </w:tcPr>
                <w:p w14:paraId="04FCD609" w14:textId="77777777" w:rsidR="00945962" w:rsidRPr="00303904" w:rsidRDefault="00945962" w:rsidP="00945962">
                  <w:pPr>
                    <w:pStyle w:val="Reagents"/>
                    <w:spacing w:after="80"/>
                    <w:rPr>
                      <w:rFonts w:ascii="Arial" w:hAnsi="Arial" w:cs="Arial"/>
                      <w:bCs/>
                    </w:rPr>
                  </w:pPr>
                  <w:r w:rsidRPr="00303904">
                    <w:rPr>
                      <w:rFonts w:ascii="Arial" w:hAnsi="Arial" w:cs="Arial"/>
                      <w:b/>
                      <w:bCs/>
                    </w:rPr>
                    <w:t>Store at:</w:t>
                  </w:r>
                  <w:r w:rsidRPr="00303904">
                    <w:rPr>
                      <w:rFonts w:ascii="Arial" w:hAnsi="Arial" w:cs="Arial"/>
                      <w:bCs/>
                    </w:rPr>
                    <w:t xml:space="preserve"> 2 to 8°C</w:t>
                  </w:r>
                </w:p>
                <w:p w14:paraId="72ABCE44" w14:textId="77777777" w:rsidR="00945962" w:rsidRPr="00303904" w:rsidRDefault="00945962" w:rsidP="00945962">
                  <w:pPr>
                    <w:pStyle w:val="Reagents"/>
                    <w:spacing w:after="80"/>
                    <w:rPr>
                      <w:rFonts w:ascii="Arial" w:hAnsi="Arial" w:cs="Arial"/>
                      <w:bCs/>
                    </w:rPr>
                  </w:pPr>
                  <w:r w:rsidRPr="00303904">
                    <w:rPr>
                      <w:rFonts w:ascii="Arial" w:hAnsi="Arial" w:cs="Arial"/>
                      <w:b/>
                      <w:bCs/>
                    </w:rPr>
                    <w:t>Unopened:</w:t>
                  </w:r>
                  <w:r>
                    <w:t xml:space="preserve"> </w:t>
                  </w:r>
                  <w:r w:rsidRPr="00303904">
                    <w:rPr>
                      <w:rFonts w:ascii="Arial" w:hAnsi="Arial" w:cs="Arial"/>
                      <w:bCs/>
                    </w:rPr>
                    <w:t>Until manufacturer’s printed expiration date</w:t>
                  </w:r>
                  <w:r w:rsidRPr="00303904">
                    <w:rPr>
                      <w:rFonts w:ascii="Arial" w:hAnsi="Arial" w:cs="Arial"/>
                      <w:b/>
                      <w:bCs/>
                    </w:rPr>
                    <w:t xml:space="preserve"> </w:t>
                  </w:r>
                </w:p>
                <w:p w14:paraId="4414ECFB" w14:textId="77777777" w:rsidR="00945962" w:rsidRDefault="00945962" w:rsidP="00945962">
                  <w:pPr>
                    <w:pStyle w:val="BodyText"/>
                    <w:spacing w:after="80"/>
                    <w:rPr>
                      <w:rFonts w:cs="Arial"/>
                      <w:bCs/>
                      <w:szCs w:val="20"/>
                    </w:rPr>
                  </w:pPr>
                  <w:r w:rsidRPr="00303904">
                    <w:rPr>
                      <w:rFonts w:cs="Arial"/>
                      <w:b/>
                      <w:bCs/>
                      <w:szCs w:val="20"/>
                    </w:rPr>
                    <w:t>Opened expiration:</w:t>
                  </w:r>
                  <w:r>
                    <w:rPr>
                      <w:rFonts w:cs="Arial"/>
                      <w:b/>
                      <w:bCs/>
                      <w:szCs w:val="20"/>
                    </w:rPr>
                    <w:t xml:space="preserve"> </w:t>
                  </w:r>
                  <w:r w:rsidRPr="00303904">
                    <w:rPr>
                      <w:rFonts w:cs="Arial"/>
                      <w:bCs/>
                      <w:szCs w:val="20"/>
                    </w:rPr>
                    <w:t>30 days after</w:t>
                  </w:r>
                  <w:r>
                    <w:rPr>
                      <w:rFonts w:cs="Arial"/>
                      <w:bCs/>
                      <w:szCs w:val="20"/>
                    </w:rPr>
                    <w:t xml:space="preserve"> </w:t>
                  </w:r>
                  <w:r w:rsidRPr="00303904">
                    <w:rPr>
                      <w:rFonts w:cs="Arial"/>
                      <w:bCs/>
                      <w:szCs w:val="20"/>
                    </w:rPr>
                    <w:t>opening</w:t>
                  </w:r>
                  <w:r>
                    <w:rPr>
                      <w:rFonts w:cs="Arial"/>
                      <w:bCs/>
                      <w:szCs w:val="20"/>
                    </w:rPr>
                    <w:t xml:space="preserve">. </w:t>
                  </w:r>
                  <w:r w:rsidRPr="00303904">
                    <w:rPr>
                      <w:rFonts w:cs="Arial"/>
                      <w:bCs/>
                      <w:szCs w:val="20"/>
                    </w:rPr>
                    <w:t>Store tightly capped</w:t>
                  </w:r>
                  <w:r>
                    <w:rPr>
                      <w:rFonts w:cs="Arial"/>
                      <w:bCs/>
                      <w:szCs w:val="20"/>
                    </w:rPr>
                    <w:t xml:space="preserve"> </w:t>
                  </w:r>
                  <w:r w:rsidRPr="00303904">
                    <w:rPr>
                      <w:rFonts w:cs="Arial"/>
                      <w:bCs/>
                      <w:szCs w:val="20"/>
                    </w:rPr>
                    <w:t>with new replacement</w:t>
                  </w:r>
                  <w:r>
                    <w:rPr>
                      <w:rFonts w:cs="Arial"/>
                      <w:bCs/>
                      <w:szCs w:val="20"/>
                    </w:rPr>
                    <w:t xml:space="preserve"> </w:t>
                  </w:r>
                  <w:r w:rsidRPr="00303904">
                    <w:rPr>
                      <w:rFonts w:cs="Arial"/>
                      <w:bCs/>
                      <w:szCs w:val="20"/>
                    </w:rPr>
                    <w:t>cap</w:t>
                  </w:r>
                  <w:r>
                    <w:rPr>
                      <w:rFonts w:cs="Arial"/>
                      <w:bCs/>
                      <w:szCs w:val="20"/>
                    </w:rPr>
                    <w:t>s</w:t>
                  </w:r>
                  <w:r w:rsidRPr="00303904">
                    <w:rPr>
                      <w:rFonts w:cs="Arial"/>
                      <w:bCs/>
                      <w:szCs w:val="20"/>
                    </w:rPr>
                    <w:t>.</w:t>
                  </w:r>
                  <w:r>
                    <w:rPr>
                      <w:rFonts w:cs="Arial"/>
                      <w:bCs/>
                      <w:szCs w:val="20"/>
                    </w:rPr>
                    <w:t xml:space="preserve"> </w:t>
                  </w:r>
                  <w:r w:rsidRPr="00303904">
                    <w:rPr>
                      <w:rFonts w:cs="Arial"/>
                      <w:bCs/>
                      <w:szCs w:val="20"/>
                    </w:rPr>
                    <w:t>Return to refrigerated</w:t>
                  </w:r>
                  <w:r>
                    <w:rPr>
                      <w:rFonts w:cs="Arial"/>
                      <w:bCs/>
                      <w:szCs w:val="20"/>
                    </w:rPr>
                    <w:t xml:space="preserve"> </w:t>
                  </w:r>
                  <w:r w:rsidRPr="00303904">
                    <w:rPr>
                      <w:rFonts w:cs="Arial"/>
                      <w:bCs/>
                      <w:szCs w:val="20"/>
                    </w:rPr>
                    <w:t>storage after use.</w:t>
                  </w:r>
                </w:p>
                <w:p w14:paraId="71D430C6" w14:textId="77777777" w:rsidR="00945962" w:rsidRDefault="00945962" w:rsidP="00945962">
                  <w:pPr>
                    <w:pStyle w:val="BodyText"/>
                    <w:spacing w:after="80"/>
                    <w:rPr>
                      <w:rFonts w:cs="Arial"/>
                      <w:bCs/>
                      <w:szCs w:val="20"/>
                    </w:rPr>
                  </w:pPr>
                </w:p>
                <w:p w14:paraId="746002BA" w14:textId="77777777" w:rsidR="00945962" w:rsidRDefault="00945962" w:rsidP="00945962">
                  <w:pPr>
                    <w:pStyle w:val="BodyText"/>
                    <w:spacing w:after="80"/>
                    <w:rPr>
                      <w:rFonts w:cs="Arial"/>
                      <w:bCs/>
                      <w:szCs w:val="20"/>
                    </w:rPr>
                  </w:pPr>
                  <w:r w:rsidRPr="00303904">
                    <w:rPr>
                      <w:rFonts w:cs="Arial"/>
                      <w:bCs/>
                      <w:szCs w:val="20"/>
                    </w:rPr>
                    <w:t>Lot-specific calibrator values are listed in the</w:t>
                  </w:r>
                  <w:r>
                    <w:rPr>
                      <w:rFonts w:cs="Arial"/>
                      <w:bCs/>
                      <w:szCs w:val="20"/>
                    </w:rPr>
                    <w:t xml:space="preserve"> </w:t>
                  </w:r>
                  <w:r w:rsidRPr="00303904">
                    <w:rPr>
                      <w:rFonts w:cs="Arial"/>
                      <w:bCs/>
                      <w:szCs w:val="20"/>
                    </w:rPr>
                    <w:t>Alinity c Specific</w:t>
                  </w:r>
                  <w:r>
                    <w:rPr>
                      <w:rFonts w:cs="Arial"/>
                      <w:bCs/>
                      <w:szCs w:val="20"/>
                    </w:rPr>
                    <w:t xml:space="preserve"> </w:t>
                  </w:r>
                  <w:r w:rsidRPr="00303904">
                    <w:rPr>
                      <w:rFonts w:cs="Arial"/>
                      <w:bCs/>
                      <w:szCs w:val="20"/>
                    </w:rPr>
                    <w:t xml:space="preserve">Proteins Multiconstituent </w:t>
                  </w:r>
                  <w:r>
                    <w:rPr>
                      <w:rFonts w:cs="Arial"/>
                      <w:bCs/>
                      <w:szCs w:val="20"/>
                    </w:rPr>
                    <w:t>C</w:t>
                  </w:r>
                  <w:r w:rsidRPr="00303904">
                    <w:rPr>
                      <w:rFonts w:cs="Arial"/>
                      <w:bCs/>
                      <w:szCs w:val="20"/>
                    </w:rPr>
                    <w:t>alibrator Kit value sheet, packaged with</w:t>
                  </w:r>
                  <w:r>
                    <w:rPr>
                      <w:rFonts w:cs="Arial"/>
                      <w:bCs/>
                      <w:szCs w:val="20"/>
                    </w:rPr>
                    <w:t xml:space="preserve"> </w:t>
                  </w:r>
                  <w:r w:rsidRPr="00303904">
                    <w:rPr>
                      <w:rFonts w:cs="Arial"/>
                      <w:bCs/>
                      <w:szCs w:val="20"/>
                    </w:rPr>
                    <w:t>the calibrator. Verify that the lot number listed on each calibrator</w:t>
                  </w:r>
                  <w:r>
                    <w:rPr>
                      <w:rFonts w:cs="Arial"/>
                      <w:bCs/>
                      <w:szCs w:val="20"/>
                    </w:rPr>
                    <w:t xml:space="preserve"> </w:t>
                  </w:r>
                  <w:r w:rsidRPr="00303904">
                    <w:rPr>
                      <w:rFonts w:cs="Arial"/>
                      <w:bCs/>
                      <w:szCs w:val="20"/>
                    </w:rPr>
                    <w:t>carton agrees with the lot</w:t>
                  </w:r>
                  <w:r>
                    <w:rPr>
                      <w:rFonts w:cs="Arial"/>
                      <w:bCs/>
                      <w:szCs w:val="20"/>
                    </w:rPr>
                    <w:t xml:space="preserve"> </w:t>
                  </w:r>
                  <w:r w:rsidRPr="00303904">
                    <w:rPr>
                      <w:rFonts w:cs="Arial"/>
                      <w:bCs/>
                      <w:szCs w:val="20"/>
                    </w:rPr>
                    <w:t>number printed on the value sheet. The</w:t>
                  </w:r>
                  <w:r>
                    <w:rPr>
                      <w:rFonts w:cs="Arial"/>
                      <w:bCs/>
                      <w:szCs w:val="20"/>
                    </w:rPr>
                    <w:t xml:space="preserve"> </w:t>
                  </w:r>
                  <w:r w:rsidRPr="00303904">
                    <w:rPr>
                      <w:rFonts w:cs="Arial"/>
                      <w:bCs/>
                      <w:szCs w:val="20"/>
                    </w:rPr>
                    <w:t>last two digits of the lot numbers can vary.</w:t>
                  </w:r>
                  <w:r>
                    <w:rPr>
                      <w:rFonts w:cs="Arial"/>
                      <w:bCs/>
                      <w:szCs w:val="20"/>
                    </w:rPr>
                    <w:t xml:space="preserve">  Do not change the AMR upper limit with every lot number; the chosen AMR should encompass all lots of calibrator material.  Ensure the upper AMR limit does not change from that which is printed in this procedure.</w:t>
                  </w:r>
                </w:p>
                <w:p w14:paraId="05D3D1A4" w14:textId="07027987" w:rsidR="00945962" w:rsidRPr="00DC7421" w:rsidRDefault="00945962" w:rsidP="00945962">
                  <w:pPr>
                    <w:pStyle w:val="BodyText"/>
                    <w:spacing w:after="80"/>
                    <w:rPr>
                      <w:rFonts w:cs="Arial"/>
                      <w:szCs w:val="20"/>
                    </w:rPr>
                  </w:pP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05C97A8A" w14:textId="12493FE9" w:rsidR="009475C8" w:rsidRDefault="009A0779" w:rsidP="009A0779">
            <w:pPr>
              <w:rPr>
                <w:szCs w:val="20"/>
              </w:rPr>
            </w:pPr>
            <w:r w:rsidRPr="009A0779">
              <w:rPr>
                <w:szCs w:val="20"/>
              </w:rPr>
              <w:t>This product requires the handling of human specimens.</w:t>
            </w:r>
            <w:r>
              <w:rPr>
                <w:szCs w:val="20"/>
              </w:rPr>
              <w:t xml:space="preserve"> </w:t>
            </w:r>
            <w:r w:rsidRPr="009A0779">
              <w:rPr>
                <w:szCs w:val="20"/>
              </w:rPr>
              <w:t>It is recommended that all human-sourced materials be considered</w:t>
            </w:r>
            <w:r>
              <w:rPr>
                <w:szCs w:val="20"/>
              </w:rPr>
              <w:t xml:space="preserve"> </w:t>
            </w:r>
            <w:r w:rsidRPr="009A0779">
              <w:rPr>
                <w:szCs w:val="20"/>
              </w:rPr>
              <w:t>potentially infectious and handled in accordance with the OSHA</w:t>
            </w:r>
            <w:r>
              <w:rPr>
                <w:szCs w:val="20"/>
              </w:rPr>
              <w:t xml:space="preserve"> </w:t>
            </w:r>
            <w:r w:rsidRPr="009A0779">
              <w:rPr>
                <w:szCs w:val="20"/>
              </w:rPr>
              <w:t>Standard on Bloodborne Pathogens. Biosafety Level 2 or other</w:t>
            </w:r>
            <w:r>
              <w:rPr>
                <w:szCs w:val="20"/>
              </w:rPr>
              <w:t xml:space="preserve"> </w:t>
            </w:r>
            <w:r w:rsidRPr="009A0779">
              <w:rPr>
                <w:szCs w:val="20"/>
              </w:rPr>
              <w:t>appropriate biosafety practices should be used for materials that</w:t>
            </w:r>
            <w:r>
              <w:rPr>
                <w:szCs w:val="20"/>
              </w:rPr>
              <w:t xml:space="preserve"> </w:t>
            </w:r>
            <w:r w:rsidRPr="009A0779">
              <w:rPr>
                <w:szCs w:val="20"/>
              </w:rPr>
              <w:t>contain or are suspected of containing infectious agents.</w:t>
            </w:r>
          </w:p>
          <w:p w14:paraId="00969079" w14:textId="77777777" w:rsidR="009A0779" w:rsidRDefault="009A0779" w:rsidP="009A0779">
            <w:pPr>
              <w:rPr>
                <w:szCs w:val="20"/>
              </w:rPr>
            </w:pPr>
          </w:p>
          <w:p w14:paraId="2B3111E1" w14:textId="3314FA11" w:rsidR="009A0779" w:rsidRDefault="009A0779" w:rsidP="009A0779">
            <w:pPr>
              <w:rPr>
                <w:szCs w:val="20"/>
              </w:rPr>
            </w:pPr>
            <w:r w:rsidRPr="009A0779">
              <w:rPr>
                <w:szCs w:val="20"/>
              </w:rPr>
              <w:t xml:space="preserve">The following warnings and precautions apply to: </w:t>
            </w:r>
            <w:r>
              <w:rPr>
                <w:szCs w:val="20"/>
              </w:rPr>
              <w:t xml:space="preserve">R1 </w:t>
            </w:r>
            <w:r w:rsidRPr="009A0779">
              <w:rPr>
                <w:szCs w:val="20"/>
              </w:rPr>
              <w:t>and</w:t>
            </w:r>
            <w:r>
              <w:rPr>
                <w:szCs w:val="20"/>
              </w:rPr>
              <w:t xml:space="preserve"> R2</w:t>
            </w:r>
          </w:p>
          <w:p w14:paraId="2E596795" w14:textId="66572153" w:rsidR="009A0779" w:rsidRDefault="009A0779" w:rsidP="009A0779">
            <w:pPr>
              <w:rPr>
                <w:szCs w:val="20"/>
              </w:rPr>
            </w:pPr>
            <w:r>
              <w:rPr>
                <w:noProof/>
              </w:rPr>
              <w:drawing>
                <wp:inline distT="0" distB="0" distL="0" distR="0" wp14:anchorId="37A66DA8" wp14:editId="06C98D38">
                  <wp:extent cx="533333" cy="48571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333" cy="485714"/>
                          </a:xfrm>
                          <a:prstGeom prst="rect">
                            <a:avLst/>
                          </a:prstGeom>
                        </pic:spPr>
                      </pic:pic>
                    </a:graphicData>
                  </a:graphic>
                </wp:inline>
              </w:drawing>
            </w:r>
          </w:p>
          <w:p w14:paraId="4E5CF832" w14:textId="523A54BA" w:rsidR="009A0779" w:rsidRPr="009A0779" w:rsidRDefault="009A0779" w:rsidP="009A0779">
            <w:pPr>
              <w:rPr>
                <w:szCs w:val="20"/>
              </w:rPr>
            </w:pPr>
            <w:r w:rsidRPr="009A0779">
              <w:rPr>
                <w:b/>
                <w:bCs/>
                <w:szCs w:val="20"/>
              </w:rPr>
              <w:t xml:space="preserve">WARNING </w:t>
            </w:r>
            <w:r w:rsidRPr="009A0779">
              <w:rPr>
                <w:szCs w:val="20"/>
              </w:rPr>
              <w:t>Contains alcohols, C12-14-secondary</w:t>
            </w:r>
            <w:r>
              <w:rPr>
                <w:szCs w:val="20"/>
              </w:rPr>
              <w:t xml:space="preserve"> </w:t>
            </w:r>
            <w:r w:rsidRPr="009A0779">
              <w:rPr>
                <w:szCs w:val="20"/>
              </w:rPr>
              <w:t>ethoxylated, tris hydroxymethyl</w:t>
            </w:r>
            <w:r>
              <w:rPr>
                <w:szCs w:val="20"/>
              </w:rPr>
              <w:t xml:space="preserve"> </w:t>
            </w:r>
            <w:r w:rsidRPr="009A0779">
              <w:rPr>
                <w:szCs w:val="20"/>
              </w:rPr>
              <w:t>aminomethane and sodium azide.</w:t>
            </w:r>
          </w:p>
          <w:p w14:paraId="5FAA69DB" w14:textId="22D139BD" w:rsidR="009A0779" w:rsidRPr="009A0779" w:rsidRDefault="009A0779" w:rsidP="009A0779">
            <w:pPr>
              <w:rPr>
                <w:szCs w:val="20"/>
              </w:rPr>
            </w:pPr>
            <w:r w:rsidRPr="009A0779">
              <w:rPr>
                <w:szCs w:val="20"/>
              </w:rPr>
              <w:t>Causes serious eye irritation.</w:t>
            </w:r>
          </w:p>
          <w:p w14:paraId="27ABF2A4" w14:textId="4FA0DD27" w:rsidR="009A0779" w:rsidRPr="009A0779" w:rsidRDefault="009A0779" w:rsidP="009A0779">
            <w:pPr>
              <w:rPr>
                <w:szCs w:val="20"/>
              </w:rPr>
            </w:pPr>
            <w:r w:rsidRPr="009A0779">
              <w:rPr>
                <w:szCs w:val="20"/>
              </w:rPr>
              <w:t>Causes mild skin irritation.</w:t>
            </w:r>
          </w:p>
          <w:p w14:paraId="4CF61CCC" w14:textId="77777777" w:rsidR="009A0779" w:rsidRDefault="009A0779" w:rsidP="009A0779">
            <w:pPr>
              <w:rPr>
                <w:szCs w:val="20"/>
              </w:rPr>
            </w:pPr>
            <w:r w:rsidRPr="009A0779">
              <w:rPr>
                <w:szCs w:val="20"/>
              </w:rPr>
              <w:t>Harmful to aquatic life.</w:t>
            </w:r>
          </w:p>
          <w:p w14:paraId="0CE86358" w14:textId="18BB8FEF" w:rsidR="009A0779" w:rsidRDefault="009A0779" w:rsidP="009A0779">
            <w:pPr>
              <w:rPr>
                <w:szCs w:val="20"/>
              </w:rPr>
            </w:pPr>
            <w:r w:rsidRPr="009A0779">
              <w:rPr>
                <w:szCs w:val="20"/>
              </w:rPr>
              <w:t>Contact with acids liberates very toxic gas.</w:t>
            </w:r>
          </w:p>
          <w:p w14:paraId="4A2F84B5" w14:textId="77777777" w:rsidR="00945962" w:rsidRDefault="00945962" w:rsidP="009A0779">
            <w:pPr>
              <w:rPr>
                <w:szCs w:val="20"/>
              </w:rPr>
            </w:pPr>
          </w:p>
          <w:p w14:paraId="1C030366" w14:textId="13FCAF67" w:rsidR="00945962" w:rsidRDefault="00945962" w:rsidP="009A0779">
            <w:pPr>
              <w:rPr>
                <w:szCs w:val="20"/>
              </w:rPr>
            </w:pPr>
            <w:r>
              <w:rPr>
                <w:szCs w:val="20"/>
              </w:rPr>
              <w:t>No special disposal requirements indicated.</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932D51">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14:paraId="5CCFFFD3" w14:textId="4899970D"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932D51" w:rsidRDefault="00F50200" w:rsidP="00A32948">
                  <w:pPr>
                    <w:pStyle w:val="CalVerTable"/>
                    <w:ind w:left="0" w:firstLine="0"/>
                    <w:rPr>
                      <w:rFonts w:ascii="Arial" w:hAnsi="Arial" w:cs="Arial"/>
                    </w:rPr>
                  </w:pPr>
                  <w:r w:rsidRPr="00932D51">
                    <w:rPr>
                      <w:rFonts w:ascii="Arial" w:hAnsi="Arial" w:cs="Arial"/>
                    </w:rPr>
                    <w:t>Assay Range:</w:t>
                  </w:r>
                </w:p>
              </w:tc>
              <w:tc>
                <w:tcPr>
                  <w:tcW w:w="6269" w:type="dxa"/>
                </w:tcPr>
                <w:p w14:paraId="5CCFFFD5" w14:textId="32E4AC7A" w:rsidR="00F50200" w:rsidRPr="00932D51" w:rsidRDefault="00FC7DA5" w:rsidP="004407CA">
                  <w:pPr>
                    <w:pStyle w:val="CalVerTable"/>
                    <w:rPr>
                      <w:rFonts w:ascii="Arial" w:hAnsi="Arial" w:cs="Arial"/>
                    </w:rPr>
                  </w:pPr>
                  <w:r>
                    <w:rPr>
                      <w:rFonts w:ascii="Arial" w:hAnsi="Arial" w:cs="Arial"/>
                    </w:rPr>
                    <w:t>19 – 500 mg/dL</w:t>
                  </w:r>
                </w:p>
              </w:tc>
            </w:tr>
            <w:tr w:rsidR="00F50200" w:rsidRPr="00DC7421" w14:paraId="5CCFFFD9" w14:textId="77777777" w:rsidTr="001C1CFA">
              <w:tc>
                <w:tcPr>
                  <w:tcW w:w="2947" w:type="dxa"/>
                </w:tcPr>
                <w:p w14:paraId="5CCFFFD7" w14:textId="77777777" w:rsidR="00F50200" w:rsidRPr="00932D51" w:rsidRDefault="00F50200" w:rsidP="00A32948">
                  <w:pPr>
                    <w:pStyle w:val="CalVerTable"/>
                    <w:ind w:left="0" w:firstLine="0"/>
                    <w:rPr>
                      <w:rFonts w:ascii="Arial" w:hAnsi="Arial" w:cs="Arial"/>
                    </w:rPr>
                  </w:pPr>
                  <w:r w:rsidRPr="00932D51">
                    <w:rPr>
                      <w:rFonts w:ascii="Arial" w:hAnsi="Arial" w:cs="Arial"/>
                    </w:rPr>
                    <w:t>Reference Material:</w:t>
                  </w:r>
                </w:p>
              </w:tc>
              <w:tc>
                <w:tcPr>
                  <w:tcW w:w="6269" w:type="dxa"/>
                </w:tcPr>
                <w:p w14:paraId="5CCFFFD8" w14:textId="44D4CE18" w:rsidR="00F50200" w:rsidRPr="00932D51" w:rsidRDefault="00021AFC" w:rsidP="00440E37">
                  <w:pPr>
                    <w:pStyle w:val="BodyText"/>
                    <w:rPr>
                      <w:rFonts w:cs="Arial"/>
                      <w:szCs w:val="20"/>
                    </w:rPr>
                  </w:pPr>
                  <w:r w:rsidRPr="00932D51">
                    <w:rPr>
                      <w:rFonts w:cs="Arial"/>
                      <w:szCs w:val="20"/>
                    </w:rPr>
                    <w:t>Specific Proteins Multiconstituent Calibrator</w:t>
                  </w:r>
                </w:p>
              </w:tc>
            </w:tr>
            <w:tr w:rsidR="00F50200" w:rsidRPr="00DC7421" w14:paraId="5CCFFFE1" w14:textId="77777777" w:rsidTr="00021AFC">
              <w:trPr>
                <w:trHeight w:val="323"/>
              </w:trPr>
              <w:tc>
                <w:tcPr>
                  <w:tcW w:w="2947" w:type="dxa"/>
                </w:tcPr>
                <w:p w14:paraId="5CCFFFDA" w14:textId="77777777" w:rsidR="00F50200" w:rsidRPr="00932D51" w:rsidRDefault="00F50200" w:rsidP="00A32948">
                  <w:pPr>
                    <w:pStyle w:val="CalVerTable"/>
                    <w:ind w:left="0" w:firstLine="0"/>
                    <w:rPr>
                      <w:rFonts w:ascii="Arial" w:hAnsi="Arial" w:cs="Arial"/>
                    </w:rPr>
                  </w:pPr>
                  <w:r w:rsidRPr="00932D51">
                    <w:rPr>
                      <w:rFonts w:ascii="Arial" w:hAnsi="Arial" w:cs="Arial"/>
                    </w:rPr>
                    <w:t>Suggested Calibration Levels:</w:t>
                  </w:r>
                </w:p>
              </w:tc>
              <w:tc>
                <w:tcPr>
                  <w:tcW w:w="6269" w:type="dxa"/>
                </w:tcPr>
                <w:p w14:paraId="7D1AE854" w14:textId="6DD29997" w:rsidR="00FC7DA5" w:rsidRDefault="00FC7DA5" w:rsidP="001D1786">
                  <w:pPr>
                    <w:pStyle w:val="CalVerTable"/>
                    <w:ind w:left="0" w:firstLine="0"/>
                    <w:rPr>
                      <w:rFonts w:ascii="Arial" w:hAnsi="Arial" w:cs="Arial"/>
                    </w:rPr>
                  </w:pPr>
                  <w:r>
                    <w:rPr>
                      <w:rFonts w:ascii="Arial" w:hAnsi="Arial" w:cs="Arial"/>
                    </w:rPr>
                    <w:t>These are approximate levels.  Do not change the upper AMR with change in lot number.  Ensure the upper AMR stays at 500.</w:t>
                  </w:r>
                </w:p>
                <w:p w14:paraId="582421DB" w14:textId="7C32DBD6" w:rsidR="005B66A7" w:rsidRDefault="00FC7DA5" w:rsidP="001D1786">
                  <w:pPr>
                    <w:pStyle w:val="CalVerTable"/>
                    <w:ind w:left="0" w:firstLine="0"/>
                    <w:rPr>
                      <w:rFonts w:ascii="Arial" w:hAnsi="Arial" w:cs="Arial"/>
                    </w:rPr>
                  </w:pPr>
                  <w:r>
                    <w:rPr>
                      <w:rFonts w:ascii="Arial" w:hAnsi="Arial" w:cs="Arial"/>
                    </w:rPr>
                    <w:t>CAL 1: 0.2</w:t>
                  </w:r>
                </w:p>
                <w:p w14:paraId="4168A762" w14:textId="46289C73" w:rsidR="00FC7DA5" w:rsidRDefault="00FC7DA5" w:rsidP="001D1786">
                  <w:pPr>
                    <w:pStyle w:val="CalVerTable"/>
                    <w:ind w:left="0" w:firstLine="0"/>
                    <w:rPr>
                      <w:rFonts w:ascii="Arial" w:hAnsi="Arial" w:cs="Arial"/>
                    </w:rPr>
                  </w:pPr>
                  <w:r>
                    <w:rPr>
                      <w:rFonts w:ascii="Arial" w:hAnsi="Arial" w:cs="Arial"/>
                    </w:rPr>
                    <w:t>CAL 2: 82</w:t>
                  </w:r>
                </w:p>
                <w:p w14:paraId="411BAE09" w14:textId="1F06BD6C" w:rsidR="00FC7DA5" w:rsidRDefault="00FC7DA5" w:rsidP="001D1786">
                  <w:pPr>
                    <w:pStyle w:val="CalVerTable"/>
                    <w:ind w:left="0" w:firstLine="0"/>
                    <w:rPr>
                      <w:rFonts w:ascii="Arial" w:hAnsi="Arial" w:cs="Arial"/>
                    </w:rPr>
                  </w:pPr>
                  <w:r>
                    <w:rPr>
                      <w:rFonts w:ascii="Arial" w:hAnsi="Arial" w:cs="Arial"/>
                    </w:rPr>
                    <w:t>CAL 3: 162</w:t>
                  </w:r>
                </w:p>
                <w:p w14:paraId="6964FB35" w14:textId="609DA350" w:rsidR="00FC7DA5" w:rsidRDefault="00FC7DA5" w:rsidP="001D1786">
                  <w:pPr>
                    <w:pStyle w:val="CalVerTable"/>
                    <w:ind w:left="0" w:firstLine="0"/>
                    <w:rPr>
                      <w:rFonts w:ascii="Arial" w:hAnsi="Arial" w:cs="Arial"/>
                    </w:rPr>
                  </w:pPr>
                  <w:r>
                    <w:rPr>
                      <w:rFonts w:ascii="Arial" w:hAnsi="Arial" w:cs="Arial"/>
                    </w:rPr>
                    <w:t>CAL 4: 270</w:t>
                  </w:r>
                </w:p>
                <w:p w14:paraId="5CCFFFE0" w14:textId="1A8F0E0E" w:rsidR="00FC7DA5" w:rsidRPr="00932D51" w:rsidRDefault="00FC7DA5" w:rsidP="001D1786">
                  <w:pPr>
                    <w:pStyle w:val="CalVerTable"/>
                    <w:ind w:left="0" w:firstLine="0"/>
                    <w:rPr>
                      <w:rFonts w:ascii="Arial" w:hAnsi="Arial" w:cs="Arial"/>
                    </w:rPr>
                  </w:pPr>
                  <w:r>
                    <w:rPr>
                      <w:rFonts w:ascii="Arial" w:hAnsi="Arial" w:cs="Arial"/>
                    </w:rPr>
                    <w:t>CAL 5: 540</w:t>
                  </w:r>
                </w:p>
              </w:tc>
            </w:tr>
            <w:tr w:rsidR="00F50200" w:rsidRPr="00DC7421" w14:paraId="5CCFFFE4" w14:textId="77777777" w:rsidTr="001C1CFA">
              <w:tc>
                <w:tcPr>
                  <w:tcW w:w="2947" w:type="dxa"/>
                </w:tcPr>
                <w:p w14:paraId="5CCFFFE2" w14:textId="0C4FD608" w:rsidR="00F50200" w:rsidRPr="00932D51" w:rsidRDefault="00F50200" w:rsidP="00A32948">
                  <w:pPr>
                    <w:pStyle w:val="CalVerTable"/>
                    <w:ind w:left="0" w:firstLine="0"/>
                    <w:rPr>
                      <w:rFonts w:ascii="Arial" w:hAnsi="Arial" w:cs="Arial"/>
                    </w:rPr>
                  </w:pPr>
                  <w:r w:rsidRPr="00932D51">
                    <w:rPr>
                      <w:rFonts w:ascii="Arial" w:hAnsi="Arial" w:cs="Arial"/>
                    </w:rPr>
                    <w:t>Calibration Scheme:</w:t>
                  </w:r>
                </w:p>
              </w:tc>
              <w:tc>
                <w:tcPr>
                  <w:tcW w:w="6269" w:type="dxa"/>
                </w:tcPr>
                <w:p w14:paraId="5CCFFFE3" w14:textId="09B9909A" w:rsidR="00F50200" w:rsidRPr="00932D51" w:rsidRDefault="00FC7DA5" w:rsidP="00021AFC">
                  <w:pPr>
                    <w:pStyle w:val="CalVerTable"/>
                    <w:rPr>
                      <w:rFonts w:ascii="Arial" w:hAnsi="Arial" w:cs="Arial"/>
                    </w:rPr>
                  </w:pPr>
                  <w:r>
                    <w:rPr>
                      <w:rFonts w:ascii="Arial" w:hAnsi="Arial" w:cs="Arial"/>
                    </w:rPr>
                    <w:t xml:space="preserve">5 Levels, </w:t>
                  </w:r>
                  <w:r w:rsidR="00021AFC" w:rsidRPr="00932D51">
                    <w:rPr>
                      <w:rFonts w:ascii="Arial" w:hAnsi="Arial" w:cs="Arial"/>
                    </w:rPr>
                    <w:t>Spline data reduction method</w:t>
                  </w:r>
                </w:p>
              </w:tc>
            </w:tr>
            <w:tr w:rsidR="00F50200" w:rsidRPr="00DC7421" w14:paraId="5CCFFFE7" w14:textId="77777777" w:rsidTr="001C1CFA">
              <w:tc>
                <w:tcPr>
                  <w:tcW w:w="2947" w:type="dxa"/>
                </w:tcPr>
                <w:p w14:paraId="5CCFFFE5" w14:textId="77777777" w:rsidR="00F50200" w:rsidRPr="00932D51" w:rsidRDefault="00F50200" w:rsidP="00A32948">
                  <w:pPr>
                    <w:pStyle w:val="CalVerTable"/>
                    <w:ind w:left="0" w:firstLine="0"/>
                    <w:rPr>
                      <w:rFonts w:ascii="Arial" w:hAnsi="Arial" w:cs="Arial"/>
                    </w:rPr>
                  </w:pPr>
                  <w:r w:rsidRPr="00932D51">
                    <w:rPr>
                      <w:rFonts w:ascii="Arial" w:hAnsi="Arial" w:cs="Arial"/>
                    </w:rPr>
                    <w:t>Calibration Frequency:</w:t>
                  </w:r>
                </w:p>
              </w:tc>
              <w:tc>
                <w:tcPr>
                  <w:tcW w:w="6269" w:type="dxa"/>
                </w:tcPr>
                <w:p w14:paraId="5CCFFFE6" w14:textId="686B8DD8" w:rsidR="00F50200" w:rsidRPr="00932D51" w:rsidRDefault="00021AFC" w:rsidP="004A698D">
                  <w:pPr>
                    <w:pStyle w:val="Pa10"/>
                    <w:rPr>
                      <w:rFonts w:ascii="Arial" w:hAnsi="Arial" w:cs="Arial"/>
                      <w:sz w:val="20"/>
                      <w:szCs w:val="20"/>
                    </w:rPr>
                  </w:pPr>
                  <w:r w:rsidRPr="00932D51">
                    <w:rPr>
                      <w:rFonts w:ascii="Arial" w:hAnsi="Arial" w:cs="Arial"/>
                      <w:sz w:val="20"/>
                      <w:szCs w:val="20"/>
                    </w:rPr>
                    <w:t xml:space="preserve">57 days </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932D51" w:rsidRDefault="00F50200" w:rsidP="00A32948">
                  <w:pPr>
                    <w:pStyle w:val="CalVerTable"/>
                    <w:ind w:left="0" w:firstLine="0"/>
                    <w:rPr>
                      <w:rFonts w:ascii="Arial" w:hAnsi="Arial" w:cs="Arial"/>
                    </w:rPr>
                  </w:pPr>
                  <w:r w:rsidRPr="00932D51">
                    <w:rPr>
                      <w:rFonts w:ascii="Arial" w:hAnsi="Arial" w:cs="Arial"/>
                    </w:rPr>
                    <w:t>AMR</w:t>
                  </w:r>
                </w:p>
              </w:tc>
              <w:tc>
                <w:tcPr>
                  <w:tcW w:w="6269" w:type="dxa"/>
                  <w:tcBorders>
                    <w:bottom w:val="single" w:sz="4" w:space="0" w:color="auto"/>
                  </w:tcBorders>
                </w:tcPr>
                <w:p w14:paraId="0FC7A1CB" w14:textId="77777777" w:rsidR="00021AFC" w:rsidRPr="00932D51" w:rsidRDefault="00021AFC" w:rsidP="00021AFC">
                  <w:pPr>
                    <w:pStyle w:val="Default"/>
                    <w:rPr>
                      <w:rFonts w:ascii="Arial" w:hAnsi="Arial" w:cs="Arial"/>
                      <w:szCs w:val="20"/>
                    </w:rPr>
                  </w:pPr>
                  <w:r w:rsidRPr="00932D51">
                    <w:rPr>
                      <w:rFonts w:ascii="Arial" w:hAnsi="Arial" w:cs="Arial"/>
                      <w:sz w:val="20"/>
                      <w:szCs w:val="20"/>
                    </w:rPr>
                    <w:t xml:space="preserve">AMR verification meet regulatory requirements with each calibration using 5 calibrators that span the full measuring range. </w:t>
                  </w:r>
                </w:p>
                <w:p w14:paraId="5CCFFFE9" w14:textId="04B430FA" w:rsidR="00F50200" w:rsidRPr="00932D51" w:rsidRDefault="00F50200" w:rsidP="00A166AA">
                  <w:pPr>
                    <w:autoSpaceDE w:val="0"/>
                    <w:autoSpaceDN w:val="0"/>
                    <w:adjustRightInd w:val="0"/>
                    <w:rPr>
                      <w:rFonts w:cs="Arial"/>
                      <w:szCs w:val="20"/>
                    </w:rPr>
                  </w:pPr>
                </w:p>
              </w:tc>
            </w:tr>
          </w:tbl>
          <w:p w14:paraId="474498F3" w14:textId="77777777" w:rsidR="00F50200" w:rsidRDefault="00F50200" w:rsidP="00A32948">
            <w:pPr>
              <w:rPr>
                <w:rFonts w:cs="Arial"/>
                <w:b/>
                <w:bCs/>
                <w:szCs w:val="20"/>
              </w:rPr>
            </w:pPr>
          </w:p>
          <w:p w14:paraId="5CCFFFEB" w14:textId="77777777" w:rsidR="00932D51" w:rsidRPr="00DC7421" w:rsidRDefault="00932D51"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1994C6C8" w14:textId="3A70308D" w:rsidR="00021AFC" w:rsidRDefault="00FC7DA5" w:rsidP="00021AFC">
            <w:pPr>
              <w:autoSpaceDE w:val="0"/>
              <w:autoSpaceDN w:val="0"/>
              <w:adjustRightInd w:val="0"/>
              <w:jc w:val="both"/>
              <w:rPr>
                <w:rFonts w:cs="Arial"/>
                <w:b/>
                <w:szCs w:val="20"/>
              </w:rPr>
            </w:pPr>
            <w:r>
              <w:rPr>
                <w:rFonts w:cs="Arial"/>
                <w:b/>
                <w:szCs w:val="20"/>
              </w:rPr>
              <w:t>QC</w:t>
            </w:r>
            <w:r w:rsidR="00021AFC" w:rsidRPr="00E47DE5">
              <w:rPr>
                <w:rFonts w:cs="Arial"/>
                <w:b/>
                <w:szCs w:val="20"/>
              </w:rPr>
              <w:t xml:space="preserve"> Material</w:t>
            </w:r>
            <w:r w:rsidR="00021AFC" w:rsidRPr="00C6560E">
              <w:rPr>
                <w:rFonts w:cs="Arial"/>
                <w:szCs w:val="20"/>
              </w:rPr>
              <w:t>:</w:t>
            </w:r>
            <w:r w:rsidR="0031680C">
              <w:rPr>
                <w:rFonts w:cs="Arial"/>
                <w:szCs w:val="20"/>
              </w:rPr>
              <w:t xml:space="preserve"> Bio-Rad</w:t>
            </w:r>
            <w:r>
              <w:rPr>
                <w:rFonts w:cs="Arial"/>
                <w:szCs w:val="20"/>
              </w:rPr>
              <w:t xml:space="preserve"> Liquichek Immunology Control Levels 1 &amp; 3</w:t>
            </w:r>
          </w:p>
          <w:p w14:paraId="7B9AB4CE" w14:textId="77777777" w:rsidR="00021AFC" w:rsidRPr="00E47DE5" w:rsidRDefault="00021AFC" w:rsidP="00021AFC">
            <w:pPr>
              <w:autoSpaceDE w:val="0"/>
              <w:autoSpaceDN w:val="0"/>
              <w:adjustRightInd w:val="0"/>
              <w:jc w:val="both"/>
              <w:rPr>
                <w:rFonts w:cs="Arial"/>
                <w:b/>
                <w:szCs w:val="20"/>
              </w:rPr>
            </w:pPr>
          </w:p>
          <w:p w14:paraId="79172DFB" w14:textId="654A7C3D" w:rsidR="00021AFC" w:rsidRDefault="00021AFC" w:rsidP="00021AFC">
            <w:pPr>
              <w:autoSpaceDE w:val="0"/>
              <w:autoSpaceDN w:val="0"/>
              <w:adjustRightInd w:val="0"/>
              <w:jc w:val="both"/>
              <w:rPr>
                <w:szCs w:val="20"/>
              </w:rPr>
            </w:pPr>
            <w:r w:rsidRPr="00DC7421">
              <w:rPr>
                <w:rFonts w:cs="Arial"/>
                <w:b/>
                <w:bCs/>
                <w:szCs w:val="20"/>
              </w:rPr>
              <w:t xml:space="preserve">Frequency: </w:t>
            </w:r>
            <w:r w:rsidR="00FC7DA5">
              <w:rPr>
                <w:szCs w:val="20"/>
              </w:rPr>
              <w:t xml:space="preserve">Two levels </w:t>
            </w:r>
            <w:r>
              <w:rPr>
                <w:szCs w:val="20"/>
              </w:rPr>
              <w:t xml:space="preserve">each day of use </w:t>
            </w:r>
          </w:p>
          <w:p w14:paraId="094BECCC" w14:textId="77777777" w:rsidR="00021AFC" w:rsidRPr="00DC7421" w:rsidRDefault="00021AFC" w:rsidP="00021AFC">
            <w:pPr>
              <w:autoSpaceDE w:val="0"/>
              <w:autoSpaceDN w:val="0"/>
              <w:adjustRightInd w:val="0"/>
              <w:jc w:val="both"/>
              <w:rPr>
                <w:rFonts w:cs="Arial"/>
                <w:szCs w:val="20"/>
              </w:rPr>
            </w:pPr>
          </w:p>
          <w:p w14:paraId="40C81644" w14:textId="494B73C9" w:rsidR="00021AFC" w:rsidRDefault="00021AFC" w:rsidP="00021AFC">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 xml:space="preserve">Once thawed, opened, and stored tightly capped at 2 to 8°C, product will be labeled with an expiration date equal to the shortest stability of the included analytes, which is </w:t>
            </w:r>
            <w:r w:rsidR="00FC7DA5">
              <w:rPr>
                <w:b/>
                <w:bCs/>
                <w:szCs w:val="20"/>
              </w:rPr>
              <w:t>10</w:t>
            </w:r>
            <w:r>
              <w:rPr>
                <w:b/>
                <w:bCs/>
                <w:szCs w:val="20"/>
              </w:rPr>
              <w:t xml:space="preserve"> days. </w:t>
            </w:r>
          </w:p>
          <w:p w14:paraId="570B0578" w14:textId="77777777" w:rsidR="00021AFC" w:rsidRPr="00DC7421" w:rsidRDefault="00021AFC" w:rsidP="00021AFC">
            <w:pPr>
              <w:autoSpaceDE w:val="0"/>
              <w:autoSpaceDN w:val="0"/>
              <w:adjustRightInd w:val="0"/>
              <w:rPr>
                <w:rFonts w:cs="Arial"/>
                <w:szCs w:val="20"/>
              </w:rPr>
            </w:pPr>
          </w:p>
          <w:p w14:paraId="5CDDB378" w14:textId="77777777" w:rsidR="00021AFC" w:rsidRDefault="00021AFC" w:rsidP="00021AFC">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403AEB7E" w14:textId="77777777" w:rsidR="00021AFC" w:rsidRPr="00DC6EF7" w:rsidRDefault="00021AFC" w:rsidP="00021AFC">
            <w:pPr>
              <w:pStyle w:val="Default"/>
              <w:rPr>
                <w:rFonts w:ascii="Arial" w:hAnsi="Arial" w:cs="Arial"/>
                <w:sz w:val="20"/>
                <w:szCs w:val="20"/>
              </w:rPr>
            </w:pPr>
            <w:r w:rsidRPr="00DC6EF7">
              <w:rPr>
                <w:rFonts w:ascii="Arial" w:hAnsi="Arial" w:cs="Arial"/>
                <w:sz w:val="20"/>
                <w:szCs w:val="20"/>
              </w:rPr>
              <w:t xml:space="preserve">This product should be treated the same as patient specimens and run in accordance with the instructions accompanying the instrument, kit, or reagent being used. </w:t>
            </w:r>
          </w:p>
          <w:p w14:paraId="2F692601" w14:textId="5473B03E" w:rsidR="00021AFC" w:rsidRPr="00DC6EF7" w:rsidRDefault="00021AFC" w:rsidP="00021AFC">
            <w:pPr>
              <w:pStyle w:val="Default"/>
              <w:numPr>
                <w:ilvl w:val="0"/>
                <w:numId w:val="41"/>
              </w:numPr>
              <w:rPr>
                <w:rFonts w:ascii="Arial" w:hAnsi="Arial" w:cs="Arial"/>
                <w:sz w:val="20"/>
                <w:szCs w:val="20"/>
              </w:rPr>
            </w:pPr>
            <w:r w:rsidRPr="00DC6EF7">
              <w:rPr>
                <w:rFonts w:ascii="Arial" w:hAnsi="Arial" w:cs="Arial"/>
                <w:sz w:val="20"/>
                <w:szCs w:val="20"/>
              </w:rPr>
              <w:t xml:space="preserve">To thaw the product, allow it to stand at room temperature (18° to 25°C) until completely thawed but no longer than one (1) hour </w:t>
            </w:r>
          </w:p>
          <w:p w14:paraId="6FE3B70C" w14:textId="77777777" w:rsidR="00021AFC" w:rsidRPr="00DC6EF7" w:rsidRDefault="00021AFC" w:rsidP="00021AFC">
            <w:pPr>
              <w:pStyle w:val="Default"/>
              <w:numPr>
                <w:ilvl w:val="0"/>
                <w:numId w:val="41"/>
              </w:numPr>
              <w:rPr>
                <w:rFonts w:ascii="Arial" w:hAnsi="Arial" w:cs="Arial"/>
                <w:sz w:val="20"/>
                <w:szCs w:val="20"/>
              </w:rPr>
            </w:pPr>
            <w:r w:rsidRPr="00DC6EF7">
              <w:rPr>
                <w:rFonts w:ascii="Arial" w:hAnsi="Arial" w:cs="Arial"/>
                <w:sz w:val="20"/>
                <w:szCs w:val="20"/>
              </w:rPr>
              <w:t xml:space="preserve">After thawing, the products </w:t>
            </w:r>
            <w:r w:rsidRPr="00DC6EF7">
              <w:rPr>
                <w:rFonts w:ascii="Arial" w:hAnsi="Arial" w:cs="Arial"/>
                <w:b/>
                <w:bCs/>
                <w:sz w:val="20"/>
                <w:szCs w:val="20"/>
              </w:rPr>
              <w:t xml:space="preserve">MUST </w:t>
            </w:r>
            <w:r w:rsidRPr="00DC6EF7">
              <w:rPr>
                <w:rFonts w:ascii="Arial" w:hAnsi="Arial" w:cs="Arial"/>
                <w:sz w:val="20"/>
                <w:szCs w:val="20"/>
              </w:rPr>
              <w:t xml:space="preserve">be gently swirled and inverted several times to ensure homogeneity. </w:t>
            </w:r>
          </w:p>
          <w:p w14:paraId="0DF23A87" w14:textId="77777777" w:rsidR="00021AFC" w:rsidRPr="00DC6EF7" w:rsidRDefault="00021AFC" w:rsidP="00021AFC">
            <w:pPr>
              <w:pStyle w:val="Default"/>
              <w:numPr>
                <w:ilvl w:val="0"/>
                <w:numId w:val="41"/>
              </w:numPr>
              <w:rPr>
                <w:rFonts w:ascii="Arial" w:hAnsi="Arial" w:cs="Arial"/>
                <w:sz w:val="20"/>
                <w:szCs w:val="20"/>
              </w:rPr>
            </w:pPr>
            <w:r w:rsidRPr="00DC6EF7">
              <w:rPr>
                <w:rFonts w:ascii="Arial" w:hAnsi="Arial" w:cs="Arial"/>
                <w:sz w:val="20"/>
                <w:szCs w:val="20"/>
              </w:rPr>
              <w:t xml:space="preserve">For optimal analyte stability in the thawed state, promptly return to 2 to 8°C storage after each use and minimize the time at room temperature to no more than 20 minutes daily. </w:t>
            </w:r>
          </w:p>
          <w:p w14:paraId="5CCFFFF5" w14:textId="20BC0790" w:rsidR="008D3369" w:rsidRPr="00DC6EF7" w:rsidRDefault="00021AFC" w:rsidP="0031680C">
            <w:pPr>
              <w:pStyle w:val="ListParagraph"/>
              <w:numPr>
                <w:ilvl w:val="0"/>
                <w:numId w:val="41"/>
              </w:numPr>
              <w:autoSpaceDE w:val="0"/>
              <w:autoSpaceDN w:val="0"/>
              <w:adjustRightInd w:val="0"/>
              <w:rPr>
                <w:rFonts w:cs="Arial"/>
                <w:szCs w:val="20"/>
              </w:rPr>
            </w:pPr>
            <w:r w:rsidRPr="00DC6EF7">
              <w:rPr>
                <w:rFonts w:cs="Arial"/>
                <w:b/>
                <w:bCs/>
                <w:szCs w:val="20"/>
              </w:rPr>
              <w:t>Before each use</w:t>
            </w:r>
            <w:r w:rsidRPr="00DC6EF7">
              <w:rPr>
                <w:rFonts w:cs="Arial"/>
                <w:szCs w:val="20"/>
              </w:rPr>
              <w:t>, gently swirl the contents until homogeneous with no visible signs of precipitate.</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49E8A563" w:rsidR="00420763" w:rsidRPr="00DC7421" w:rsidRDefault="00420763" w:rsidP="00420763">
            <w:pPr>
              <w:pStyle w:val="ListParagraph"/>
              <w:numPr>
                <w:ilvl w:val="0"/>
                <w:numId w:val="19"/>
              </w:numPr>
              <w:jc w:val="both"/>
              <w:rPr>
                <w:rFonts w:cs="Arial"/>
                <w:szCs w:val="20"/>
              </w:rPr>
            </w:pPr>
            <w:r w:rsidRPr="00DC7421">
              <w:rPr>
                <w:rFonts w:cs="Arial"/>
                <w:szCs w:val="20"/>
              </w:rPr>
              <w:t>Refer to the Westga</w:t>
            </w:r>
            <w:r w:rsidR="00A905E0">
              <w:rPr>
                <w:rFonts w:cs="Arial"/>
                <w:szCs w:val="20"/>
              </w:rPr>
              <w:t xml:space="preserve">rd Rules in Chemistry procedure </w:t>
            </w:r>
            <w:r w:rsidRPr="00DC7421">
              <w:rPr>
                <w:rFonts w:cs="Arial"/>
                <w:szCs w:val="20"/>
              </w:rPr>
              <w:t xml:space="preserve">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4"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585E7216" w14:textId="77777777" w:rsidR="00403B05" w:rsidRPr="00234207" w:rsidRDefault="00403B05" w:rsidP="00403B05">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403B05" w:rsidRPr="006A26B2" w14:paraId="5B7166B0" w14:textId="77777777" w:rsidTr="00817F9E">
              <w:tc>
                <w:tcPr>
                  <w:tcW w:w="472" w:type="dxa"/>
                </w:tcPr>
                <w:p w14:paraId="3A4BA8EF" w14:textId="77777777" w:rsidR="00403B05" w:rsidRPr="006A26B2" w:rsidRDefault="00403B05" w:rsidP="00403B05">
                  <w:pPr>
                    <w:autoSpaceDE w:val="0"/>
                    <w:autoSpaceDN w:val="0"/>
                    <w:adjustRightInd w:val="0"/>
                    <w:jc w:val="both"/>
                    <w:rPr>
                      <w:rFonts w:cs="Arial"/>
                      <w:b/>
                      <w:szCs w:val="20"/>
                    </w:rPr>
                  </w:pPr>
                  <w:r w:rsidRPr="006A26B2">
                    <w:rPr>
                      <w:rFonts w:cs="Arial"/>
                      <w:b/>
                      <w:szCs w:val="20"/>
                    </w:rPr>
                    <w:t>H</w:t>
                  </w:r>
                </w:p>
              </w:tc>
              <w:tc>
                <w:tcPr>
                  <w:tcW w:w="394" w:type="dxa"/>
                </w:tcPr>
                <w:p w14:paraId="039CA4BB" w14:textId="77777777" w:rsidR="00403B05" w:rsidRPr="006A26B2" w:rsidRDefault="00403B05" w:rsidP="00403B05">
                  <w:pPr>
                    <w:autoSpaceDE w:val="0"/>
                    <w:autoSpaceDN w:val="0"/>
                    <w:adjustRightInd w:val="0"/>
                    <w:jc w:val="both"/>
                    <w:rPr>
                      <w:rFonts w:cs="Arial"/>
                      <w:b/>
                      <w:szCs w:val="20"/>
                    </w:rPr>
                  </w:pPr>
                  <w:r w:rsidRPr="006A26B2">
                    <w:rPr>
                      <w:rFonts w:cs="Arial"/>
                      <w:b/>
                      <w:szCs w:val="20"/>
                    </w:rPr>
                    <w:t>I</w:t>
                  </w:r>
                </w:p>
              </w:tc>
              <w:tc>
                <w:tcPr>
                  <w:tcW w:w="443" w:type="dxa"/>
                </w:tcPr>
                <w:p w14:paraId="2B684D7C" w14:textId="77777777" w:rsidR="00403B05" w:rsidRPr="006A26B2" w:rsidRDefault="00403B05" w:rsidP="00403B05">
                  <w:pPr>
                    <w:autoSpaceDE w:val="0"/>
                    <w:autoSpaceDN w:val="0"/>
                    <w:adjustRightInd w:val="0"/>
                    <w:jc w:val="both"/>
                    <w:rPr>
                      <w:rFonts w:cs="Arial"/>
                      <w:b/>
                      <w:szCs w:val="20"/>
                    </w:rPr>
                  </w:pPr>
                  <w:r w:rsidRPr="006A26B2">
                    <w:rPr>
                      <w:rFonts w:cs="Arial"/>
                      <w:b/>
                      <w:szCs w:val="20"/>
                    </w:rPr>
                    <w:t>L</w:t>
                  </w:r>
                </w:p>
              </w:tc>
            </w:tr>
            <w:tr w:rsidR="00403B05" w:rsidRPr="006A26B2" w14:paraId="3488FE1E" w14:textId="77777777" w:rsidTr="00817F9E">
              <w:tc>
                <w:tcPr>
                  <w:tcW w:w="472" w:type="dxa"/>
                </w:tcPr>
                <w:p w14:paraId="287D4335" w14:textId="77777777" w:rsidR="00403B05" w:rsidRPr="006A26B2" w:rsidRDefault="00403B05" w:rsidP="00403B05">
                  <w:pPr>
                    <w:autoSpaceDE w:val="0"/>
                    <w:autoSpaceDN w:val="0"/>
                    <w:adjustRightInd w:val="0"/>
                    <w:jc w:val="both"/>
                    <w:rPr>
                      <w:rFonts w:cs="Arial"/>
                      <w:b/>
                      <w:szCs w:val="20"/>
                    </w:rPr>
                  </w:pPr>
                  <w:r>
                    <w:rPr>
                      <w:rFonts w:cs="Arial"/>
                      <w:b/>
                      <w:szCs w:val="20"/>
                    </w:rPr>
                    <w:t>-</w:t>
                  </w:r>
                </w:p>
              </w:tc>
              <w:tc>
                <w:tcPr>
                  <w:tcW w:w="394" w:type="dxa"/>
                </w:tcPr>
                <w:p w14:paraId="688816DA" w14:textId="77777777" w:rsidR="00403B05" w:rsidRPr="006A26B2" w:rsidRDefault="00403B05" w:rsidP="00403B05">
                  <w:pPr>
                    <w:autoSpaceDE w:val="0"/>
                    <w:autoSpaceDN w:val="0"/>
                    <w:adjustRightInd w:val="0"/>
                    <w:jc w:val="both"/>
                    <w:rPr>
                      <w:rFonts w:cs="Arial"/>
                      <w:b/>
                      <w:szCs w:val="20"/>
                    </w:rPr>
                  </w:pPr>
                  <w:r w:rsidRPr="006A26B2">
                    <w:rPr>
                      <w:rFonts w:cs="Arial"/>
                      <w:b/>
                      <w:szCs w:val="20"/>
                    </w:rPr>
                    <w:t>-</w:t>
                  </w:r>
                </w:p>
              </w:tc>
              <w:tc>
                <w:tcPr>
                  <w:tcW w:w="443" w:type="dxa"/>
                </w:tcPr>
                <w:p w14:paraId="47E197CA" w14:textId="77777777" w:rsidR="00403B05" w:rsidRPr="006A26B2" w:rsidRDefault="00403B05" w:rsidP="00403B05">
                  <w:pPr>
                    <w:autoSpaceDE w:val="0"/>
                    <w:autoSpaceDN w:val="0"/>
                    <w:adjustRightInd w:val="0"/>
                    <w:jc w:val="both"/>
                    <w:rPr>
                      <w:rFonts w:cs="Arial"/>
                      <w:b/>
                      <w:szCs w:val="20"/>
                    </w:rPr>
                  </w:pPr>
                  <w:r>
                    <w:rPr>
                      <w:rFonts w:cs="Arial"/>
                      <w:b/>
                      <w:szCs w:val="20"/>
                    </w:rPr>
                    <w:t>-</w:t>
                  </w:r>
                </w:p>
              </w:tc>
            </w:tr>
          </w:tbl>
          <w:p w14:paraId="0689A7A8" w14:textId="77777777" w:rsidR="00403B05" w:rsidRPr="00DC7421" w:rsidRDefault="00403B05" w:rsidP="00403B05">
            <w:pPr>
              <w:autoSpaceDE w:val="0"/>
              <w:autoSpaceDN w:val="0"/>
              <w:adjustRightInd w:val="0"/>
              <w:rPr>
                <w:rFonts w:cs="Arial"/>
                <w:b/>
                <w:bCs/>
                <w:color w:val="5F497A"/>
                <w:szCs w:val="20"/>
              </w:rPr>
            </w:pPr>
          </w:p>
          <w:p w14:paraId="69F19AF1" w14:textId="77777777" w:rsidR="00403B05" w:rsidRDefault="00403B05" w:rsidP="00403B05">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74D1F141" w14:textId="77777777" w:rsidR="00403B05" w:rsidRDefault="00403B05" w:rsidP="00403B05">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3521456C" w14:textId="77777777" w:rsidR="00403B05" w:rsidRDefault="00403B05" w:rsidP="00403B05">
            <w:pPr>
              <w:autoSpaceDE w:val="0"/>
              <w:autoSpaceDN w:val="0"/>
              <w:adjustRightInd w:val="0"/>
              <w:rPr>
                <w:rFonts w:eastAsia="HelenPro-Regular" w:cs="Arial"/>
                <w:szCs w:val="20"/>
              </w:rPr>
            </w:pPr>
            <w:r>
              <w:rPr>
                <w:rFonts w:eastAsia="HelenPro-Regular" w:cs="Arial"/>
                <w:szCs w:val="20"/>
              </w:rPr>
              <w:t>-BIN for “Bilirubin Interference”</w:t>
            </w:r>
          </w:p>
          <w:p w14:paraId="58710EFC" w14:textId="77777777" w:rsidR="00403B05" w:rsidRDefault="00403B05" w:rsidP="00403B05">
            <w:pPr>
              <w:autoSpaceDE w:val="0"/>
              <w:autoSpaceDN w:val="0"/>
              <w:adjustRightInd w:val="0"/>
              <w:rPr>
                <w:rFonts w:eastAsia="HelenPro-Regular" w:cs="Arial"/>
                <w:szCs w:val="20"/>
              </w:rPr>
            </w:pPr>
            <w:r>
              <w:rPr>
                <w:rFonts w:eastAsia="HelenPro-Regular" w:cs="Arial"/>
                <w:szCs w:val="20"/>
              </w:rPr>
              <w:t xml:space="preserve">-LINT for “Lipid Interference”  </w:t>
            </w:r>
          </w:p>
          <w:p w14:paraId="0676DF8B" w14:textId="77777777" w:rsidR="000244AC" w:rsidRDefault="000244AC" w:rsidP="00403B05">
            <w:pPr>
              <w:autoSpaceDE w:val="0"/>
              <w:autoSpaceDN w:val="0"/>
              <w:adjustRightInd w:val="0"/>
              <w:ind w:left="720"/>
              <w:jc w:val="both"/>
              <w:rPr>
                <w:rFonts w:cs="Arial"/>
                <w:b/>
                <w:bCs/>
                <w:color w:val="5F497A"/>
                <w:szCs w:val="20"/>
              </w:rPr>
            </w:pPr>
          </w:p>
          <w:p w14:paraId="1E24B8C7" w14:textId="77777777" w:rsidR="00403B05" w:rsidRDefault="00403B05" w:rsidP="00403B05">
            <w:pPr>
              <w:autoSpaceDE w:val="0"/>
              <w:autoSpaceDN w:val="0"/>
              <w:adjustRightInd w:val="0"/>
              <w:jc w:val="both"/>
              <w:rPr>
                <w:rFonts w:cs="Arial"/>
                <w:bCs/>
                <w:szCs w:val="20"/>
              </w:rPr>
            </w:pPr>
            <w:r>
              <w:rPr>
                <w:rFonts w:cs="Arial"/>
                <w:bCs/>
                <w:szCs w:val="20"/>
              </w:rPr>
              <w:t>Abbott performed studies at two medical decision levels for endogenous substances.  No interference was noted.</w:t>
            </w:r>
          </w:p>
          <w:p w14:paraId="5CD00011" w14:textId="174DC900" w:rsidR="00403B05" w:rsidRPr="00403B05" w:rsidRDefault="00403B05" w:rsidP="00403B05">
            <w:pPr>
              <w:autoSpaceDE w:val="0"/>
              <w:autoSpaceDN w:val="0"/>
              <w:adjustRightInd w:val="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3C910259" w14:textId="62023DA2" w:rsidR="00403B05" w:rsidRDefault="00403B05" w:rsidP="00403B05">
            <w:pPr>
              <w:rPr>
                <w:rFonts w:cs="Arial"/>
                <w:szCs w:val="20"/>
              </w:rPr>
            </w:pPr>
            <w:r w:rsidRPr="00403B05">
              <w:rPr>
                <w:rFonts w:cs="Arial"/>
                <w:szCs w:val="20"/>
              </w:rPr>
              <w:t>0 to &lt; 9</w:t>
            </w:r>
            <w:r>
              <w:rPr>
                <w:rFonts w:cs="Arial"/>
                <w:szCs w:val="20"/>
              </w:rPr>
              <w:t xml:space="preserve"> Weeks: 104 - 224</w:t>
            </w:r>
            <w:r w:rsidRPr="00403B05">
              <w:rPr>
                <w:rFonts w:cs="Arial"/>
                <w:szCs w:val="20"/>
              </w:rPr>
              <w:t xml:space="preserve">                  </w:t>
            </w:r>
          </w:p>
          <w:p w14:paraId="7987E0B3" w14:textId="77777777" w:rsidR="00403B05" w:rsidRDefault="00403B05" w:rsidP="00403B05">
            <w:pPr>
              <w:rPr>
                <w:rFonts w:cs="Arial"/>
                <w:szCs w:val="20"/>
              </w:rPr>
            </w:pPr>
            <w:r w:rsidRPr="00403B05">
              <w:rPr>
                <w:rFonts w:cs="Arial"/>
                <w:szCs w:val="20"/>
              </w:rPr>
              <w:t>9 Weeks t</w:t>
            </w:r>
            <w:r>
              <w:rPr>
                <w:rFonts w:cs="Arial"/>
                <w:szCs w:val="20"/>
              </w:rPr>
              <w:t xml:space="preserve">o &lt; 1 Year: </w:t>
            </w:r>
            <w:r w:rsidRPr="00403B05">
              <w:rPr>
                <w:rFonts w:cs="Arial"/>
                <w:szCs w:val="20"/>
              </w:rPr>
              <w:t>107</w:t>
            </w:r>
            <w:r>
              <w:rPr>
                <w:rFonts w:cs="Arial"/>
                <w:szCs w:val="20"/>
              </w:rPr>
              <w:t xml:space="preserve"> </w:t>
            </w:r>
            <w:r w:rsidRPr="00403B05">
              <w:rPr>
                <w:rFonts w:cs="Arial"/>
                <w:szCs w:val="20"/>
              </w:rPr>
              <w:t>-</w:t>
            </w:r>
            <w:r>
              <w:rPr>
                <w:rFonts w:cs="Arial"/>
                <w:szCs w:val="20"/>
              </w:rPr>
              <w:t xml:space="preserve"> 324</w:t>
            </w:r>
            <w:r w:rsidRPr="00403B05">
              <w:rPr>
                <w:rFonts w:cs="Arial"/>
                <w:szCs w:val="20"/>
              </w:rPr>
              <w:t xml:space="preserve">                </w:t>
            </w:r>
          </w:p>
          <w:p w14:paraId="46DAED59" w14:textId="07EF9243" w:rsidR="00403B05" w:rsidRDefault="00403B05" w:rsidP="00403B05">
            <w:pPr>
              <w:rPr>
                <w:rFonts w:cs="Arial"/>
                <w:szCs w:val="20"/>
              </w:rPr>
            </w:pPr>
            <w:r w:rsidRPr="00403B05">
              <w:rPr>
                <w:rFonts w:cs="Arial"/>
                <w:szCs w:val="20"/>
              </w:rPr>
              <w:t>1 to &lt; 19 Years</w:t>
            </w:r>
            <w:r>
              <w:rPr>
                <w:rFonts w:cs="Arial"/>
                <w:szCs w:val="20"/>
              </w:rPr>
              <w:t>:  220 - 337</w:t>
            </w:r>
          </w:p>
          <w:p w14:paraId="18727E5D" w14:textId="2636BA9B" w:rsidR="0039587D" w:rsidRDefault="00403B05" w:rsidP="00403B05">
            <w:pPr>
              <w:rPr>
                <w:rFonts w:cs="Arial"/>
                <w:szCs w:val="20"/>
              </w:rPr>
            </w:pPr>
            <w:r>
              <w:rPr>
                <w:rFonts w:cs="Arial"/>
                <w:szCs w:val="20"/>
              </w:rPr>
              <w:t>Adult: 174 – 382</w:t>
            </w:r>
          </w:p>
          <w:p w14:paraId="5CD00018" w14:textId="57F94A46" w:rsidR="00403B05" w:rsidRPr="00DC7421" w:rsidRDefault="00403B05" w:rsidP="00403B05">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3DB65F4A"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4ABB173A" w:rsidR="00E3253B" w:rsidRPr="00DC7421" w:rsidRDefault="00403B05"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2D0E0BFC" w14:textId="77777777" w:rsidR="00403B05" w:rsidRDefault="00403B05" w:rsidP="00403B05">
            <w:pPr>
              <w:pStyle w:val="ListParagraph"/>
              <w:numPr>
                <w:ilvl w:val="0"/>
                <w:numId w:val="42"/>
              </w:numPr>
              <w:autoSpaceDE w:val="0"/>
              <w:autoSpaceDN w:val="0"/>
              <w:adjustRightInd w:val="0"/>
              <w:rPr>
                <w:rFonts w:cs="Arial"/>
                <w:bCs/>
                <w:szCs w:val="20"/>
              </w:rPr>
            </w:pPr>
            <w:r w:rsidRPr="00403B05">
              <w:rPr>
                <w:rFonts w:cs="Arial"/>
                <w:bCs/>
                <w:szCs w:val="20"/>
              </w:rPr>
              <w:t>Samples containing paraproteins (abnormal monoclonal antibodies) may interfere with test results.</w:t>
            </w:r>
          </w:p>
          <w:p w14:paraId="59F93110" w14:textId="77777777" w:rsidR="00403B05" w:rsidRDefault="00403B05" w:rsidP="00403B05">
            <w:pPr>
              <w:pStyle w:val="ListParagraph"/>
              <w:numPr>
                <w:ilvl w:val="0"/>
                <w:numId w:val="42"/>
              </w:numPr>
              <w:autoSpaceDE w:val="0"/>
              <w:autoSpaceDN w:val="0"/>
              <w:adjustRightInd w:val="0"/>
              <w:rPr>
                <w:rFonts w:cs="Arial"/>
                <w:bCs/>
                <w:szCs w:val="20"/>
              </w:rPr>
            </w:pPr>
            <w:r w:rsidRPr="00403B05">
              <w:rPr>
                <w:rFonts w:cs="Arial"/>
                <w:bCs/>
                <w:szCs w:val="20"/>
              </w:rPr>
              <w:t xml:space="preserve"> Samples with elevated total protein concentrations or samples from patients with suspected paraproteinemia can be screened using other laboratory methods</w:t>
            </w:r>
            <w:r>
              <w:rPr>
                <w:rFonts w:cs="Arial"/>
                <w:bCs/>
                <w:szCs w:val="20"/>
              </w:rPr>
              <w:t xml:space="preserve"> </w:t>
            </w:r>
            <w:r w:rsidRPr="00403B05">
              <w:rPr>
                <w:rFonts w:cs="Arial"/>
                <w:bCs/>
                <w:szCs w:val="20"/>
              </w:rPr>
              <w:t>su</w:t>
            </w:r>
            <w:r>
              <w:rPr>
                <w:rFonts w:cs="Arial"/>
                <w:bCs/>
                <w:szCs w:val="20"/>
              </w:rPr>
              <w:t>ch as protein electrophoresis.</w:t>
            </w:r>
          </w:p>
          <w:p w14:paraId="0A5CFA64" w14:textId="15074CD9" w:rsidR="00403B05" w:rsidRDefault="00403B05" w:rsidP="00403B05">
            <w:pPr>
              <w:pStyle w:val="ListParagraph"/>
              <w:numPr>
                <w:ilvl w:val="0"/>
                <w:numId w:val="42"/>
              </w:numPr>
              <w:autoSpaceDE w:val="0"/>
              <w:autoSpaceDN w:val="0"/>
              <w:adjustRightInd w:val="0"/>
              <w:rPr>
                <w:rFonts w:cs="Arial"/>
                <w:bCs/>
                <w:szCs w:val="20"/>
              </w:rPr>
            </w:pPr>
            <w:r w:rsidRPr="00403B05">
              <w:rPr>
                <w:rFonts w:cs="Arial"/>
                <w:bCs/>
                <w:szCs w:val="20"/>
              </w:rPr>
              <w:t>Elevated fibrinogen levels in EDTA plasma samples may yield a depressed result. Transferrin results should be evaluated by</w:t>
            </w:r>
            <w:r>
              <w:rPr>
                <w:rFonts w:cs="Arial"/>
                <w:bCs/>
                <w:szCs w:val="20"/>
              </w:rPr>
              <w:t xml:space="preserve"> </w:t>
            </w:r>
            <w:r w:rsidRPr="00403B05">
              <w:rPr>
                <w:rFonts w:cs="Arial"/>
                <w:bCs/>
                <w:szCs w:val="20"/>
              </w:rPr>
              <w:t>comparing to other clinically relevant information.</w:t>
            </w:r>
          </w:p>
          <w:p w14:paraId="01863762" w14:textId="541BD4AF" w:rsidR="00DC7421" w:rsidRDefault="00403B05" w:rsidP="00403B05">
            <w:pPr>
              <w:pStyle w:val="ListParagraph"/>
              <w:numPr>
                <w:ilvl w:val="0"/>
                <w:numId w:val="42"/>
              </w:numPr>
              <w:autoSpaceDE w:val="0"/>
              <w:autoSpaceDN w:val="0"/>
              <w:adjustRightInd w:val="0"/>
              <w:rPr>
                <w:rFonts w:cs="Arial"/>
                <w:bCs/>
                <w:szCs w:val="20"/>
              </w:rPr>
            </w:pPr>
            <w:r w:rsidRPr="00403B05">
              <w:rPr>
                <w:rFonts w:cs="Arial"/>
                <w:bCs/>
                <w:szCs w:val="20"/>
              </w:rPr>
              <w:t>Turbidity and particles in the samples can interfere with the assay.</w:t>
            </w:r>
            <w:r>
              <w:rPr>
                <w:rFonts w:cs="Arial"/>
                <w:bCs/>
                <w:szCs w:val="20"/>
              </w:rPr>
              <w:t xml:space="preserve"> </w:t>
            </w:r>
            <w:r w:rsidRPr="00403B05">
              <w:rPr>
                <w:rFonts w:cs="Arial"/>
                <w:bCs/>
                <w:szCs w:val="20"/>
              </w:rPr>
              <w:t>Therefore, particulate matter</w:t>
            </w:r>
            <w:r>
              <w:rPr>
                <w:rFonts w:cs="Arial"/>
                <w:bCs/>
                <w:szCs w:val="20"/>
              </w:rPr>
              <w:t xml:space="preserve"> s</w:t>
            </w:r>
            <w:r w:rsidRPr="00403B05">
              <w:rPr>
                <w:rFonts w:cs="Arial"/>
                <w:bCs/>
                <w:szCs w:val="20"/>
              </w:rPr>
              <w:t>hould be removed by centrifugation</w:t>
            </w:r>
            <w:r>
              <w:rPr>
                <w:rFonts w:cs="Arial"/>
                <w:bCs/>
                <w:szCs w:val="20"/>
              </w:rPr>
              <w:t xml:space="preserve"> </w:t>
            </w:r>
            <w:r w:rsidRPr="00403B05">
              <w:rPr>
                <w:rFonts w:cs="Arial"/>
                <w:bCs/>
                <w:szCs w:val="20"/>
              </w:rPr>
              <w:t>prior to running the assay.</w:t>
            </w:r>
          </w:p>
          <w:p w14:paraId="5CD00021" w14:textId="2D5DC61E" w:rsidR="00403B05" w:rsidRPr="00DC7421" w:rsidRDefault="00403B05" w:rsidP="00403B05">
            <w:pPr>
              <w:pStyle w:val="ListParagraph"/>
              <w:autoSpaceDE w:val="0"/>
              <w:autoSpaceDN w:val="0"/>
              <w:adjustRightInd w:val="0"/>
              <w:ind w:left="36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472B85F8"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462BFF5E" w:rsidR="00F83DB0" w:rsidRPr="00403B05" w:rsidRDefault="009A0779" w:rsidP="00F83DB0">
                  <w:pPr>
                    <w:autoSpaceDE w:val="0"/>
                    <w:autoSpaceDN w:val="0"/>
                    <w:adjustRightInd w:val="0"/>
                    <w:rPr>
                      <w:rFonts w:cs="Arial"/>
                      <w:szCs w:val="20"/>
                    </w:rPr>
                  </w:pPr>
                  <w:r w:rsidRPr="00403B05">
                    <w:rPr>
                      <w:rFonts w:cs="Arial"/>
                      <w:szCs w:val="20"/>
                    </w:rPr>
                    <w:t>1:2</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7B2E8DFF" w:rsidR="00F83DB0" w:rsidRPr="00403B05" w:rsidRDefault="00403B05" w:rsidP="00F83DB0">
                  <w:pPr>
                    <w:autoSpaceDE w:val="0"/>
                    <w:autoSpaceDN w:val="0"/>
                    <w:adjustRightInd w:val="0"/>
                    <w:rPr>
                      <w:rFonts w:cs="Arial"/>
                      <w:szCs w:val="20"/>
                    </w:rPr>
                  </w:pPr>
                  <w:r>
                    <w:rPr>
                      <w:rFonts w:cs="Arial"/>
                      <w:szCs w:val="20"/>
                    </w:rPr>
                    <w:t>1:4</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5C54E9F4" w:rsidR="00F83DB0" w:rsidRPr="00EC40A2" w:rsidRDefault="00A23086" w:rsidP="00F83DB0">
                  <w:pPr>
                    <w:autoSpaceDE w:val="0"/>
                    <w:autoSpaceDN w:val="0"/>
                    <w:adjustRightInd w:val="0"/>
                    <w:rPr>
                      <w:rFonts w:cs="Arial"/>
                      <w:szCs w:val="20"/>
                    </w:rPr>
                  </w:pPr>
                  <w:r>
                    <w:rPr>
                      <w:rFonts w:cs="Arial"/>
                      <w:szCs w:val="20"/>
                    </w:rPr>
                    <w:t>Saline</w:t>
                  </w:r>
                </w:p>
              </w:tc>
            </w:tr>
            <w:tr w:rsidR="00F83DB0" w:rsidRPr="00EC40A2" w14:paraId="130A8B4A" w14:textId="77777777" w:rsidTr="005C0FCC">
              <w:tc>
                <w:tcPr>
                  <w:tcW w:w="1867" w:type="dxa"/>
                </w:tcPr>
                <w:p w14:paraId="3BF17F7E" w14:textId="77777777" w:rsidR="00F83DB0" w:rsidRPr="00EC40A2" w:rsidRDefault="00F83DB0" w:rsidP="00F83DB0">
                  <w:pPr>
                    <w:rPr>
                      <w:rFonts w:cs="Arial"/>
                      <w:szCs w:val="20"/>
                    </w:rPr>
                  </w:pPr>
                  <w:r w:rsidRPr="00EC40A2">
                    <w:rPr>
                      <w:rFonts w:cs="Arial"/>
                      <w:szCs w:val="20"/>
                    </w:rPr>
                    <w:t>Manual Dilution:</w:t>
                  </w:r>
                </w:p>
              </w:tc>
              <w:tc>
                <w:tcPr>
                  <w:tcW w:w="7200" w:type="dxa"/>
                </w:tcPr>
                <w:p w14:paraId="3AB4E9ED" w14:textId="69B629DF"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5" w:history="1">
                    <w:r w:rsidRPr="00EC40A2">
                      <w:rPr>
                        <w:rStyle w:val="Hyperlink"/>
                        <w:rFonts w:cs="Arial"/>
                        <w:szCs w:val="20"/>
                      </w:rPr>
                      <w:t>Alinity Operator’s Manual</w:t>
                    </w:r>
                  </w:hyperlink>
                  <w:r w:rsidRPr="00EC40A2">
                    <w:rPr>
                      <w:rFonts w:cs="Arial"/>
                      <w:szCs w:val="20"/>
                    </w:rPr>
                    <w:t xml:space="preserve"> inst</w:t>
                  </w:r>
                  <w:r>
                    <w:rPr>
                      <w:rFonts w:cs="Arial"/>
                      <w:szCs w:val="20"/>
                    </w:rPr>
                    <w:t>ructions for programming automated</w:t>
                  </w:r>
                  <w:r w:rsidR="00403B05">
                    <w:rPr>
                      <w:rFonts w:cs="Arial"/>
                      <w:szCs w:val="20"/>
                    </w:rPr>
                    <w:t xml:space="preserve"> and manual</w:t>
                  </w:r>
                  <w:r>
                    <w:rPr>
                      <w:rFonts w:cs="Arial"/>
                      <w:szCs w:val="20"/>
                    </w:rPr>
                    <w:t xml:space="preserve">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29DCB4A3" w14:textId="3C2EC7DC" w:rsidR="00F83DB0" w:rsidRPr="00EC40A2" w:rsidRDefault="00F83DB0" w:rsidP="00F83DB0">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403B05">
                    <w:rPr>
                      <w:rFonts w:eastAsia="HelenPro-Regular" w:cs="Arial"/>
                      <w:szCs w:val="20"/>
                    </w:rPr>
                    <w:t>e of the measuring interval of 19 mg/dL</w:t>
                  </w:r>
                  <w:r w:rsidRPr="00EC40A2">
                    <w:rPr>
                      <w:rFonts w:eastAsia="HelenPro-Regular" w:cs="Arial"/>
                      <w:szCs w:val="20"/>
                    </w:rPr>
                    <w:t>, do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29B25A08"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A905E0">
              <w:rPr>
                <w:rFonts w:cs="Arial"/>
                <w:szCs w:val="20"/>
              </w:rPr>
              <w:t>19</w:t>
            </w:r>
            <w:r w:rsidR="00E47DE5">
              <w:rPr>
                <w:rFonts w:cs="Arial"/>
                <w:szCs w:val="20"/>
              </w:rPr>
              <w:t xml:space="preserve"> </w:t>
            </w:r>
            <w:r>
              <w:rPr>
                <w:rFonts w:cs="Arial"/>
                <w:szCs w:val="20"/>
              </w:rPr>
              <w:t xml:space="preserve">and </w:t>
            </w:r>
            <w:r w:rsidR="00A905E0">
              <w:rPr>
                <w:rFonts w:cs="Arial"/>
                <w:szCs w:val="20"/>
              </w:rPr>
              <w:t xml:space="preserve">500 mg/dL </w:t>
            </w:r>
            <w:r w:rsidRPr="00DC7421">
              <w:rPr>
                <w:rFonts w:cs="Arial"/>
                <w:szCs w:val="20"/>
              </w:rPr>
              <w:t>without error messages are released</w:t>
            </w:r>
          </w:p>
          <w:p w14:paraId="512DB6C5" w14:textId="3B0E5D04" w:rsidR="00F84C8E" w:rsidRPr="00DC7421" w:rsidRDefault="00F84C8E" w:rsidP="00F84C8E">
            <w:pPr>
              <w:numPr>
                <w:ilvl w:val="0"/>
                <w:numId w:val="40"/>
              </w:numPr>
              <w:rPr>
                <w:rFonts w:cs="Arial"/>
                <w:szCs w:val="20"/>
              </w:rPr>
            </w:pPr>
            <w:r>
              <w:rPr>
                <w:rFonts w:cs="Arial"/>
                <w:szCs w:val="20"/>
              </w:rPr>
              <w:t xml:space="preserve">Results below </w:t>
            </w:r>
            <w:r w:rsidR="00A905E0">
              <w:rPr>
                <w:rFonts w:cs="Arial"/>
                <w:szCs w:val="20"/>
              </w:rPr>
              <w:t>19</w:t>
            </w:r>
            <w:r w:rsidR="00E47DE5">
              <w:rPr>
                <w:rFonts w:cs="Arial"/>
                <w:szCs w:val="20"/>
              </w:rPr>
              <w:t xml:space="preserve"> </w:t>
            </w:r>
            <w:r>
              <w:rPr>
                <w:rFonts w:cs="Arial"/>
                <w:szCs w:val="20"/>
              </w:rPr>
              <w:t xml:space="preserve">without error messages are reported as &lt; </w:t>
            </w:r>
            <w:r w:rsidR="00A905E0">
              <w:rPr>
                <w:rFonts w:cs="Arial"/>
                <w:szCs w:val="20"/>
              </w:rPr>
              <w:t>19</w:t>
            </w:r>
            <w:r>
              <w:rPr>
                <w:rFonts w:cs="Arial"/>
                <w:szCs w:val="20"/>
              </w:rPr>
              <w:t>.</w:t>
            </w:r>
          </w:p>
          <w:p w14:paraId="61C98532" w14:textId="308F4858" w:rsidR="00F84C8E" w:rsidRDefault="00F84C8E" w:rsidP="00F84C8E">
            <w:pPr>
              <w:numPr>
                <w:ilvl w:val="0"/>
                <w:numId w:val="40"/>
              </w:numPr>
              <w:rPr>
                <w:rFonts w:cs="Arial"/>
                <w:szCs w:val="20"/>
              </w:rPr>
            </w:pPr>
            <w:r>
              <w:rPr>
                <w:rFonts w:cs="Arial"/>
                <w:szCs w:val="20"/>
              </w:rPr>
              <w:t>Results &gt;</w:t>
            </w:r>
            <w:r w:rsidR="00A905E0">
              <w:rPr>
                <w:rFonts w:cs="Arial"/>
                <w:szCs w:val="20"/>
              </w:rPr>
              <w:t xml:space="preserve"> 500</w:t>
            </w:r>
            <w:r w:rsidR="00E47DE5">
              <w:rPr>
                <w:rFonts w:cs="Arial"/>
                <w:szCs w:val="20"/>
              </w:rPr>
              <w:t xml:space="preserve"> </w:t>
            </w:r>
            <w:r>
              <w:rPr>
                <w:rFonts w:cs="Arial"/>
                <w:szCs w:val="20"/>
              </w:rPr>
              <w:t>should be dil</w:t>
            </w:r>
            <w:r w:rsidR="00A905E0">
              <w:rPr>
                <w:rFonts w:cs="Arial"/>
                <w:szCs w:val="20"/>
              </w:rPr>
              <w:t>uted using the onboard automated 1:2 dilution.</w:t>
            </w:r>
            <w:r>
              <w:rPr>
                <w:rFonts w:cs="Arial"/>
                <w:szCs w:val="20"/>
              </w:rPr>
              <w:t xml:space="preserve">  Release results without error messages following this dilution.</w:t>
            </w:r>
          </w:p>
          <w:p w14:paraId="6E238BF6" w14:textId="31D0597D" w:rsidR="00A905E0" w:rsidRPr="00A905E0" w:rsidRDefault="00A905E0" w:rsidP="00A905E0">
            <w:pPr>
              <w:pStyle w:val="ListParagraph"/>
              <w:numPr>
                <w:ilvl w:val="0"/>
                <w:numId w:val="40"/>
              </w:numPr>
              <w:rPr>
                <w:rFonts w:cs="Arial"/>
                <w:szCs w:val="20"/>
              </w:rPr>
            </w:pPr>
            <w:r>
              <w:rPr>
                <w:rFonts w:cs="Arial"/>
                <w:szCs w:val="20"/>
              </w:rPr>
              <w:t>Results &gt; 1000</w:t>
            </w:r>
            <w:r w:rsidRPr="00A905E0">
              <w:rPr>
                <w:rFonts w:cs="Arial"/>
                <w:szCs w:val="20"/>
              </w:rPr>
              <w:t xml:space="preserve"> should be diluted </w:t>
            </w:r>
            <w:r>
              <w:rPr>
                <w:rFonts w:cs="Arial"/>
                <w:szCs w:val="20"/>
              </w:rPr>
              <w:t>1:4 with saline</w:t>
            </w:r>
            <w:r w:rsidRPr="00A905E0">
              <w:rPr>
                <w:rFonts w:cs="Arial"/>
                <w:szCs w:val="20"/>
              </w:rPr>
              <w:t>.  Release results without error messages following this dilution.</w:t>
            </w:r>
          </w:p>
          <w:p w14:paraId="1516BBCC" w14:textId="28A14681" w:rsidR="00EA580E" w:rsidRPr="00F84C8E" w:rsidRDefault="00F84C8E" w:rsidP="00F84C8E">
            <w:pPr>
              <w:numPr>
                <w:ilvl w:val="0"/>
                <w:numId w:val="40"/>
              </w:numPr>
              <w:rPr>
                <w:rFonts w:cs="Arial"/>
                <w:szCs w:val="20"/>
              </w:rPr>
            </w:pPr>
            <w:r>
              <w:rPr>
                <w:rFonts w:cs="Arial"/>
                <w:szCs w:val="20"/>
              </w:rPr>
              <w:t xml:space="preserve">Results &gt; </w:t>
            </w:r>
            <w:r w:rsidR="00A905E0">
              <w:rPr>
                <w:rFonts w:cs="Arial"/>
                <w:szCs w:val="20"/>
              </w:rPr>
              <w:t>2000</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A905E0">
              <w:rPr>
                <w:rFonts w:cs="Arial"/>
                <w:szCs w:val="20"/>
              </w:rPr>
              <w:t>2000</w:t>
            </w:r>
            <w:r w:rsidRPr="00A166AA">
              <w:rPr>
                <w:rFonts w:cs="Arial"/>
                <w:szCs w:val="20"/>
              </w:rPr>
              <w:t>.</w:t>
            </w:r>
          </w:p>
          <w:p w14:paraId="5CD0003C" w14:textId="77777777" w:rsidR="00F83DB0" w:rsidRPr="00DC7421" w:rsidRDefault="00F83DB0" w:rsidP="00A905E0">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6412EDBB"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w:t>
            </w:r>
            <w:r w:rsidR="00DC6EF7">
              <w:rPr>
                <w:rFonts w:cs="Arial"/>
                <w:szCs w:val="20"/>
              </w:rPr>
              <w:t>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14:paraId="204B00B8" w14:textId="1B906475" w:rsidR="00A905E0" w:rsidRPr="00A905E0" w:rsidRDefault="00A905E0" w:rsidP="00A905E0">
            <w:pPr>
              <w:numPr>
                <w:ilvl w:val="0"/>
                <w:numId w:val="33"/>
              </w:numPr>
              <w:rPr>
                <w:rFonts w:cs="Arial"/>
                <w:szCs w:val="20"/>
              </w:rPr>
            </w:pPr>
            <w:r>
              <w:rPr>
                <w:rFonts w:cs="Arial"/>
                <w:szCs w:val="20"/>
              </w:rPr>
              <w:t>Abbott Alinity c Transferrin</w:t>
            </w:r>
            <w:r w:rsidRPr="00A905E0">
              <w:rPr>
                <w:rFonts w:cs="Arial"/>
                <w:szCs w:val="20"/>
              </w:rPr>
              <w:t xml:space="preserve"> Reagent Kit Instructions for Use, Abbott Diagnostics Division, Abb</w:t>
            </w:r>
            <w:r>
              <w:rPr>
                <w:rFonts w:cs="Arial"/>
                <w:szCs w:val="20"/>
              </w:rPr>
              <w:t>ott Park, IL USA.  Revised February</w:t>
            </w:r>
            <w:r w:rsidRPr="00A905E0">
              <w:rPr>
                <w:rFonts w:cs="Arial"/>
                <w:szCs w:val="20"/>
              </w:rPr>
              <w:t xml:space="preserve"> 2018</w:t>
            </w:r>
          </w:p>
          <w:p w14:paraId="2CAB4D58" w14:textId="77777777" w:rsidR="00A905E0" w:rsidRPr="00A905E0" w:rsidRDefault="00A905E0" w:rsidP="00A905E0">
            <w:pPr>
              <w:numPr>
                <w:ilvl w:val="0"/>
                <w:numId w:val="33"/>
              </w:numPr>
              <w:rPr>
                <w:rFonts w:cs="Arial"/>
                <w:szCs w:val="20"/>
              </w:rPr>
            </w:pPr>
            <w:r w:rsidRPr="00A905E0">
              <w:rPr>
                <w:rFonts w:cs="Arial"/>
                <w:szCs w:val="20"/>
              </w:rPr>
              <w:t>Abbott Alinity c Specific Proteins Multiconstituent Calibrators Package Insert, Abbott Diagnostics Division, Abbott Park, IL USA.  Revised February 2018</w:t>
            </w:r>
          </w:p>
          <w:p w14:paraId="42C2E489" w14:textId="77777777" w:rsidR="00A905E0" w:rsidRPr="00A905E0" w:rsidRDefault="00A905E0" w:rsidP="00A905E0">
            <w:pPr>
              <w:numPr>
                <w:ilvl w:val="0"/>
                <w:numId w:val="33"/>
              </w:numPr>
              <w:rPr>
                <w:rFonts w:cs="Arial"/>
                <w:szCs w:val="20"/>
              </w:rPr>
            </w:pPr>
            <w:r w:rsidRPr="00A905E0">
              <w:rPr>
                <w:rFonts w:cs="Arial"/>
                <w:szCs w:val="20"/>
              </w:rPr>
              <w:t>Bio-Rad Liquichek Immunology Control Package Insert, Bio-Rad Laboratories, Irvine CA, USA.</w:t>
            </w:r>
          </w:p>
          <w:p w14:paraId="49C6451E" w14:textId="4DEC0F80" w:rsidR="00A905E0" w:rsidRPr="00A905E0" w:rsidRDefault="00562F80" w:rsidP="00A905E0">
            <w:pPr>
              <w:numPr>
                <w:ilvl w:val="0"/>
                <w:numId w:val="33"/>
              </w:numPr>
              <w:rPr>
                <w:rFonts w:cs="Arial"/>
                <w:szCs w:val="20"/>
              </w:rPr>
            </w:pPr>
            <w:hyperlink r:id="rId16" w:anchor="/search" w:history="1">
              <w:r w:rsidR="00A905E0" w:rsidRPr="00A905E0">
                <w:rPr>
                  <w:rStyle w:val="Hyperlink"/>
                  <w:rFonts w:cs="Arial"/>
                  <w:szCs w:val="20"/>
                </w:rPr>
                <w:t>CALIPER Reference Range Studies</w:t>
              </w:r>
            </w:hyperlink>
            <w:r w:rsidR="00A905E0" w:rsidRPr="00A905E0">
              <w:rPr>
                <w:rFonts w:cs="Arial"/>
                <w:szCs w:val="20"/>
              </w:rPr>
              <w:t>.  Accessed October 27, 2020.</w:t>
            </w:r>
          </w:p>
          <w:p w14:paraId="5CD00046" w14:textId="77777777" w:rsidR="00E3253B" w:rsidRPr="00DC7421" w:rsidRDefault="00E3253B" w:rsidP="00A905E0">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3CD2774F"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1A96F1C4" w:rsidR="00F50200" w:rsidRPr="00DC7421" w:rsidRDefault="009A0779">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35EBD7C5" w:rsidR="00F50200" w:rsidRPr="00DC7421" w:rsidRDefault="009A0779">
            <w:pPr>
              <w:rPr>
                <w:rFonts w:cs="Arial"/>
                <w:iCs/>
                <w:szCs w:val="20"/>
              </w:rPr>
            </w:pPr>
            <w:r>
              <w:rPr>
                <w:rFonts w:cs="Arial"/>
                <w:iCs/>
                <w:szCs w:val="20"/>
              </w:rPr>
              <w:t>April 23,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A39D476" w:rsidR="00F50200" w:rsidRPr="00F84C8E" w:rsidRDefault="00A905E0">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679875A0" w:rsidR="00F50200" w:rsidRPr="00F84C8E" w:rsidRDefault="00A905E0">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5EE57542" w:rsidR="00F50200" w:rsidRPr="00F84C8E" w:rsidRDefault="00A905E0">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23D041AA" w:rsidR="00F50200" w:rsidRPr="00F84C8E" w:rsidRDefault="00A905E0">
            <w:pPr>
              <w:rPr>
                <w:rFonts w:cs="Arial"/>
                <w:iCs/>
                <w:szCs w:val="20"/>
              </w:rPr>
            </w:pPr>
            <w:r>
              <w:rPr>
                <w:rFonts w:cs="Arial"/>
                <w:iCs/>
                <w:szCs w:val="20"/>
              </w:rPr>
              <w:t>Fixed errors, changed instrument, added AMR, dilutions, reporting, dilutions, interferences, title, etc for new analyzer.</w:t>
            </w:r>
          </w:p>
        </w:tc>
      </w:tr>
    </w:tbl>
    <w:p w14:paraId="5CD0005A" w14:textId="77777777" w:rsidR="00E3253B" w:rsidRPr="00BC1DCC" w:rsidRDefault="00E3253B" w:rsidP="007132A9">
      <w:pPr>
        <w:rPr>
          <w:rFonts w:cs="Arial"/>
        </w:rPr>
      </w:pPr>
    </w:p>
    <w:sectPr w:rsidR="00E3253B" w:rsidRPr="00BC1DCC" w:rsidSect="008F2C66">
      <w:headerReference w:type="default" r:id="rId17"/>
      <w:footerReference w:type="defaul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63" w14:textId="1F8B0927" w:rsidR="00B13C1A" w:rsidRPr="002E718D" w:rsidRDefault="00B13C1A" w:rsidP="002E718D">
    <w:pPr>
      <w:ind w:left="-1260" w:right="-1260"/>
      <w:rPr>
        <w:rFonts w:cs="Arial"/>
        <w:sz w:val="16"/>
      </w:rPr>
    </w:pPr>
    <w:r>
      <w:rPr>
        <w:rFonts w:cs="Arial"/>
        <w:sz w:val="16"/>
      </w:rPr>
      <w:t>Laboratory, Chi</w:t>
    </w:r>
    <w:r w:rsidR="00945962">
      <w:rPr>
        <w:rFonts w:cs="Arial"/>
        <w:sz w:val="16"/>
      </w:rPr>
      <w:t>ldren’s</w:t>
    </w:r>
    <w:r>
      <w:rPr>
        <w:rFonts w:cs="Arial"/>
        <w:sz w:val="16"/>
      </w:rPr>
      <w:t xml:space="preserve"> Minnesota, Minneapolis,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7E3DC6">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7E3DC6">
      <w:rPr>
        <w:noProof/>
        <w:sz w:val="18"/>
      </w:rPr>
      <w:t>6</w:t>
    </w:r>
    <w:r w:rsidR="008F2C6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5F" w14:textId="7F61676A"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945962">
      <w:rPr>
        <w:rFonts w:cs="Arial"/>
      </w:rPr>
      <w:t>6.871</w:t>
    </w:r>
    <w:r w:rsidR="00981A4A">
      <w:rPr>
        <w:rFonts w:cs="Arial"/>
      </w:rPr>
      <w:t xml:space="preserve"> </w:t>
    </w:r>
    <w:r w:rsidR="00021AFC" w:rsidRPr="00021AFC">
      <w:rPr>
        <w:rFonts w:cs="Arial"/>
      </w:rPr>
      <w:t>Transferrin</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56C9531B" w:rsidR="00B13C1A" w:rsidRDefault="00B13C1A">
    <w:pPr>
      <w:ind w:left="-1260" w:right="-1260"/>
      <w:rPr>
        <w:rFonts w:cs="Arial"/>
      </w:rPr>
    </w:pPr>
    <w:r>
      <w:rPr>
        <w:rFonts w:cs="Arial"/>
      </w:rPr>
      <w:t xml:space="preserve">Effective Date: </w:t>
    </w:r>
    <w:r w:rsidR="00945962">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4298F"/>
    <w:multiLevelType w:val="hybridMultilevel"/>
    <w:tmpl w:val="E542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F74BA"/>
    <w:multiLevelType w:val="hybridMultilevel"/>
    <w:tmpl w:val="B1523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6"/>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8"/>
  </w:num>
  <w:num w:numId="15">
    <w:abstractNumId w:val="19"/>
  </w:num>
  <w:num w:numId="16">
    <w:abstractNumId w:val="1"/>
  </w:num>
  <w:num w:numId="17">
    <w:abstractNumId w:val="41"/>
  </w:num>
  <w:num w:numId="18">
    <w:abstractNumId w:val="11"/>
  </w:num>
  <w:num w:numId="19">
    <w:abstractNumId w:val="18"/>
  </w:num>
  <w:num w:numId="20">
    <w:abstractNumId w:val="25"/>
  </w:num>
  <w:num w:numId="21">
    <w:abstractNumId w:val="33"/>
  </w:num>
  <w:num w:numId="22">
    <w:abstractNumId w:val="39"/>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40"/>
  </w:num>
  <w:num w:numId="38">
    <w:abstractNumId w:val="0"/>
  </w:num>
  <w:num w:numId="39">
    <w:abstractNumId w:val="9"/>
  </w:num>
  <w:num w:numId="40">
    <w:abstractNumId w:val="24"/>
  </w:num>
  <w:num w:numId="41">
    <w:abstractNumId w:val="2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3B"/>
    <w:rsid w:val="00021AFC"/>
    <w:rsid w:val="0002281F"/>
    <w:rsid w:val="000244AC"/>
    <w:rsid w:val="00025B50"/>
    <w:rsid w:val="0002771B"/>
    <w:rsid w:val="00064AD2"/>
    <w:rsid w:val="000A3E5A"/>
    <w:rsid w:val="000E63E3"/>
    <w:rsid w:val="00107680"/>
    <w:rsid w:val="001102B2"/>
    <w:rsid w:val="00115DD6"/>
    <w:rsid w:val="001241E4"/>
    <w:rsid w:val="0017089C"/>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100D1"/>
    <w:rsid w:val="003145F4"/>
    <w:rsid w:val="0031680C"/>
    <w:rsid w:val="003278F7"/>
    <w:rsid w:val="00370B0F"/>
    <w:rsid w:val="00387FF5"/>
    <w:rsid w:val="0039587D"/>
    <w:rsid w:val="003A65AD"/>
    <w:rsid w:val="003C2130"/>
    <w:rsid w:val="003D5BD7"/>
    <w:rsid w:val="003D713F"/>
    <w:rsid w:val="003E0A08"/>
    <w:rsid w:val="003E168B"/>
    <w:rsid w:val="00403B05"/>
    <w:rsid w:val="00416B6C"/>
    <w:rsid w:val="00420763"/>
    <w:rsid w:val="0042435C"/>
    <w:rsid w:val="00424D80"/>
    <w:rsid w:val="00437425"/>
    <w:rsid w:val="004407CA"/>
    <w:rsid w:val="00440E37"/>
    <w:rsid w:val="004735E9"/>
    <w:rsid w:val="00486653"/>
    <w:rsid w:val="004A698D"/>
    <w:rsid w:val="004B5D63"/>
    <w:rsid w:val="004C14CE"/>
    <w:rsid w:val="004C6A64"/>
    <w:rsid w:val="00504F3B"/>
    <w:rsid w:val="005125A4"/>
    <w:rsid w:val="00562F80"/>
    <w:rsid w:val="005665A7"/>
    <w:rsid w:val="00575F3F"/>
    <w:rsid w:val="005A7373"/>
    <w:rsid w:val="005B66A7"/>
    <w:rsid w:val="005C6F36"/>
    <w:rsid w:val="006200C0"/>
    <w:rsid w:val="00646E63"/>
    <w:rsid w:val="00655B61"/>
    <w:rsid w:val="00685D61"/>
    <w:rsid w:val="00693888"/>
    <w:rsid w:val="006A26B2"/>
    <w:rsid w:val="006A2770"/>
    <w:rsid w:val="006A41B1"/>
    <w:rsid w:val="006A5A84"/>
    <w:rsid w:val="006B78CE"/>
    <w:rsid w:val="006C5661"/>
    <w:rsid w:val="006C7814"/>
    <w:rsid w:val="007132A9"/>
    <w:rsid w:val="00713832"/>
    <w:rsid w:val="00747868"/>
    <w:rsid w:val="007B1809"/>
    <w:rsid w:val="007B2A3E"/>
    <w:rsid w:val="007B410A"/>
    <w:rsid w:val="007E3DC6"/>
    <w:rsid w:val="007F5B07"/>
    <w:rsid w:val="008044BA"/>
    <w:rsid w:val="0081197E"/>
    <w:rsid w:val="0081598A"/>
    <w:rsid w:val="00824C10"/>
    <w:rsid w:val="008A71A5"/>
    <w:rsid w:val="008A7CDA"/>
    <w:rsid w:val="008B53E5"/>
    <w:rsid w:val="008D3369"/>
    <w:rsid w:val="008D7EF5"/>
    <w:rsid w:val="008F2C66"/>
    <w:rsid w:val="00914DEC"/>
    <w:rsid w:val="00932D51"/>
    <w:rsid w:val="00944DFA"/>
    <w:rsid w:val="00945962"/>
    <w:rsid w:val="009475C8"/>
    <w:rsid w:val="00950E15"/>
    <w:rsid w:val="00981A4A"/>
    <w:rsid w:val="00984816"/>
    <w:rsid w:val="009A0779"/>
    <w:rsid w:val="009A1A3D"/>
    <w:rsid w:val="009C08FA"/>
    <w:rsid w:val="009C4BDA"/>
    <w:rsid w:val="009C5A69"/>
    <w:rsid w:val="009D085B"/>
    <w:rsid w:val="009F5F31"/>
    <w:rsid w:val="00A002D3"/>
    <w:rsid w:val="00A062E1"/>
    <w:rsid w:val="00A166AA"/>
    <w:rsid w:val="00A23086"/>
    <w:rsid w:val="00A23FFE"/>
    <w:rsid w:val="00A32948"/>
    <w:rsid w:val="00A34EE2"/>
    <w:rsid w:val="00A47941"/>
    <w:rsid w:val="00A5637B"/>
    <w:rsid w:val="00A64AE8"/>
    <w:rsid w:val="00A776A5"/>
    <w:rsid w:val="00A86097"/>
    <w:rsid w:val="00A905E0"/>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13C50"/>
    <w:rsid w:val="00CD06C7"/>
    <w:rsid w:val="00CE07E8"/>
    <w:rsid w:val="00CE16FB"/>
    <w:rsid w:val="00CF08A6"/>
    <w:rsid w:val="00D271B1"/>
    <w:rsid w:val="00D302B9"/>
    <w:rsid w:val="00D63C07"/>
    <w:rsid w:val="00D75850"/>
    <w:rsid w:val="00D955F6"/>
    <w:rsid w:val="00DC24D6"/>
    <w:rsid w:val="00DC6EF7"/>
    <w:rsid w:val="00DC7091"/>
    <w:rsid w:val="00DC7421"/>
    <w:rsid w:val="00DF5549"/>
    <w:rsid w:val="00DF6343"/>
    <w:rsid w:val="00E049CF"/>
    <w:rsid w:val="00E246BA"/>
    <w:rsid w:val="00E3253B"/>
    <w:rsid w:val="00E47DE5"/>
    <w:rsid w:val="00E537DC"/>
    <w:rsid w:val="00E55C7B"/>
    <w:rsid w:val="00E93074"/>
    <w:rsid w:val="00EA2B3F"/>
    <w:rsid w:val="00EA580E"/>
    <w:rsid w:val="00EB4B6C"/>
    <w:rsid w:val="00EE145B"/>
    <w:rsid w:val="00EF1741"/>
    <w:rsid w:val="00F0405E"/>
    <w:rsid w:val="00F236AF"/>
    <w:rsid w:val="00F50200"/>
    <w:rsid w:val="00F52BBA"/>
    <w:rsid w:val="00F6060A"/>
    <w:rsid w:val="00F63DA5"/>
    <w:rsid w:val="00F83DB0"/>
    <w:rsid w:val="00F84C8E"/>
    <w:rsid w:val="00FC1FB6"/>
    <w:rsid w:val="00FC73D9"/>
    <w:rsid w:val="00FC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liper.research.sickkid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088E5-01B6-45A3-B360-8B0A61C6A90A}">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c1848e11-9cf6-4ce4-877e-6837d2c2fa23"/>
    <ds:schemaRef ds:uri="http://schemas.microsoft.com/sharepoint.v3"/>
    <ds:schemaRef ds:uri="http://schemas.microsoft.com/office/2006/metadata/properties"/>
    <ds:schemaRef ds:uri="http://schemas.microsoft.com/sharepoint/v3/fields"/>
    <ds:schemaRef ds:uri="http://purl.org/dc/dcmitype/"/>
    <ds:schemaRef ds:uri="199f0838-75a6-4f0c-9be1-f2c07140bccc"/>
    <ds:schemaRef ds:uri="http://schemas.microsoft.com/sharepoint/v3"/>
    <ds:schemaRef ds:uri="http://purl.org/dc/term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79057C37-F745-45C6-B7AC-AFB5925C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6</Pages>
  <Words>1778</Words>
  <Characters>10717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12471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5</cp:revision>
  <cp:lastPrinted>2020-04-15T15:00:00Z</cp:lastPrinted>
  <dcterms:created xsi:type="dcterms:W3CDTF">2020-11-10T21:53:00Z</dcterms:created>
  <dcterms:modified xsi:type="dcterms:W3CDTF">2021-01-14T18:34:00Z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