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2F438CB6" w:rsidR="006C5661" w:rsidRDefault="006877CD">
            <w:pPr>
              <w:rPr>
                <w:rFonts w:cs="Arial"/>
                <w:b/>
                <w:bCs/>
                <w:color w:val="0000FF"/>
              </w:rPr>
            </w:pPr>
            <w:r>
              <w:rPr>
                <w:rFonts w:cs="Arial"/>
                <w:b/>
                <w:bCs/>
                <w:color w:val="0000FF"/>
                <w:sz w:val="36"/>
              </w:rPr>
              <w:t>Thyroglobulin Antibody (</w:t>
            </w:r>
            <w:r w:rsidR="00D1566C">
              <w:rPr>
                <w:rFonts w:cs="Arial"/>
                <w:b/>
                <w:bCs/>
                <w:color w:val="0000FF"/>
                <w:sz w:val="36"/>
              </w:rPr>
              <w:t>Anti- Tg</w:t>
            </w:r>
            <w:r>
              <w:rPr>
                <w:rFonts w:cs="Arial"/>
                <w:b/>
                <w:bCs/>
                <w:color w:val="0000FF"/>
                <w:sz w:val="36"/>
              </w:rPr>
              <w:t>)</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D2FB864" w14:textId="3D5D005A" w:rsidR="006877CD" w:rsidRDefault="00A34EE2" w:rsidP="006877CD">
            <w:pPr>
              <w:autoSpaceDE w:val="0"/>
              <w:autoSpaceDN w:val="0"/>
              <w:adjustRightInd w:val="0"/>
              <w:rPr>
                <w:rStyle w:val="A7"/>
                <w:rFonts w:cs="Arial"/>
                <w:b w:val="0"/>
                <w:bCs w:val="0"/>
                <w:sz w:val="20"/>
                <w:szCs w:val="20"/>
              </w:rPr>
            </w:pPr>
            <w:r w:rsidRPr="00DC7421">
              <w:rPr>
                <w:rStyle w:val="A7"/>
                <w:rFonts w:cs="Arial"/>
                <w:b w:val="0"/>
                <w:bCs w:val="0"/>
                <w:sz w:val="20"/>
                <w:szCs w:val="20"/>
              </w:rPr>
              <w:t xml:space="preserve">This procedure provides instructions </w:t>
            </w:r>
            <w:r w:rsidR="006877CD">
              <w:rPr>
                <w:rStyle w:val="A7"/>
                <w:rFonts w:cs="Arial"/>
                <w:b w:val="0"/>
                <w:bCs w:val="0"/>
                <w:sz w:val="20"/>
                <w:szCs w:val="20"/>
              </w:rPr>
              <w:t>for performing THYROGLOBULIN ANTIBODY (also known as Anti-Tg)</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6877CD" w:rsidRPr="006877CD">
              <w:rPr>
                <w:rStyle w:val="A7"/>
                <w:rFonts w:cs="Arial"/>
                <w:b w:val="0"/>
                <w:bCs w:val="0"/>
                <w:sz w:val="20"/>
                <w:szCs w:val="20"/>
              </w:rPr>
              <w:t>The Alinity i Anti-Tg assay is a chemiluminescent</w:t>
            </w:r>
            <w:r w:rsidR="006877CD">
              <w:rPr>
                <w:rStyle w:val="A7"/>
                <w:rFonts w:cs="Arial"/>
                <w:b w:val="0"/>
                <w:bCs w:val="0"/>
                <w:sz w:val="20"/>
                <w:szCs w:val="20"/>
              </w:rPr>
              <w:t xml:space="preserve"> </w:t>
            </w:r>
            <w:r w:rsidR="006877CD" w:rsidRPr="006877CD">
              <w:rPr>
                <w:rStyle w:val="A7"/>
                <w:rFonts w:cs="Arial"/>
                <w:b w:val="0"/>
                <w:bCs w:val="0"/>
                <w:sz w:val="20"/>
                <w:szCs w:val="20"/>
              </w:rPr>
              <w:t>microparticle</w:t>
            </w:r>
            <w:r w:rsidR="006877CD">
              <w:rPr>
                <w:rStyle w:val="A7"/>
                <w:rFonts w:cs="Arial"/>
                <w:b w:val="0"/>
                <w:bCs w:val="0"/>
                <w:sz w:val="20"/>
                <w:szCs w:val="20"/>
              </w:rPr>
              <w:t xml:space="preserve"> </w:t>
            </w:r>
            <w:r w:rsidR="006877CD" w:rsidRPr="006877CD">
              <w:rPr>
                <w:rStyle w:val="A7"/>
                <w:rFonts w:cs="Arial"/>
                <w:b w:val="0"/>
                <w:bCs w:val="0"/>
                <w:sz w:val="20"/>
                <w:szCs w:val="20"/>
              </w:rPr>
              <w:t>immunoassay (CMIA) used for the quantitative determination of the</w:t>
            </w:r>
            <w:r w:rsidR="006877CD">
              <w:rPr>
                <w:rStyle w:val="A7"/>
                <w:rFonts w:cs="Arial"/>
                <w:b w:val="0"/>
                <w:bCs w:val="0"/>
                <w:sz w:val="20"/>
                <w:szCs w:val="20"/>
              </w:rPr>
              <w:t xml:space="preserve"> </w:t>
            </w:r>
            <w:r w:rsidR="006877CD" w:rsidRPr="006877CD">
              <w:rPr>
                <w:rStyle w:val="A7"/>
                <w:rFonts w:cs="Arial"/>
                <w:b w:val="0"/>
                <w:bCs w:val="0"/>
                <w:sz w:val="20"/>
                <w:szCs w:val="20"/>
              </w:rPr>
              <w:t>IgG class of thyroglobulin autoantibodies (anti-Tg) in human serum</w:t>
            </w:r>
            <w:r w:rsidR="006877CD">
              <w:rPr>
                <w:rStyle w:val="A7"/>
                <w:rFonts w:cs="Arial"/>
                <w:b w:val="0"/>
                <w:bCs w:val="0"/>
                <w:sz w:val="20"/>
                <w:szCs w:val="20"/>
              </w:rPr>
              <w:t xml:space="preserve"> </w:t>
            </w:r>
            <w:r w:rsidR="006877CD" w:rsidRPr="006877CD">
              <w:rPr>
                <w:rStyle w:val="A7"/>
                <w:rFonts w:cs="Arial"/>
                <w:b w:val="0"/>
                <w:bCs w:val="0"/>
                <w:sz w:val="20"/>
                <w:szCs w:val="20"/>
              </w:rPr>
              <w:t>and plasma on the Alinity i analyzer.</w:t>
            </w:r>
          </w:p>
          <w:p w14:paraId="5C5C2B8E" w14:textId="77777777" w:rsidR="006877CD" w:rsidRPr="006877CD" w:rsidRDefault="006877CD" w:rsidP="006877CD">
            <w:pPr>
              <w:autoSpaceDE w:val="0"/>
              <w:autoSpaceDN w:val="0"/>
              <w:adjustRightInd w:val="0"/>
              <w:rPr>
                <w:rStyle w:val="A7"/>
                <w:rFonts w:cs="Arial"/>
                <w:b w:val="0"/>
                <w:bCs w:val="0"/>
                <w:sz w:val="20"/>
                <w:szCs w:val="20"/>
              </w:rPr>
            </w:pPr>
          </w:p>
          <w:p w14:paraId="1A72F38B" w14:textId="34E8A705" w:rsidR="00E3253B" w:rsidRDefault="006877CD" w:rsidP="006877CD">
            <w:pPr>
              <w:autoSpaceDE w:val="0"/>
              <w:autoSpaceDN w:val="0"/>
              <w:adjustRightInd w:val="0"/>
              <w:rPr>
                <w:rFonts w:cs="Arial"/>
                <w:color w:val="000000"/>
                <w:szCs w:val="20"/>
              </w:rPr>
            </w:pPr>
            <w:r w:rsidRPr="006877CD">
              <w:rPr>
                <w:rStyle w:val="A7"/>
                <w:rFonts w:cs="Arial"/>
                <w:b w:val="0"/>
                <w:bCs w:val="0"/>
                <w:sz w:val="20"/>
                <w:szCs w:val="20"/>
              </w:rPr>
              <w:t>The Alinity i Anti-Tg assay is to be used as an aid in the diagnosis of</w:t>
            </w:r>
            <w:r>
              <w:rPr>
                <w:rStyle w:val="A7"/>
                <w:rFonts w:cs="Arial"/>
                <w:b w:val="0"/>
                <w:bCs w:val="0"/>
                <w:sz w:val="20"/>
                <w:szCs w:val="20"/>
              </w:rPr>
              <w:t xml:space="preserve"> </w:t>
            </w:r>
            <w:r w:rsidRPr="006877CD">
              <w:rPr>
                <w:rStyle w:val="A7"/>
                <w:rFonts w:cs="Arial"/>
                <w:b w:val="0"/>
                <w:bCs w:val="0"/>
                <w:sz w:val="20"/>
                <w:szCs w:val="20"/>
              </w:rPr>
              <w:t>autoimmune thyroid disease.</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3CE1F3E" w:rsidR="001A1584" w:rsidRPr="001A1584" w:rsidRDefault="001A1584" w:rsidP="001A1584">
            <w:pPr>
              <w:rPr>
                <w:rFonts w:cs="Arial"/>
                <w:szCs w:val="20"/>
              </w:rPr>
            </w:pPr>
            <w:r w:rsidRPr="001A1584">
              <w:rPr>
                <w:rFonts w:cs="Arial"/>
                <w:szCs w:val="20"/>
              </w:rPr>
              <w:t>This procedure applies to all personnel responsible for operating the Abb</w:t>
            </w:r>
            <w:r w:rsidR="006877CD">
              <w:rPr>
                <w:rFonts w:cs="Arial"/>
                <w:szCs w:val="20"/>
              </w:rPr>
              <w:t>ott Alinity i</w:t>
            </w:r>
            <w:r w:rsidRPr="001A1584">
              <w:rPr>
                <w:rFonts w:cs="Arial"/>
                <w:szCs w:val="20"/>
              </w:rPr>
              <w:t xml:space="preserve"> at </w:t>
            </w:r>
            <w:r w:rsidR="006877CD">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4675DBC" w14:textId="18DDB1D0" w:rsidR="00002500" w:rsidRPr="00002500" w:rsidRDefault="00002500" w:rsidP="00002500">
            <w:pPr>
              <w:pStyle w:val="Header"/>
              <w:rPr>
                <w:rFonts w:cs="Arial"/>
                <w:color w:val="000000"/>
                <w:szCs w:val="20"/>
              </w:rPr>
            </w:pPr>
            <w:r w:rsidRPr="00002500">
              <w:rPr>
                <w:rFonts w:cs="Arial"/>
                <w:color w:val="000000"/>
                <w:szCs w:val="20"/>
              </w:rPr>
              <w:t>This assay is a two-step immunoassay for the quantitative</w:t>
            </w:r>
            <w:r>
              <w:rPr>
                <w:rFonts w:cs="Arial"/>
                <w:color w:val="000000"/>
                <w:szCs w:val="20"/>
              </w:rPr>
              <w:t xml:space="preserve"> </w:t>
            </w:r>
            <w:r w:rsidRPr="00002500">
              <w:rPr>
                <w:rFonts w:cs="Arial"/>
                <w:color w:val="000000"/>
                <w:szCs w:val="20"/>
              </w:rPr>
              <w:t>determination of the IgG class of thyroglobulin autoantibodies</w:t>
            </w:r>
            <w:r>
              <w:rPr>
                <w:rFonts w:cs="Arial"/>
                <w:color w:val="000000"/>
                <w:szCs w:val="20"/>
              </w:rPr>
              <w:t xml:space="preserve"> </w:t>
            </w:r>
            <w:r w:rsidRPr="00002500">
              <w:rPr>
                <w:rFonts w:cs="Arial"/>
                <w:color w:val="000000"/>
                <w:szCs w:val="20"/>
              </w:rPr>
              <w:t>(anti-Tg) in human serum and plasma using chemiluminescent</w:t>
            </w:r>
          </w:p>
          <w:p w14:paraId="7ABF19B4" w14:textId="77777777" w:rsidR="006C5661" w:rsidRDefault="00002500" w:rsidP="00002500">
            <w:pPr>
              <w:pStyle w:val="Header"/>
              <w:rPr>
                <w:rFonts w:cs="Arial"/>
                <w:color w:val="000000"/>
                <w:szCs w:val="20"/>
              </w:rPr>
            </w:pPr>
            <w:r w:rsidRPr="00002500">
              <w:rPr>
                <w:rFonts w:cs="Arial"/>
                <w:color w:val="000000"/>
                <w:szCs w:val="20"/>
              </w:rPr>
              <w:t>microparticle immunoassay (CMIA) technology.</w:t>
            </w:r>
            <w:r>
              <w:rPr>
                <w:rFonts w:cs="Arial"/>
                <w:color w:val="000000"/>
                <w:szCs w:val="20"/>
              </w:rPr>
              <w:t xml:space="preserve"> </w:t>
            </w:r>
            <w:r w:rsidRPr="00002500">
              <w:rPr>
                <w:rFonts w:cs="Arial"/>
                <w:color w:val="000000"/>
                <w:szCs w:val="20"/>
              </w:rPr>
              <w:t>Sample, Tg coated paramagnetic microparticles, and assay diluent</w:t>
            </w:r>
            <w:r>
              <w:rPr>
                <w:rFonts w:cs="Arial"/>
                <w:color w:val="000000"/>
                <w:szCs w:val="20"/>
              </w:rPr>
              <w:t xml:space="preserve"> </w:t>
            </w:r>
            <w:r w:rsidRPr="00002500">
              <w:rPr>
                <w:rFonts w:cs="Arial"/>
                <w:color w:val="000000"/>
                <w:szCs w:val="20"/>
              </w:rPr>
              <w:t>are combined and incubated. The anti-Tg present in the sample</w:t>
            </w:r>
            <w:r>
              <w:rPr>
                <w:rFonts w:cs="Arial"/>
                <w:color w:val="000000"/>
                <w:szCs w:val="20"/>
              </w:rPr>
              <w:t xml:space="preserve"> </w:t>
            </w:r>
            <w:r w:rsidRPr="00002500">
              <w:rPr>
                <w:rFonts w:cs="Arial"/>
                <w:color w:val="000000"/>
                <w:szCs w:val="20"/>
              </w:rPr>
              <w:t>binds to the Tg coated microparticles. The mixture is washed.</w:t>
            </w:r>
            <w:r>
              <w:rPr>
                <w:rFonts w:cs="Arial"/>
                <w:color w:val="000000"/>
                <w:szCs w:val="20"/>
              </w:rPr>
              <w:t xml:space="preserve"> </w:t>
            </w:r>
            <w:r w:rsidRPr="00002500">
              <w:rPr>
                <w:rFonts w:cs="Arial"/>
                <w:color w:val="000000"/>
                <w:szCs w:val="20"/>
              </w:rPr>
              <w:t>Anti-human IgG acridinium-labeled conjugate is added to create a</w:t>
            </w:r>
            <w:r>
              <w:rPr>
                <w:rFonts w:cs="Arial"/>
                <w:color w:val="000000"/>
                <w:szCs w:val="20"/>
              </w:rPr>
              <w:t xml:space="preserve"> </w:t>
            </w:r>
            <w:r w:rsidRPr="00002500">
              <w:rPr>
                <w:rFonts w:cs="Arial"/>
                <w:color w:val="000000"/>
                <w:szCs w:val="20"/>
              </w:rPr>
              <w:t>reaction mixture and incubated. Following a wash cycle, Pre-Trigger</w:t>
            </w:r>
            <w:r>
              <w:rPr>
                <w:rFonts w:cs="Arial"/>
                <w:color w:val="000000"/>
                <w:szCs w:val="20"/>
              </w:rPr>
              <w:t xml:space="preserve"> </w:t>
            </w:r>
            <w:r w:rsidRPr="00002500">
              <w:rPr>
                <w:rFonts w:cs="Arial"/>
                <w:color w:val="000000"/>
                <w:szCs w:val="20"/>
              </w:rPr>
              <w:t>and Trigger Solutions are added.</w:t>
            </w:r>
          </w:p>
          <w:p w14:paraId="01F6C7CD" w14:textId="77777777" w:rsidR="00002500" w:rsidRDefault="00002500" w:rsidP="00002500">
            <w:pPr>
              <w:pStyle w:val="Header"/>
              <w:rPr>
                <w:rFonts w:cs="Arial"/>
                <w:color w:val="000000"/>
                <w:szCs w:val="20"/>
              </w:rPr>
            </w:pPr>
          </w:p>
          <w:p w14:paraId="5C84F2C7" w14:textId="734F4287" w:rsidR="00002500" w:rsidRPr="00002500" w:rsidRDefault="00002500" w:rsidP="00002500">
            <w:pPr>
              <w:pStyle w:val="Header"/>
              <w:rPr>
                <w:rFonts w:cs="Arial"/>
                <w:color w:val="000000"/>
                <w:szCs w:val="20"/>
              </w:rPr>
            </w:pPr>
            <w:r w:rsidRPr="00002500">
              <w:rPr>
                <w:rFonts w:cs="Arial"/>
                <w:color w:val="000000"/>
                <w:szCs w:val="20"/>
              </w:rPr>
              <w:t>The resulting chemiluminescent reaction is measured as relative light</w:t>
            </w:r>
            <w:r>
              <w:rPr>
                <w:rFonts w:cs="Arial"/>
                <w:color w:val="000000"/>
                <w:szCs w:val="20"/>
              </w:rPr>
              <w:t xml:space="preserve"> </w:t>
            </w:r>
            <w:r w:rsidRPr="00002500">
              <w:rPr>
                <w:rFonts w:cs="Arial"/>
                <w:color w:val="000000"/>
                <w:szCs w:val="20"/>
              </w:rPr>
              <w:t>units (RLUs). There is a direct relationship between the amount of</w:t>
            </w:r>
            <w:r>
              <w:rPr>
                <w:rFonts w:cs="Arial"/>
                <w:color w:val="000000"/>
                <w:szCs w:val="20"/>
              </w:rPr>
              <w:t xml:space="preserve"> </w:t>
            </w:r>
            <w:r w:rsidRPr="00002500">
              <w:rPr>
                <w:rFonts w:cs="Arial"/>
                <w:color w:val="000000"/>
                <w:szCs w:val="20"/>
              </w:rPr>
              <w:t>anti-Tg in the sample and the RLUs detected by the system optics.</w:t>
            </w:r>
          </w:p>
          <w:p w14:paraId="2C252E92" w14:textId="77777777" w:rsidR="00002500" w:rsidRDefault="00002500" w:rsidP="00002500">
            <w:pPr>
              <w:pStyle w:val="Header"/>
              <w:rPr>
                <w:rFonts w:cs="Arial"/>
                <w:color w:val="000000"/>
                <w:szCs w:val="20"/>
              </w:rPr>
            </w:pPr>
          </w:p>
          <w:p w14:paraId="3AD396C3" w14:textId="77777777" w:rsidR="00002500" w:rsidRDefault="00002500" w:rsidP="00002500">
            <w:pPr>
              <w:pStyle w:val="Header"/>
              <w:rPr>
                <w:rFonts w:cs="Arial"/>
                <w:color w:val="000000"/>
                <w:szCs w:val="20"/>
              </w:rPr>
            </w:pPr>
            <w:r w:rsidRPr="00002500">
              <w:rPr>
                <w:rFonts w:cs="Arial"/>
                <w:color w:val="000000"/>
                <w:szCs w:val="20"/>
              </w:rPr>
              <w:t>For additional information on system and assay technology, refer to</w:t>
            </w:r>
            <w:r>
              <w:rPr>
                <w:rFonts w:cs="Arial"/>
                <w:color w:val="000000"/>
                <w:szCs w:val="20"/>
              </w:rPr>
              <w:t xml:space="preserve"> </w:t>
            </w:r>
            <w:r w:rsidRPr="00002500">
              <w:rPr>
                <w:rFonts w:cs="Arial"/>
                <w:color w:val="000000"/>
                <w:szCs w:val="20"/>
              </w:rPr>
              <w:t>the Alinity ci-series Operations Manual, Section 3.</w:t>
            </w:r>
          </w:p>
          <w:p w14:paraId="5CCFFF81" w14:textId="503921D4" w:rsidR="00002500" w:rsidRPr="00DC7421" w:rsidRDefault="00002500" w:rsidP="00002500">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7F3DE38" w14:textId="20C27ECF" w:rsidR="00D1566C" w:rsidRDefault="00D1566C" w:rsidP="00D1566C">
            <w:r w:rsidRPr="00D1566C">
              <w:t>Autoimmune thyroiditis was first</w:t>
            </w:r>
            <w:r w:rsidR="002D32D6">
              <w:t xml:space="preserve"> described by Hashimoto in 1912</w:t>
            </w:r>
            <w:r w:rsidR="00D166C8">
              <w:t xml:space="preserve"> </w:t>
            </w:r>
            <w:r w:rsidRPr="00D1566C">
              <w:t>and autoimmune thyroid disease with associated goitre is termed</w:t>
            </w:r>
            <w:r w:rsidR="00D166C8">
              <w:t xml:space="preserve"> </w:t>
            </w:r>
            <w:r w:rsidRPr="00D1566C">
              <w:t>Hashimoto</w:t>
            </w:r>
            <w:r w:rsidRPr="00D1566C">
              <w:rPr>
                <w:rFonts w:hint="eastAsia"/>
              </w:rPr>
              <w:t>’</w:t>
            </w:r>
            <w:r w:rsidRPr="00D1566C">
              <w:t>s thyroiditis. The presence of anti-Tg in patients with</w:t>
            </w:r>
            <w:r w:rsidR="00D166C8">
              <w:t xml:space="preserve"> this </w:t>
            </w:r>
            <w:r w:rsidRPr="00D1566C">
              <w:t>disease was first demon</w:t>
            </w:r>
            <w:r w:rsidR="00D166C8">
              <w:t>strated in 1956 by Roitt, et al</w:t>
            </w:r>
            <w:r w:rsidRPr="00D1566C">
              <w:t xml:space="preserve"> using</w:t>
            </w:r>
            <w:r w:rsidR="00D166C8">
              <w:t xml:space="preserve"> </w:t>
            </w:r>
            <w:r w:rsidRPr="00D1566C">
              <w:t>a precipitin reaction. Unlike autoantibodies to thyroid peroxidase</w:t>
            </w:r>
            <w:r w:rsidR="00D166C8">
              <w:t xml:space="preserve"> </w:t>
            </w:r>
            <w:r w:rsidRPr="00D1566C">
              <w:t>(anti-TPO), autoantibodies to thyroglobulin do not appear to be</w:t>
            </w:r>
            <w:r w:rsidR="00D166C8">
              <w:t xml:space="preserve"> </w:t>
            </w:r>
            <w:r w:rsidRPr="00D1566C">
              <w:t>pathogenic and may s</w:t>
            </w:r>
            <w:r w:rsidR="00D166C8">
              <w:t xml:space="preserve">imply be indicators of disease. </w:t>
            </w:r>
            <w:r w:rsidRPr="00D1566C">
              <w:t xml:space="preserve"> They have</w:t>
            </w:r>
            <w:r w:rsidR="00D166C8">
              <w:t xml:space="preserve"> </w:t>
            </w:r>
            <w:r w:rsidRPr="00D1566C">
              <w:t>been found to be polyclonal in nature and are also heterogeneous</w:t>
            </w:r>
            <w:r w:rsidR="00D166C8">
              <w:t xml:space="preserve"> </w:t>
            </w:r>
            <w:r w:rsidRPr="00D1566C">
              <w:t>with res</w:t>
            </w:r>
            <w:r w:rsidR="00D166C8">
              <w:t xml:space="preserve">pect to heavy chain subclass. </w:t>
            </w:r>
            <w:r w:rsidRPr="00D1566C">
              <w:t>Thyroglobulin is a glycoprotein of 670 000 daltons, which is</w:t>
            </w:r>
            <w:r w:rsidR="00D166C8">
              <w:t xml:space="preserve"> </w:t>
            </w:r>
            <w:r w:rsidRPr="00D1566C">
              <w:t>comprised of two identical subunits and represents the major protein</w:t>
            </w:r>
            <w:r w:rsidR="00D166C8">
              <w:t xml:space="preserve"> </w:t>
            </w:r>
            <w:r w:rsidRPr="00D1566C">
              <w:t>found in the thyroid. This protein provides 40 tyrosine residues, of the</w:t>
            </w:r>
            <w:r w:rsidR="00D166C8">
              <w:t xml:space="preserve"> </w:t>
            </w:r>
            <w:r w:rsidRPr="00D1566C">
              <w:t>140 in the molecule, used for iodination during the biosynthesis of</w:t>
            </w:r>
            <w:r w:rsidR="00D166C8">
              <w:t xml:space="preserve"> </w:t>
            </w:r>
            <w:r w:rsidRPr="00D1566C">
              <w:t>thyroxine (T4) and triiodothyronine (T3) and, therefore, is responsible</w:t>
            </w:r>
            <w:r w:rsidR="00D166C8">
              <w:t xml:space="preserve"> </w:t>
            </w:r>
            <w:r w:rsidRPr="00D1566C">
              <w:t>for the accumulation o</w:t>
            </w:r>
            <w:r w:rsidR="00D166C8">
              <w:t>f iodine by the thyroid gland.</w:t>
            </w:r>
          </w:p>
          <w:p w14:paraId="3863AE6F" w14:textId="77777777" w:rsidR="00D166C8" w:rsidRPr="00D1566C" w:rsidRDefault="00D166C8" w:rsidP="00D1566C"/>
          <w:p w14:paraId="7C870771" w14:textId="0CF0ECE8" w:rsidR="002462C0" w:rsidRDefault="00D1566C" w:rsidP="00D1566C">
            <w:r w:rsidRPr="00D1566C">
              <w:t>Although anti-Tg are found in conjunction with anti-TPO in the</w:t>
            </w:r>
            <w:r w:rsidR="00D166C8">
              <w:t xml:space="preserve"> </w:t>
            </w:r>
            <w:r w:rsidRPr="00D1566C">
              <w:t>majority of cases of Hashimoto</w:t>
            </w:r>
            <w:r w:rsidRPr="00D1566C">
              <w:rPr>
                <w:rFonts w:hint="eastAsia"/>
              </w:rPr>
              <w:t>’</w:t>
            </w:r>
            <w:r w:rsidRPr="00D1566C">
              <w:t>s thyroiditis, Primary Myxedema</w:t>
            </w:r>
            <w:r w:rsidR="00D166C8">
              <w:t xml:space="preserve"> </w:t>
            </w:r>
            <w:r w:rsidRPr="00D1566C">
              <w:t>and Graves</w:t>
            </w:r>
            <w:r w:rsidRPr="00D1566C">
              <w:rPr>
                <w:rFonts w:hint="eastAsia"/>
              </w:rPr>
              <w:t>’</w:t>
            </w:r>
            <w:r w:rsidR="00D166C8">
              <w:t xml:space="preserve"> disease, </w:t>
            </w:r>
            <w:r w:rsidRPr="00D1566C">
              <w:t>up to 1% of cases of hypothyroidism are</w:t>
            </w:r>
            <w:r w:rsidR="00D166C8">
              <w:t xml:space="preserve"> </w:t>
            </w:r>
            <w:r w:rsidRPr="00D1566C">
              <w:t>associated with anti-Tg alone.13 Anti-Tg are associated with cases</w:t>
            </w:r>
            <w:r w:rsidR="00D166C8">
              <w:t xml:space="preserve"> </w:t>
            </w:r>
            <w:r w:rsidRPr="00D1566C">
              <w:t>of mild hypothyroidism or hyperthyroidism, and are frequently found</w:t>
            </w:r>
            <w:r w:rsidR="00D166C8">
              <w:t xml:space="preserve"> </w:t>
            </w:r>
            <w:r w:rsidRPr="00D1566C">
              <w:t>in patients with other autoimmune diseases such as Rheumatoid</w:t>
            </w:r>
            <w:r w:rsidR="00D166C8">
              <w:t xml:space="preserve"> </w:t>
            </w:r>
            <w:r w:rsidR="002D32D6">
              <w:t>Arthritis, Pernicious Anemia and Type I Diabetes.</w:t>
            </w:r>
            <w:r w:rsidRPr="00D1566C">
              <w:t xml:space="preserve"> Anti-Tg are</w:t>
            </w:r>
            <w:r w:rsidR="00D166C8">
              <w:t xml:space="preserve"> </w:t>
            </w:r>
            <w:r w:rsidRPr="00D1566C">
              <w:t>detected in 30-60% of cases of thyroid carcinoma patients. In such</w:t>
            </w:r>
            <w:r w:rsidR="00D166C8">
              <w:t xml:space="preserve"> </w:t>
            </w:r>
            <w:r w:rsidRPr="00D1566C">
              <w:t xml:space="preserve">patients, measurement of Tg antigen must </w:t>
            </w:r>
            <w:proofErr w:type="gramStart"/>
            <w:r w:rsidRPr="00D1566C">
              <w:t>take into</w:t>
            </w:r>
            <w:bookmarkStart w:id="0" w:name="_GoBack"/>
            <w:bookmarkEnd w:id="0"/>
            <w:r w:rsidRPr="00D1566C">
              <w:t xml:space="preserve"> account</w:t>
            </w:r>
            <w:proofErr w:type="gramEnd"/>
            <w:r w:rsidRPr="00D1566C">
              <w:t xml:space="preserve"> the</w:t>
            </w:r>
            <w:r w:rsidR="00D166C8">
              <w:t xml:space="preserve"> </w:t>
            </w:r>
            <w:r w:rsidRPr="00D1566C">
              <w:t>likelihood of the presence of significant levels of anti</w:t>
            </w:r>
            <w:r w:rsidRPr="00D1566C">
              <w:rPr>
                <w:rFonts w:ascii="MS Gothic" w:eastAsia="MS Gothic" w:hAnsi="MS Gothic" w:cs="MS Gothic" w:hint="eastAsia"/>
              </w:rPr>
              <w:t>‑</w:t>
            </w:r>
            <w:r w:rsidRPr="00D1566C">
              <w:t>Tg, since</w:t>
            </w:r>
            <w:r w:rsidR="00D166C8">
              <w:t xml:space="preserve"> </w:t>
            </w:r>
            <w:r w:rsidRPr="00D1566C">
              <w:t>measurement and detection of Tg antigen may be influenced by the</w:t>
            </w:r>
            <w:r w:rsidR="00D166C8">
              <w:t xml:space="preserve"> presence of anti-Tg. </w:t>
            </w:r>
            <w:r w:rsidRPr="00D1566C">
              <w:t>Furthermore, low levels of anti-Tg are also found in up to 20% of</w:t>
            </w:r>
            <w:r w:rsidR="00D166C8">
              <w:t xml:space="preserve"> </w:t>
            </w:r>
            <w:r w:rsidRPr="00D1566C">
              <w:t>asymptomatic individuals, particularly the elderly and more often</w:t>
            </w:r>
            <w:r w:rsidR="00D166C8">
              <w:t xml:space="preserve"> </w:t>
            </w:r>
            <w:r w:rsidRPr="00D1566C">
              <w:t>in women than men, although the clinical significance of these</w:t>
            </w:r>
            <w:r w:rsidR="00D166C8">
              <w:t xml:space="preserve"> </w:t>
            </w:r>
            <w:r w:rsidRPr="00D1566C">
              <w:t>autoantibodies is unclear</w:t>
            </w:r>
            <w:r w:rsidR="002D32D6">
              <w:t>.</w:t>
            </w:r>
          </w:p>
          <w:p w14:paraId="5CCFFF86" w14:textId="28F80F96" w:rsidR="002D32D6" w:rsidRPr="00370B0F" w:rsidRDefault="002D32D6" w:rsidP="00D1566C"/>
        </w:tc>
      </w:tr>
      <w:tr w:rsidR="00E3253B" w14:paraId="5CCFFF8A" w14:textId="77777777" w:rsidTr="00504F3B">
        <w:trPr>
          <w:trHeight w:val="450"/>
          <w:tblHeader/>
        </w:trPr>
        <w:tc>
          <w:tcPr>
            <w:tcW w:w="1800" w:type="dxa"/>
            <w:tcBorders>
              <w:top w:val="nil"/>
              <w:left w:val="nil"/>
              <w:bottom w:val="nil"/>
              <w:right w:val="nil"/>
            </w:tcBorders>
          </w:tcPr>
          <w:p w14:paraId="5CCFFF88" w14:textId="633572AF"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131F9E03"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w:t>
            </w:r>
            <w:r w:rsidR="002D32D6">
              <w:rPr>
                <w:rFonts w:cs="Arial"/>
                <w:b/>
                <w:bCs/>
                <w:color w:val="7030A0"/>
                <w:szCs w:val="20"/>
              </w:rPr>
              <w:t>y i (Sunquest method code: MACI</w:t>
            </w:r>
            <w:r>
              <w:rPr>
                <w:rFonts w:cs="Arial"/>
                <w:b/>
                <w:bCs/>
                <w:color w:val="7030A0"/>
                <w:szCs w:val="20"/>
              </w:rPr>
              <w:t>)</w:t>
            </w:r>
          </w:p>
          <w:p w14:paraId="5CCFFF89" w14:textId="44A23F19" w:rsidR="006200C0" w:rsidRPr="00002500" w:rsidRDefault="00D75F99" w:rsidP="002D32D6">
            <w:pPr>
              <w:pStyle w:val="BodyText2"/>
              <w:spacing w:after="60" w:line="240" w:lineRule="auto"/>
              <w:rPr>
                <w:rFonts w:cs="Arial"/>
                <w:bCs/>
                <w:color w:val="7030A0"/>
                <w:szCs w:val="20"/>
              </w:rPr>
            </w:pPr>
            <w:r w:rsidRPr="00002500">
              <w:rPr>
                <w:rFonts w:cs="Arial"/>
                <w:b/>
                <w:bCs/>
                <w:szCs w:val="20"/>
              </w:rPr>
              <w:t>Backup</w:t>
            </w:r>
            <w:r w:rsidR="007F5B07" w:rsidRPr="00002500">
              <w:rPr>
                <w:rFonts w:cs="Arial"/>
                <w:b/>
                <w:bCs/>
                <w:szCs w:val="20"/>
              </w:rPr>
              <w:t>:</w:t>
            </w:r>
            <w:r w:rsidR="007F5B07" w:rsidRPr="00002500">
              <w:rPr>
                <w:rFonts w:cs="Arial"/>
                <w:bCs/>
                <w:szCs w:val="20"/>
              </w:rPr>
              <w:t xml:space="preserve"> </w:t>
            </w:r>
            <w:r w:rsidR="002D32D6" w:rsidRPr="00002500">
              <w:rPr>
                <w:rFonts w:cs="Arial"/>
                <w:bCs/>
                <w:szCs w:val="20"/>
              </w:rPr>
              <w:t xml:space="preserve">Hold samples until instrument is back in service.  If directed by provider, send to Mayo Medical Laboratories for reduced turn-around time.  </w:t>
            </w:r>
            <w:r w:rsidRPr="00002500">
              <w:rPr>
                <w:rFonts w:cs="Arial"/>
                <w:bCs/>
                <w:szCs w:val="20"/>
              </w:rPr>
              <w:t>(Code ATA)</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20A490D9" w:rsidR="00370B0F" w:rsidRPr="00D75F99" w:rsidRDefault="00D75F99" w:rsidP="00504F3B">
            <w:pPr>
              <w:rPr>
                <w:b/>
              </w:rPr>
            </w:pPr>
            <w:r w:rsidRPr="00D75F99">
              <w:rPr>
                <w:b/>
              </w:rPr>
              <w:t>ATAB</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13E07235"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C74772">
              <w:rPr>
                <w:rStyle w:val="BoldBodyText"/>
                <w:rFonts w:ascii="Arial" w:hAnsi="Arial" w:cs="Arial"/>
                <w:b w:val="0"/>
                <w:bCs w:val="0"/>
                <w:sz w:val="20"/>
                <w:szCs w:val="20"/>
              </w:rPr>
              <w:t>Serum or Serum Separator Tube (SST)</w:t>
            </w:r>
          </w:p>
          <w:p w14:paraId="34021B1C" w14:textId="248A0823"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C74772" w:rsidRPr="00C00588">
              <w:rPr>
                <w:rFonts w:cs="Arial"/>
                <w:szCs w:val="20"/>
              </w:rPr>
              <w:t>SST</w:t>
            </w:r>
          </w:p>
          <w:p w14:paraId="60FE11B0" w14:textId="25ECA59B" w:rsidR="0017089C" w:rsidRPr="00C00588" w:rsidRDefault="0017089C">
            <w:pPr>
              <w:rPr>
                <w:rFonts w:cs="Arial"/>
                <w:szCs w:val="20"/>
              </w:rPr>
            </w:pPr>
            <w:r w:rsidRPr="009475C8">
              <w:rPr>
                <w:rFonts w:cs="Arial"/>
                <w:b/>
                <w:szCs w:val="20"/>
              </w:rPr>
              <w:t>Alternative:</w:t>
            </w:r>
            <w:r w:rsidR="00C74772">
              <w:rPr>
                <w:rFonts w:cs="Arial"/>
                <w:b/>
                <w:szCs w:val="20"/>
              </w:rPr>
              <w:t xml:space="preserve"> </w:t>
            </w:r>
            <w:r w:rsidR="00C74772" w:rsidRPr="00C00588">
              <w:rPr>
                <w:rFonts w:cs="Arial"/>
                <w:szCs w:val="20"/>
              </w:rPr>
              <w:t>Lithium heparin, sodium heparin, EDTA, plasma separator with lithium heparin</w:t>
            </w:r>
          </w:p>
          <w:p w14:paraId="34F12611" w14:textId="77777777" w:rsidR="0017089C" w:rsidRPr="00DC7421" w:rsidRDefault="0017089C">
            <w:pPr>
              <w:rPr>
                <w:rFonts w:cs="Arial"/>
                <w:szCs w:val="20"/>
              </w:rPr>
            </w:pPr>
          </w:p>
          <w:p w14:paraId="5CCFFF96" w14:textId="7A9A6461"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784B0E">
              <w:rPr>
                <w:rFonts w:ascii="Arial" w:hAnsi="Arial" w:cs="Arial"/>
                <w:b/>
                <w:bCs/>
                <w:sz w:val="20"/>
                <w:szCs w:val="20"/>
              </w:rPr>
              <w:t xml:space="preserve">: </w:t>
            </w:r>
            <w:r w:rsidR="00784B0E" w:rsidRPr="00C00588">
              <w:rPr>
                <w:rFonts w:ascii="Arial" w:hAnsi="Arial" w:cs="Arial"/>
                <w:bCs/>
                <w:sz w:val="20"/>
                <w:szCs w:val="20"/>
              </w:rPr>
              <w:t>1.0</w:t>
            </w:r>
            <w:r w:rsidR="00C00588" w:rsidRPr="00C00588">
              <w:rPr>
                <w:rFonts w:ascii="Arial" w:hAnsi="Arial" w:cs="Arial"/>
                <w:bCs/>
                <w:sz w:val="20"/>
                <w:szCs w:val="20"/>
              </w:rPr>
              <w:t xml:space="preserve"> mL</w:t>
            </w:r>
            <w:r w:rsidR="00AE2334">
              <w:rPr>
                <w:rFonts w:ascii="Arial" w:hAnsi="Arial" w:cs="Arial"/>
                <w:sz w:val="20"/>
                <w:szCs w:val="20"/>
              </w:rPr>
              <w:t xml:space="preserve"> blood, </w:t>
            </w:r>
            <w:r w:rsidR="00784B0E">
              <w:rPr>
                <w:rFonts w:ascii="Arial" w:hAnsi="Arial" w:cs="Arial"/>
                <w:bCs/>
                <w:sz w:val="20"/>
                <w:szCs w:val="20"/>
              </w:rPr>
              <w:t xml:space="preserve">0.25 mL </w:t>
            </w:r>
            <w:r w:rsidR="00AE2334">
              <w:rPr>
                <w:rFonts w:ascii="Arial" w:hAnsi="Arial" w:cs="Arial"/>
                <w:sz w:val="20"/>
                <w:szCs w:val="20"/>
              </w:rPr>
              <w:t>serum/plasma</w:t>
            </w:r>
          </w:p>
          <w:p w14:paraId="4793B7F8" w14:textId="77777777" w:rsidR="00F75899" w:rsidRDefault="00F75899" w:rsidP="00F75899"/>
          <w:p w14:paraId="34F17CFD" w14:textId="5654A513" w:rsidR="00F75899" w:rsidRDefault="00F75899" w:rsidP="00F75899">
            <w:r>
              <w:t>Priority loaded:</w:t>
            </w:r>
          </w:p>
          <w:p w14:paraId="2F54C03E" w14:textId="2F1AC851" w:rsidR="00F75899" w:rsidRDefault="00F75899" w:rsidP="00F75899">
            <w:r>
              <w:t xml:space="preserve"> Sample volume for first test: 75 μL</w:t>
            </w:r>
          </w:p>
          <w:p w14:paraId="321CCB42" w14:textId="1787AB11" w:rsidR="00F75899" w:rsidRDefault="00F75899" w:rsidP="00F75899">
            <w:r>
              <w:t xml:space="preserve"> Sample volume for each additional test from same sample cup: 25 μL</w:t>
            </w:r>
          </w:p>
          <w:p w14:paraId="15AE7061" w14:textId="42A89E8A" w:rsidR="00F75899" w:rsidRDefault="00F75899" w:rsidP="00F75899">
            <w:r>
              <w:t>Routinely loaded:</w:t>
            </w:r>
          </w:p>
          <w:p w14:paraId="601A0510" w14:textId="59D6EEDF" w:rsidR="00F75899" w:rsidRDefault="00F75899" w:rsidP="00F75899">
            <w:r>
              <w:t xml:space="preserve"> Sample volume for first test: 150 μL</w:t>
            </w:r>
          </w:p>
          <w:p w14:paraId="0905708D" w14:textId="55B5DE69" w:rsidR="00F75899" w:rsidRPr="00F75899" w:rsidRDefault="00F75899" w:rsidP="00F75899">
            <w:r>
              <w:t xml:space="preserve"> Sample volume for each additional test from same sample cup: 25 μL</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69912714" w:rsidR="0017089C" w:rsidRPr="009475C8" w:rsidRDefault="0017089C">
            <w:pPr>
              <w:pStyle w:val="Header"/>
              <w:tabs>
                <w:tab w:val="clear" w:pos="4320"/>
                <w:tab w:val="clear" w:pos="8640"/>
              </w:tabs>
              <w:rPr>
                <w:rFonts w:cs="Arial"/>
                <w:b/>
                <w:szCs w:val="20"/>
              </w:rPr>
            </w:pPr>
            <w:r w:rsidRPr="009475C8">
              <w:rPr>
                <w:rFonts w:cs="Arial"/>
                <w:b/>
                <w:szCs w:val="20"/>
              </w:rPr>
              <w:t>20 to 25°C</w:t>
            </w:r>
            <w:r w:rsidR="00C00588">
              <w:rPr>
                <w:rFonts w:cs="Arial"/>
                <w:b/>
                <w:szCs w:val="20"/>
              </w:rPr>
              <w:t xml:space="preserve"> </w:t>
            </w:r>
            <w:r w:rsidR="00C00588">
              <w:rPr>
                <w:rFonts w:cs="Arial"/>
                <w:szCs w:val="20"/>
              </w:rPr>
              <w:t>8 hours</w:t>
            </w:r>
            <w:r w:rsidR="00437425" w:rsidRPr="009475C8">
              <w:rPr>
                <w:rFonts w:cs="Arial"/>
                <w:b/>
                <w:szCs w:val="20"/>
              </w:rPr>
              <w:tab/>
            </w:r>
          </w:p>
          <w:p w14:paraId="5CCFFF99" w14:textId="771FB9A5" w:rsidR="00E3253B" w:rsidRPr="009475C8" w:rsidRDefault="00BD0AE4">
            <w:pPr>
              <w:pStyle w:val="Header"/>
              <w:tabs>
                <w:tab w:val="clear" w:pos="4320"/>
                <w:tab w:val="clear" w:pos="8640"/>
              </w:tabs>
              <w:rPr>
                <w:rFonts w:cs="Arial"/>
                <w:b/>
                <w:szCs w:val="20"/>
              </w:rPr>
            </w:pPr>
            <w:r w:rsidRPr="009475C8">
              <w:rPr>
                <w:rFonts w:cs="Arial"/>
                <w:b/>
                <w:szCs w:val="20"/>
              </w:rPr>
              <w:t>2 to 8°C</w:t>
            </w:r>
            <w:r w:rsidR="00C00588">
              <w:rPr>
                <w:rFonts w:cs="Arial"/>
                <w:b/>
                <w:szCs w:val="20"/>
              </w:rPr>
              <w:t xml:space="preserve">     </w:t>
            </w:r>
            <w:r w:rsidR="00C00588">
              <w:rPr>
                <w:rFonts w:cs="Arial"/>
                <w:szCs w:val="20"/>
              </w:rPr>
              <w:t>72 Hours (remove from clot/gel if testing is delayed more than 8 hours.)</w:t>
            </w:r>
            <w:r w:rsidR="00437425" w:rsidRPr="009475C8">
              <w:rPr>
                <w:rFonts w:cs="Arial"/>
                <w:b/>
                <w:szCs w:val="20"/>
              </w:rPr>
              <w:tab/>
            </w:r>
          </w:p>
          <w:p w14:paraId="594E4A3A" w14:textId="277B8A3F" w:rsidR="00BD0AE4" w:rsidRPr="00C00588" w:rsidRDefault="00BD0AE4">
            <w:pPr>
              <w:pStyle w:val="Header"/>
              <w:tabs>
                <w:tab w:val="clear" w:pos="4320"/>
                <w:tab w:val="clear" w:pos="8640"/>
              </w:tabs>
              <w:rPr>
                <w:rFonts w:cs="Arial"/>
                <w:b/>
                <w:szCs w:val="20"/>
              </w:rPr>
            </w:pPr>
            <w:r w:rsidRPr="009475C8">
              <w:rPr>
                <w:rFonts w:cs="Arial"/>
                <w:b/>
                <w:szCs w:val="20"/>
              </w:rPr>
              <w:t>-20°C</w:t>
            </w:r>
            <w:r w:rsidR="00437425">
              <w:rPr>
                <w:rFonts w:cs="Arial"/>
                <w:szCs w:val="20"/>
              </w:rPr>
              <w:tab/>
            </w:r>
            <w:r w:rsidR="00C00588">
              <w:rPr>
                <w:rFonts w:cs="Arial"/>
                <w:szCs w:val="20"/>
              </w:rPr>
              <w:t xml:space="preserve">    </w:t>
            </w:r>
            <w:r w:rsidR="00C00588" w:rsidRPr="00C00588">
              <w:rPr>
                <w:rFonts w:cs="Arial"/>
                <w:szCs w:val="20"/>
              </w:rPr>
              <w:t>30 days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79BD9338" w14:textId="77777777" w:rsidR="00F75899" w:rsidRPr="00F75899" w:rsidRDefault="00F75899" w:rsidP="00F75899">
            <w:pPr>
              <w:numPr>
                <w:ilvl w:val="0"/>
                <w:numId w:val="26"/>
              </w:numPr>
              <w:jc w:val="both"/>
              <w:rPr>
                <w:rFonts w:cs="Arial"/>
                <w:szCs w:val="20"/>
              </w:rPr>
            </w:pPr>
            <w:r w:rsidRPr="00F75899">
              <w:rPr>
                <w:rFonts w:cs="Arial"/>
                <w:szCs w:val="20"/>
              </w:rPr>
              <w:t>Whole blood specimens should be centrifuged following complete clot formation, according to Specimen Processing procedures prior to analysis.</w:t>
            </w:r>
          </w:p>
          <w:p w14:paraId="78C5C792" w14:textId="77777777" w:rsidR="00F75899" w:rsidRPr="00F75899" w:rsidRDefault="00F75899" w:rsidP="00F75899">
            <w:pPr>
              <w:numPr>
                <w:ilvl w:val="0"/>
                <w:numId w:val="26"/>
              </w:numPr>
              <w:jc w:val="both"/>
              <w:rPr>
                <w:rFonts w:cs="Arial"/>
                <w:szCs w:val="20"/>
              </w:rPr>
            </w:pPr>
            <w:r w:rsidRPr="00F75899">
              <w:rPr>
                <w:rFonts w:cs="Arial"/>
                <w:szCs w:val="20"/>
              </w:rPr>
              <w:t>Serum or plasma should be physically separated from cells as soon as possible with a maximum limit of two hours from the time of collection.</w:t>
            </w:r>
          </w:p>
          <w:p w14:paraId="56863289" w14:textId="77777777" w:rsidR="00F75899" w:rsidRPr="00F75899" w:rsidRDefault="00F75899" w:rsidP="00F75899">
            <w:pPr>
              <w:numPr>
                <w:ilvl w:val="0"/>
                <w:numId w:val="26"/>
              </w:numPr>
              <w:jc w:val="both"/>
              <w:rPr>
                <w:rFonts w:cs="Arial"/>
                <w:szCs w:val="20"/>
              </w:rPr>
            </w:pPr>
            <w:r w:rsidRPr="00F75899">
              <w:rPr>
                <w:rFonts w:cs="Arial"/>
                <w:szCs w:val="20"/>
              </w:rPr>
              <w:t xml:space="preserve">Specimens should be free of particulate matter. </w:t>
            </w:r>
          </w:p>
          <w:p w14:paraId="754D8D67" w14:textId="77777777" w:rsidR="00F75899" w:rsidRPr="00F75899" w:rsidRDefault="00F75899" w:rsidP="00F75899">
            <w:pPr>
              <w:numPr>
                <w:ilvl w:val="0"/>
                <w:numId w:val="26"/>
              </w:numPr>
              <w:jc w:val="both"/>
              <w:rPr>
                <w:rFonts w:cs="Arial"/>
                <w:szCs w:val="20"/>
              </w:rPr>
            </w:pPr>
            <w:r w:rsidRPr="00F75899">
              <w:rPr>
                <w:rFonts w:cs="Arial"/>
                <w:szCs w:val="20"/>
              </w:rPr>
              <w:t xml:space="preserve">Transfer serum or plasma directly to a properly labeled pilot tube.  </w:t>
            </w:r>
          </w:p>
          <w:p w14:paraId="3B36AE3E" w14:textId="77777777" w:rsidR="00F75899" w:rsidRPr="00F75899" w:rsidRDefault="00F75899" w:rsidP="00F75899">
            <w:pPr>
              <w:numPr>
                <w:ilvl w:val="0"/>
                <w:numId w:val="26"/>
              </w:numPr>
              <w:jc w:val="both"/>
              <w:rPr>
                <w:rFonts w:cs="Arial"/>
                <w:szCs w:val="20"/>
              </w:rPr>
            </w:pPr>
            <w:r w:rsidRPr="00F75899">
              <w:rPr>
                <w:rFonts w:cs="Arial"/>
                <w:szCs w:val="20"/>
              </w:rPr>
              <w:t xml:space="preserve">Architect and Alinity systems utilize a specimen level detect mechanism, so special racks specific to tube-type are not required.  </w:t>
            </w:r>
          </w:p>
          <w:p w14:paraId="3BC743E2" w14:textId="77777777" w:rsidR="00F75899" w:rsidRPr="00F75899" w:rsidRDefault="00F75899" w:rsidP="00F75899">
            <w:pPr>
              <w:numPr>
                <w:ilvl w:val="0"/>
                <w:numId w:val="26"/>
              </w:numPr>
              <w:jc w:val="both"/>
              <w:rPr>
                <w:rFonts w:cs="Arial"/>
                <w:szCs w:val="20"/>
              </w:rPr>
            </w:pPr>
            <w:r w:rsidRPr="00F75899">
              <w:rPr>
                <w:rFonts w:cs="Arial"/>
                <w:szCs w:val="20"/>
              </w:rPr>
              <w:t>Minimum labeling includes sample accession ID, and/ or patient name, medical record number, collection date and time.</w:t>
            </w:r>
          </w:p>
          <w:p w14:paraId="5CCFFFA2" w14:textId="1579B912" w:rsidR="00E3253B" w:rsidRPr="004A4FB2" w:rsidRDefault="00E3253B" w:rsidP="00F75899">
            <w:pPr>
              <w:autoSpaceDE w:val="0"/>
              <w:autoSpaceDN w:val="0"/>
              <w:adjustRightInd w:val="0"/>
              <w:ind w:left="720"/>
              <w:rPr>
                <w:rFonts w:cs="Arial"/>
                <w:szCs w:val="20"/>
              </w:rPr>
            </w:pPr>
          </w:p>
        </w:tc>
      </w:tr>
      <w:tr w:rsidR="004A4FB2" w14:paraId="1DBAE947" w14:textId="77777777" w:rsidTr="007132A9">
        <w:trPr>
          <w:tblHeader/>
        </w:trPr>
        <w:tc>
          <w:tcPr>
            <w:tcW w:w="1800" w:type="dxa"/>
            <w:tcBorders>
              <w:top w:val="nil"/>
              <w:left w:val="nil"/>
              <w:bottom w:val="nil"/>
              <w:right w:val="nil"/>
            </w:tcBorders>
          </w:tcPr>
          <w:p w14:paraId="6494F8BF" w14:textId="77777777" w:rsidR="004A4FB2" w:rsidRPr="00C00B65" w:rsidRDefault="004A4FB2">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21794F9" w14:textId="77777777" w:rsidR="004A4FB2" w:rsidRPr="00DC7421" w:rsidRDefault="004A4FB2" w:rsidP="00233AA0">
            <w:pPr>
              <w:autoSpaceDE w:val="0"/>
              <w:autoSpaceDN w:val="0"/>
              <w:adjustRightInd w:val="0"/>
              <w:rPr>
                <w:rFonts w:cs="Arial"/>
                <w:b/>
                <w:bCs/>
                <w:color w:val="000000"/>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00872115" w14:textId="6CEBAB81" w:rsidR="00E70894" w:rsidRDefault="00E70894" w:rsidP="00D166C8">
            <w:pPr>
              <w:autoSpaceDE w:val="0"/>
              <w:autoSpaceDN w:val="0"/>
              <w:adjustRightInd w:val="0"/>
              <w:rPr>
                <w:rFonts w:cs="Arial"/>
                <w:color w:val="000000"/>
                <w:szCs w:val="20"/>
              </w:rPr>
            </w:pPr>
            <w:r w:rsidRPr="00E70894">
              <w:rPr>
                <w:rFonts w:cs="Arial"/>
                <w:color w:val="000000"/>
                <w:szCs w:val="20"/>
              </w:rPr>
              <w:t>Upon receipt, gently invert the unopened reagent kit by rotating</w:t>
            </w:r>
            <w:r w:rsidR="00D166C8">
              <w:rPr>
                <w:rFonts w:cs="Arial"/>
                <w:bCs/>
                <w:szCs w:val="20"/>
              </w:rPr>
              <w:t xml:space="preserve"> </w:t>
            </w:r>
            <w:r w:rsidRPr="00E70894">
              <w:rPr>
                <w:rFonts w:cs="Arial"/>
                <w:color w:val="000000"/>
                <w:szCs w:val="20"/>
              </w:rPr>
              <w:t>it over and back for a full 180 degrees, 5 times with green label</w:t>
            </w:r>
            <w:r w:rsidR="00D166C8">
              <w:rPr>
                <w:rFonts w:cs="Arial"/>
                <w:bCs/>
                <w:szCs w:val="20"/>
              </w:rPr>
              <w:t xml:space="preserve"> </w:t>
            </w:r>
            <w:r w:rsidRPr="00E70894">
              <w:rPr>
                <w:rFonts w:cs="Arial"/>
                <w:color w:val="000000"/>
                <w:szCs w:val="20"/>
              </w:rPr>
              <w:t>stripe facing up and then 5 times with green label stripe facing</w:t>
            </w:r>
            <w:r w:rsidR="00D166C8">
              <w:rPr>
                <w:rFonts w:cs="Arial"/>
                <w:bCs/>
                <w:szCs w:val="20"/>
              </w:rPr>
              <w:t xml:space="preserve"> </w:t>
            </w:r>
            <w:r w:rsidRPr="00E70894">
              <w:rPr>
                <w:rFonts w:cs="Arial"/>
                <w:color w:val="000000"/>
                <w:szCs w:val="20"/>
              </w:rPr>
              <w:t>down. This ensures that liquid covers all sides of the bottles</w:t>
            </w:r>
            <w:r w:rsidR="00D166C8">
              <w:rPr>
                <w:rFonts w:cs="Arial"/>
                <w:bCs/>
                <w:szCs w:val="20"/>
              </w:rPr>
              <w:t xml:space="preserve"> </w:t>
            </w:r>
            <w:r w:rsidRPr="00E70894">
              <w:rPr>
                <w:rFonts w:cs="Arial"/>
                <w:color w:val="000000"/>
                <w:szCs w:val="20"/>
              </w:rPr>
              <w:t>within the cartr</w:t>
            </w:r>
            <w:r w:rsidR="00D166C8">
              <w:rPr>
                <w:rFonts w:cs="Arial"/>
                <w:color w:val="000000"/>
                <w:szCs w:val="20"/>
              </w:rPr>
              <w:t xml:space="preserve">idges. During reagent shipment, </w:t>
            </w:r>
            <w:r w:rsidRPr="00E70894">
              <w:rPr>
                <w:rFonts w:cs="Arial"/>
                <w:color w:val="000000"/>
                <w:szCs w:val="20"/>
              </w:rPr>
              <w:t>microparticles</w:t>
            </w:r>
            <w:r w:rsidR="00D166C8">
              <w:rPr>
                <w:rFonts w:cs="Arial"/>
                <w:bCs/>
                <w:szCs w:val="20"/>
              </w:rPr>
              <w:t xml:space="preserve"> </w:t>
            </w:r>
            <w:r w:rsidRPr="00E70894">
              <w:rPr>
                <w:rFonts w:cs="Arial"/>
                <w:color w:val="000000"/>
                <w:szCs w:val="20"/>
              </w:rPr>
              <w:t>can settle on the reagent septum.</w:t>
            </w:r>
          </w:p>
          <w:p w14:paraId="49736A1A" w14:textId="77777777" w:rsidR="00C00588" w:rsidRPr="00D166C8" w:rsidRDefault="00C00588" w:rsidP="00D166C8">
            <w:pPr>
              <w:autoSpaceDE w:val="0"/>
              <w:autoSpaceDN w:val="0"/>
              <w:adjustRightInd w:val="0"/>
              <w:rPr>
                <w:rFonts w:cs="Arial"/>
                <w:bCs/>
                <w:szCs w:val="20"/>
              </w:rPr>
            </w:pPr>
          </w:p>
          <w:p w14:paraId="150BCC2B" w14:textId="1887807F" w:rsidR="00E70894" w:rsidRPr="00E70894" w:rsidRDefault="00E70894" w:rsidP="00E70894">
            <w:pPr>
              <w:autoSpaceDE w:val="0"/>
              <w:autoSpaceDN w:val="0"/>
              <w:adjustRightInd w:val="0"/>
              <w:spacing w:after="208"/>
              <w:rPr>
                <w:rFonts w:cs="Arial"/>
                <w:color w:val="000000"/>
                <w:szCs w:val="20"/>
              </w:rPr>
            </w:pPr>
            <w:r w:rsidRPr="00C00588">
              <w:rPr>
                <w:rFonts w:cs="Arial"/>
                <w:color w:val="000000"/>
                <w:szCs w:val="20"/>
              </w:rPr>
              <w:t>Place a check in the square on the reagent kit to indicate to</w:t>
            </w:r>
            <w:r w:rsidR="00D166C8" w:rsidRPr="00C00588">
              <w:rPr>
                <w:rFonts w:cs="Arial"/>
                <w:color w:val="000000"/>
                <w:szCs w:val="20"/>
              </w:rPr>
              <w:t xml:space="preserve"> </w:t>
            </w:r>
            <w:r w:rsidRPr="00C00588">
              <w:rPr>
                <w:rFonts w:cs="Arial"/>
                <w:color w:val="000000"/>
                <w:szCs w:val="20"/>
              </w:rPr>
              <w:t>others that the inversions have been completed.</w:t>
            </w:r>
          </w:p>
          <w:p w14:paraId="09DCBA6B" w14:textId="6CBD718F" w:rsidR="00E70894" w:rsidRPr="00E70894" w:rsidRDefault="00E70894" w:rsidP="00E70894">
            <w:pPr>
              <w:autoSpaceDE w:val="0"/>
              <w:autoSpaceDN w:val="0"/>
              <w:adjustRightInd w:val="0"/>
              <w:spacing w:after="208"/>
              <w:rPr>
                <w:rFonts w:cs="Arial"/>
                <w:color w:val="000000"/>
                <w:szCs w:val="20"/>
              </w:rPr>
            </w:pPr>
            <w:r w:rsidRPr="00E70894">
              <w:rPr>
                <w:rFonts w:cs="Arial"/>
                <w:color w:val="000000"/>
                <w:szCs w:val="20"/>
              </w:rPr>
              <w:t>After mixing, place reagent cartridges in an upright position for</w:t>
            </w:r>
            <w:r w:rsidR="00D166C8">
              <w:rPr>
                <w:rFonts w:cs="Arial"/>
                <w:color w:val="000000"/>
                <w:szCs w:val="20"/>
              </w:rPr>
              <w:t xml:space="preserve"> </w:t>
            </w:r>
            <w:r w:rsidRPr="00E70894">
              <w:rPr>
                <w:rFonts w:cs="Arial"/>
                <w:color w:val="000000"/>
                <w:szCs w:val="20"/>
              </w:rPr>
              <w:t>1 hour before use to allow bubbles that may have formed to</w:t>
            </w:r>
            <w:r w:rsidR="00D166C8">
              <w:rPr>
                <w:rFonts w:cs="Arial"/>
                <w:color w:val="000000"/>
                <w:szCs w:val="20"/>
              </w:rPr>
              <w:t xml:space="preserve"> </w:t>
            </w:r>
            <w:r w:rsidRPr="00E70894">
              <w:rPr>
                <w:rFonts w:cs="Arial"/>
                <w:color w:val="000000"/>
                <w:szCs w:val="20"/>
              </w:rPr>
              <w:t>dissipate.</w:t>
            </w:r>
          </w:p>
          <w:p w14:paraId="4AF54566" w14:textId="0A384A67" w:rsidR="00E70894" w:rsidRDefault="00E70894" w:rsidP="00E70894">
            <w:pPr>
              <w:autoSpaceDE w:val="0"/>
              <w:autoSpaceDN w:val="0"/>
              <w:adjustRightInd w:val="0"/>
              <w:spacing w:after="208"/>
              <w:rPr>
                <w:rFonts w:cs="Arial"/>
                <w:color w:val="000000"/>
                <w:szCs w:val="20"/>
              </w:rPr>
            </w:pPr>
            <w:r w:rsidRPr="00E70894">
              <w:rPr>
                <w:rFonts w:cs="Arial"/>
                <w:color w:val="000000"/>
                <w:szCs w:val="20"/>
              </w:rPr>
              <w:t>If a reagent cartridge is dropped, place in an upright position</w:t>
            </w:r>
            <w:r w:rsidR="00D166C8">
              <w:rPr>
                <w:rFonts w:cs="Arial"/>
                <w:color w:val="000000"/>
                <w:szCs w:val="20"/>
              </w:rPr>
              <w:t xml:space="preserve"> </w:t>
            </w:r>
            <w:r w:rsidRPr="00E70894">
              <w:rPr>
                <w:rFonts w:cs="Arial"/>
                <w:color w:val="000000"/>
                <w:szCs w:val="20"/>
              </w:rPr>
              <w:t>for 1 hour before use to allow bubbles that may have formed to</w:t>
            </w:r>
            <w:r w:rsidR="00D166C8">
              <w:rPr>
                <w:rFonts w:cs="Arial"/>
                <w:color w:val="000000"/>
                <w:szCs w:val="20"/>
              </w:rPr>
              <w:t xml:space="preserve"> </w:t>
            </w:r>
            <w:r w:rsidRPr="00E70894">
              <w:rPr>
                <w:rFonts w:cs="Arial"/>
                <w:color w:val="000000"/>
                <w:szCs w:val="20"/>
              </w:rPr>
              <w:t>dissipate.</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65DFC2BD"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2A108D47" w:rsidR="0081197E" w:rsidRPr="00DC7421" w:rsidRDefault="00D1566C" w:rsidP="00C74772">
                  <w:pPr>
                    <w:autoSpaceDE w:val="0"/>
                    <w:autoSpaceDN w:val="0"/>
                    <w:adjustRightInd w:val="0"/>
                    <w:rPr>
                      <w:rFonts w:cs="Arial"/>
                      <w:szCs w:val="20"/>
                    </w:rPr>
                  </w:pPr>
                  <w:r>
                    <w:rPr>
                      <w:rFonts w:cs="Arial"/>
                      <w:szCs w:val="20"/>
                    </w:rPr>
                    <w:t xml:space="preserve">Alinity i </w:t>
                  </w:r>
                  <w:r w:rsidR="00C74772">
                    <w:rPr>
                      <w:rFonts w:cs="Arial"/>
                      <w:szCs w:val="20"/>
                    </w:rPr>
                    <w:t>Anti Tg</w:t>
                  </w:r>
                  <w:r>
                    <w:rPr>
                      <w:rFonts w:cs="Arial"/>
                      <w:szCs w:val="20"/>
                    </w:rPr>
                    <w:t xml:space="preserve"> Reagent Kit</w:t>
                  </w:r>
                </w:p>
              </w:tc>
              <w:tc>
                <w:tcPr>
                  <w:tcW w:w="1710" w:type="dxa"/>
                  <w:vAlign w:val="center"/>
                </w:tcPr>
                <w:p w14:paraId="78062055" w14:textId="258349D7" w:rsidR="0081197E" w:rsidRPr="00DC7421" w:rsidRDefault="00D1566C" w:rsidP="0081197E">
                  <w:pPr>
                    <w:pStyle w:val="BodyText"/>
                    <w:tabs>
                      <w:tab w:val="left" w:pos="3240"/>
                    </w:tabs>
                    <w:rPr>
                      <w:rFonts w:cs="Arial"/>
                      <w:szCs w:val="20"/>
                    </w:rPr>
                  </w:pPr>
                  <w:r w:rsidRPr="00D1566C">
                    <w:rPr>
                      <w:rFonts w:cs="Arial"/>
                      <w:szCs w:val="20"/>
                    </w:rPr>
                    <w:t>09P34</w:t>
                  </w:r>
                  <w:r w:rsidR="00C00588">
                    <w:rPr>
                      <w:rFonts w:cs="Arial"/>
                      <w:szCs w:val="20"/>
                    </w:rPr>
                    <w:t>20</w:t>
                  </w:r>
                </w:p>
              </w:tc>
              <w:tc>
                <w:tcPr>
                  <w:tcW w:w="4533" w:type="dxa"/>
                  <w:vAlign w:val="center"/>
                </w:tcPr>
                <w:p w14:paraId="1E13427C" w14:textId="09E62291" w:rsidR="0081197E" w:rsidRPr="00C00588" w:rsidRDefault="0081197E" w:rsidP="0081197E">
                  <w:pPr>
                    <w:pStyle w:val="Reagents"/>
                    <w:spacing w:after="80"/>
                    <w:rPr>
                      <w:rFonts w:ascii="Arial" w:eastAsia="HelenPro-Regular" w:hAnsi="Arial" w:cs="Arial"/>
                    </w:rPr>
                  </w:pPr>
                  <w:r w:rsidRPr="00DC7421">
                    <w:rPr>
                      <w:rFonts w:ascii="Arial" w:hAnsi="Arial" w:cs="Arial"/>
                      <w:b/>
                      <w:bCs/>
                    </w:rPr>
                    <w:t xml:space="preserve">Store </w:t>
                  </w:r>
                  <w:r w:rsidRPr="00C00588">
                    <w:rPr>
                      <w:rFonts w:ascii="Arial" w:hAnsi="Arial" w:cs="Arial"/>
                      <w:b/>
                      <w:bCs/>
                    </w:rPr>
                    <w:t>at:</w:t>
                  </w:r>
                  <w:r w:rsidRPr="00C00588">
                    <w:rPr>
                      <w:rFonts w:ascii="Arial" w:hAnsi="Arial" w:cs="Arial"/>
                      <w:bCs/>
                    </w:rPr>
                    <w:t xml:space="preserve"> </w:t>
                  </w:r>
                  <w:r w:rsidR="00D1566C" w:rsidRPr="00C00588">
                    <w:rPr>
                      <w:rFonts w:ascii="Arial" w:hAnsi="Arial" w:cs="Arial"/>
                      <w:bCs/>
                    </w:rPr>
                    <w:t>2 to 8°C</w:t>
                  </w:r>
                </w:p>
                <w:p w14:paraId="188F00FD" w14:textId="2480FC6B" w:rsidR="00115DD6" w:rsidRPr="00C00588" w:rsidRDefault="0081197E" w:rsidP="0081197E">
                  <w:pPr>
                    <w:pStyle w:val="Reagents"/>
                    <w:spacing w:after="80"/>
                    <w:rPr>
                      <w:rFonts w:ascii="Arial" w:hAnsi="Arial" w:cs="Arial"/>
                      <w:b/>
                      <w:bCs/>
                    </w:rPr>
                  </w:pPr>
                  <w:r w:rsidRPr="00C00588">
                    <w:rPr>
                      <w:rFonts w:ascii="Arial" w:hAnsi="Arial" w:cs="Arial"/>
                      <w:b/>
                      <w:bCs/>
                    </w:rPr>
                    <w:t>Unopened:</w:t>
                  </w:r>
                  <w:r w:rsidRPr="00C00588">
                    <w:rPr>
                      <w:rFonts w:ascii="Arial" w:hAnsi="Arial" w:cs="Arial"/>
                      <w:bCs/>
                    </w:rPr>
                    <w:t xml:space="preserve"> </w:t>
                  </w:r>
                  <w:r w:rsidR="00115DD6" w:rsidRPr="00C00588">
                    <w:rPr>
                      <w:rFonts w:ascii="Arial" w:hAnsi="Arial" w:cs="Arial"/>
                      <w:bCs/>
                    </w:rPr>
                    <w:t xml:space="preserve">Until </w:t>
                  </w:r>
                  <w:r w:rsidR="00C00588">
                    <w:rPr>
                      <w:rFonts w:ascii="Arial" w:hAnsi="Arial" w:cs="Arial"/>
                      <w:bCs/>
                    </w:rPr>
                    <w:t xml:space="preserve">manufacturer’s printed </w:t>
                  </w:r>
                  <w:r w:rsidR="00115DD6" w:rsidRPr="00C00588">
                    <w:rPr>
                      <w:rFonts w:ascii="Arial" w:hAnsi="Arial" w:cs="Arial"/>
                      <w:bCs/>
                    </w:rPr>
                    <w:t>expiration</w:t>
                  </w:r>
                  <w:r w:rsidR="00C00588">
                    <w:rPr>
                      <w:rFonts w:ascii="Arial" w:hAnsi="Arial" w:cs="Arial"/>
                      <w:bCs/>
                    </w:rPr>
                    <w:t xml:space="preserve"> d</w:t>
                  </w:r>
                  <w:r w:rsidR="00115DD6" w:rsidRPr="00C00588">
                    <w:rPr>
                      <w:rFonts w:ascii="Arial" w:hAnsi="Arial" w:cs="Arial"/>
                      <w:bCs/>
                    </w:rPr>
                    <w:t>ate</w:t>
                  </w:r>
                </w:p>
                <w:p w14:paraId="2EC74C2E" w14:textId="13686AC2" w:rsidR="0081197E" w:rsidRPr="00C00588" w:rsidRDefault="0081197E" w:rsidP="0081197E">
                  <w:pPr>
                    <w:pStyle w:val="Reagents"/>
                    <w:spacing w:after="80"/>
                    <w:rPr>
                      <w:rFonts w:ascii="Arial" w:hAnsi="Arial" w:cs="Arial"/>
                      <w:bCs/>
                    </w:rPr>
                  </w:pPr>
                  <w:r w:rsidRPr="00C00588">
                    <w:rPr>
                      <w:rFonts w:ascii="Arial" w:hAnsi="Arial" w:cs="Arial"/>
                      <w:b/>
                      <w:bCs/>
                    </w:rPr>
                    <w:t>On-board</w:t>
                  </w:r>
                  <w:r w:rsidR="00EA2B3F" w:rsidRPr="00C00588">
                    <w:rPr>
                      <w:rFonts w:ascii="Arial" w:hAnsi="Arial" w:cs="Arial"/>
                      <w:bCs/>
                    </w:rPr>
                    <w:t xml:space="preserve">: </w:t>
                  </w:r>
                  <w:r w:rsidR="00D1566C" w:rsidRPr="00C00588">
                    <w:rPr>
                      <w:rFonts w:ascii="Arial" w:hAnsi="Arial" w:cs="Arial"/>
                      <w:bCs/>
                    </w:rPr>
                    <w:t>System temperature for 30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5F874B37" w:rsidR="0081197E" w:rsidRPr="00C00588" w:rsidRDefault="00C74772" w:rsidP="0081197E">
                  <w:pPr>
                    <w:pStyle w:val="BodyText"/>
                    <w:spacing w:after="0"/>
                    <w:rPr>
                      <w:rFonts w:cs="Arial"/>
                      <w:szCs w:val="20"/>
                    </w:rPr>
                  </w:pPr>
                  <w:r w:rsidRPr="00C00588">
                    <w:rPr>
                      <w:rFonts w:cs="Arial"/>
                      <w:szCs w:val="20"/>
                    </w:rPr>
                    <w:t>Alinity i Anti Tg Calibrators</w:t>
                  </w:r>
                </w:p>
              </w:tc>
              <w:tc>
                <w:tcPr>
                  <w:tcW w:w="1710" w:type="dxa"/>
                  <w:vAlign w:val="center"/>
                </w:tcPr>
                <w:p w14:paraId="1C065F4D" w14:textId="0A7D7CE5" w:rsidR="0081197E" w:rsidRPr="00C00588" w:rsidRDefault="00C74772" w:rsidP="0081197E">
                  <w:pPr>
                    <w:rPr>
                      <w:rFonts w:cs="Arial"/>
                      <w:szCs w:val="20"/>
                    </w:rPr>
                  </w:pPr>
                  <w:r w:rsidRPr="00C00588">
                    <w:rPr>
                      <w:rFonts w:cs="Arial"/>
                      <w:bCs/>
                      <w:szCs w:val="20"/>
                    </w:rPr>
                    <w:t>09P3401</w:t>
                  </w:r>
                </w:p>
              </w:tc>
              <w:tc>
                <w:tcPr>
                  <w:tcW w:w="4533" w:type="dxa"/>
                  <w:vAlign w:val="center"/>
                </w:tcPr>
                <w:p w14:paraId="3B82C64B" w14:textId="5B81385A"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C74772">
                    <w:rPr>
                      <w:rFonts w:ascii="Arial" w:hAnsi="Arial" w:cs="Arial"/>
                      <w:bCs/>
                    </w:rPr>
                    <w:t>-10°C or colder until expiration date</w:t>
                  </w:r>
                </w:p>
                <w:p w14:paraId="22FE035D" w14:textId="3533F679"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C00588">
                    <w:rPr>
                      <w:rFonts w:ascii="Arial" w:hAnsi="Arial" w:cs="Arial"/>
                      <w:bCs/>
                    </w:rPr>
                    <w:t>Until manufacturer’s printed expiration date</w:t>
                  </w:r>
                </w:p>
                <w:p w14:paraId="05D3D1A4" w14:textId="04973661"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C00588">
                    <w:rPr>
                      <w:rFonts w:cs="Arial"/>
                      <w:bCs/>
                      <w:szCs w:val="20"/>
                    </w:rPr>
                    <w:t>2-8°C 30 days after thaw,</w:t>
                  </w:r>
                  <w:r w:rsidR="00C74772">
                    <w:rPr>
                      <w:rFonts w:cs="Arial"/>
                      <w:bCs/>
                      <w:szCs w:val="20"/>
                    </w:rPr>
                    <w:t xml:space="preserve"> not to exceed expiration date on bottle. </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31D0C615" w14:textId="17ADEEBA" w:rsidR="00903558" w:rsidRDefault="00903558" w:rsidP="00903558">
            <w:pPr>
              <w:rPr>
                <w:szCs w:val="20"/>
              </w:rPr>
            </w:pPr>
            <w:r w:rsidRPr="00903558">
              <w:rPr>
                <w:b/>
                <w:bCs/>
                <w:szCs w:val="20"/>
              </w:rPr>
              <w:t xml:space="preserve">CAUTION: </w:t>
            </w:r>
            <w:r w:rsidRPr="00903558">
              <w:rPr>
                <w:szCs w:val="20"/>
              </w:rPr>
              <w:t>This product contains human-sourced and/or</w:t>
            </w:r>
            <w:r w:rsidR="00D85138">
              <w:rPr>
                <w:szCs w:val="20"/>
              </w:rPr>
              <w:t xml:space="preserve"> </w:t>
            </w:r>
            <w:r w:rsidRPr="00903558">
              <w:rPr>
                <w:szCs w:val="20"/>
              </w:rPr>
              <w:t>potentially infectious components. No known test method can offer complete</w:t>
            </w:r>
            <w:r w:rsidR="00D85138">
              <w:rPr>
                <w:szCs w:val="20"/>
              </w:rPr>
              <w:t xml:space="preserve"> </w:t>
            </w:r>
            <w:r w:rsidRPr="00903558">
              <w:rPr>
                <w:szCs w:val="20"/>
              </w:rPr>
              <w:t>assurance that products derived from human sources or inactivated</w:t>
            </w:r>
            <w:r w:rsidR="00D85138">
              <w:rPr>
                <w:szCs w:val="20"/>
              </w:rPr>
              <w:t xml:space="preserve"> </w:t>
            </w:r>
            <w:r w:rsidRPr="00903558">
              <w:rPr>
                <w:szCs w:val="20"/>
              </w:rPr>
              <w:t xml:space="preserve">microorganisms will not transmit infection. Therefore, all </w:t>
            </w:r>
            <w:r w:rsidR="00C00588" w:rsidRPr="00903558">
              <w:rPr>
                <w:szCs w:val="20"/>
              </w:rPr>
              <w:t>human sourced</w:t>
            </w:r>
            <w:r w:rsidR="00D85138">
              <w:rPr>
                <w:szCs w:val="20"/>
              </w:rPr>
              <w:t xml:space="preserve"> </w:t>
            </w:r>
            <w:r w:rsidRPr="00903558">
              <w:rPr>
                <w:szCs w:val="20"/>
              </w:rPr>
              <w:t>materials should be considered potentially infectious. It</w:t>
            </w:r>
            <w:r w:rsidR="00D85138">
              <w:rPr>
                <w:szCs w:val="20"/>
              </w:rPr>
              <w:t xml:space="preserve"> </w:t>
            </w:r>
            <w:r w:rsidRPr="00903558">
              <w:rPr>
                <w:szCs w:val="20"/>
              </w:rPr>
              <w:t>is recommended that these reagents and human specimens be</w:t>
            </w:r>
            <w:r w:rsidR="00D85138">
              <w:rPr>
                <w:szCs w:val="20"/>
              </w:rPr>
              <w:t xml:space="preserve"> </w:t>
            </w:r>
            <w:r w:rsidRPr="00903558">
              <w:rPr>
                <w:szCs w:val="20"/>
              </w:rPr>
              <w:t>handled in accordance with the OSHA Standard on Bloodborne</w:t>
            </w:r>
            <w:r w:rsidR="00D85138">
              <w:rPr>
                <w:szCs w:val="20"/>
              </w:rPr>
              <w:t xml:space="preserve"> </w:t>
            </w:r>
            <w:r w:rsidRPr="00903558">
              <w:rPr>
                <w:szCs w:val="20"/>
              </w:rPr>
              <w:t>Pathogens. Biosafety Level 2 or other appropriate biosafety practices</w:t>
            </w:r>
            <w:r w:rsidR="00D85138">
              <w:rPr>
                <w:szCs w:val="20"/>
              </w:rPr>
              <w:t xml:space="preserve"> </w:t>
            </w:r>
            <w:r w:rsidRPr="00903558">
              <w:rPr>
                <w:szCs w:val="20"/>
              </w:rPr>
              <w:t>should be used for materials that contain or are suspected of</w:t>
            </w:r>
            <w:r w:rsidR="00D85138">
              <w:rPr>
                <w:szCs w:val="20"/>
              </w:rPr>
              <w:t xml:space="preserve"> </w:t>
            </w:r>
            <w:r w:rsidRPr="00903558">
              <w:rPr>
                <w:szCs w:val="20"/>
              </w:rPr>
              <w:t>co</w:t>
            </w:r>
            <w:r w:rsidR="00D85138">
              <w:rPr>
                <w:szCs w:val="20"/>
              </w:rPr>
              <w:t>ntaining infectious agents.</w:t>
            </w:r>
          </w:p>
          <w:p w14:paraId="7DF539F8" w14:textId="77777777" w:rsidR="00D85138" w:rsidRPr="00903558" w:rsidRDefault="00D85138" w:rsidP="00903558">
            <w:pPr>
              <w:rPr>
                <w:szCs w:val="20"/>
              </w:rPr>
            </w:pPr>
          </w:p>
          <w:p w14:paraId="05C97A8A" w14:textId="3A21BDEE" w:rsidR="009475C8" w:rsidRDefault="00903558" w:rsidP="00903558">
            <w:pPr>
              <w:rPr>
                <w:szCs w:val="20"/>
              </w:rPr>
            </w:pPr>
            <w:r w:rsidRPr="00903558">
              <w:rPr>
                <w:szCs w:val="20"/>
              </w:rPr>
              <w:t>The human-sourced material used in the microparticles is</w:t>
            </w:r>
            <w:r w:rsidR="00D85138">
              <w:rPr>
                <w:szCs w:val="20"/>
              </w:rPr>
              <w:t xml:space="preserve"> </w:t>
            </w:r>
            <w:r w:rsidRPr="00903558">
              <w:rPr>
                <w:szCs w:val="20"/>
              </w:rPr>
              <w:t>nonreactive for HBsAg, HIV-1 RNA, anti-HCV, and anti-HIV-1/HIV-2.</w:t>
            </w:r>
          </w:p>
          <w:p w14:paraId="7DDF8F55" w14:textId="77777777" w:rsidR="00C00588" w:rsidRDefault="00C00588" w:rsidP="00903558">
            <w:pPr>
              <w:rPr>
                <w:szCs w:val="20"/>
              </w:rPr>
            </w:pPr>
          </w:p>
          <w:p w14:paraId="048AA166" w14:textId="301E1F8C" w:rsidR="00C00588" w:rsidRDefault="00C00588" w:rsidP="00903558">
            <w:pPr>
              <w:rPr>
                <w:szCs w:val="20"/>
              </w:rPr>
            </w:pPr>
            <w:r>
              <w:rPr>
                <w:szCs w:val="20"/>
              </w:rPr>
              <w:t>No special disposal indicated.</w:t>
            </w:r>
          </w:p>
          <w:p w14:paraId="38B47454" w14:textId="77777777" w:rsidR="00C00588" w:rsidRDefault="00C00588">
            <w:pPr>
              <w:rPr>
                <w:i/>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43BDCE96"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03B755A"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17733B4E" w:rsidR="00F50200" w:rsidRPr="00C00588" w:rsidRDefault="00903558" w:rsidP="00C00588">
                  <w:pPr>
                    <w:pStyle w:val="CalVerTable"/>
                    <w:rPr>
                      <w:rFonts w:ascii="Arial" w:hAnsi="Arial" w:cs="Arial"/>
                    </w:rPr>
                  </w:pPr>
                  <w:r w:rsidRPr="00C00588">
                    <w:rPr>
                      <w:rFonts w:ascii="Arial" w:hAnsi="Arial" w:cs="Arial"/>
                    </w:rPr>
                    <w:t>3.00 to</w:t>
                  </w:r>
                  <w:r w:rsidR="00C00588">
                    <w:rPr>
                      <w:rFonts w:ascii="Arial" w:hAnsi="Arial" w:cs="Arial"/>
                    </w:rPr>
                    <w:t xml:space="preserve"> 1000.00 IU/mL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1800D9A" w:rsidR="00F50200" w:rsidRPr="00C00588" w:rsidRDefault="00C00588" w:rsidP="00440E37">
                  <w:pPr>
                    <w:pStyle w:val="BodyText"/>
                    <w:rPr>
                      <w:rFonts w:cs="Arial"/>
                      <w:szCs w:val="20"/>
                    </w:rPr>
                  </w:pPr>
                  <w:r>
                    <w:rPr>
                      <w:rFonts w:cs="Arial"/>
                      <w:szCs w:val="20"/>
                    </w:rPr>
                    <w:t>Abbott Alinity i Anti-Tg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896BC38" w14:textId="5622CFFC" w:rsidR="005B66A7" w:rsidRDefault="00C00588" w:rsidP="001D1786">
                  <w:pPr>
                    <w:pStyle w:val="CalVerTable"/>
                    <w:ind w:left="0" w:firstLine="0"/>
                    <w:rPr>
                      <w:rFonts w:ascii="Arial" w:hAnsi="Arial" w:cs="Arial"/>
                    </w:rPr>
                  </w:pPr>
                  <w:r>
                    <w:rPr>
                      <w:rFonts w:ascii="Arial" w:hAnsi="Arial" w:cs="Arial"/>
                    </w:rPr>
                    <w:t>CAL A: 0.0</w:t>
                  </w:r>
                </w:p>
                <w:p w14:paraId="3DA84E0D" w14:textId="1091CDFE" w:rsidR="00C00588" w:rsidRDefault="00C00588" w:rsidP="001D1786">
                  <w:pPr>
                    <w:pStyle w:val="CalVerTable"/>
                    <w:ind w:left="0" w:firstLine="0"/>
                    <w:rPr>
                      <w:rFonts w:ascii="Arial" w:hAnsi="Arial" w:cs="Arial"/>
                    </w:rPr>
                  </w:pPr>
                  <w:r>
                    <w:rPr>
                      <w:rFonts w:ascii="Arial" w:hAnsi="Arial" w:cs="Arial"/>
                    </w:rPr>
                    <w:t>CAL B: 5.0</w:t>
                  </w:r>
                </w:p>
                <w:p w14:paraId="7C2CFB03" w14:textId="44983BC6" w:rsidR="00C00588" w:rsidRDefault="00C00588" w:rsidP="001D1786">
                  <w:pPr>
                    <w:pStyle w:val="CalVerTable"/>
                    <w:ind w:left="0" w:firstLine="0"/>
                    <w:rPr>
                      <w:rFonts w:ascii="Arial" w:hAnsi="Arial" w:cs="Arial"/>
                    </w:rPr>
                  </w:pPr>
                  <w:r>
                    <w:rPr>
                      <w:rFonts w:ascii="Arial" w:hAnsi="Arial" w:cs="Arial"/>
                    </w:rPr>
                    <w:t>CAL C: 62.5</w:t>
                  </w:r>
                </w:p>
                <w:p w14:paraId="6476CDFA" w14:textId="1F3A051B" w:rsidR="00C00588" w:rsidRDefault="00C00588" w:rsidP="001D1786">
                  <w:pPr>
                    <w:pStyle w:val="CalVerTable"/>
                    <w:ind w:left="0" w:firstLine="0"/>
                    <w:rPr>
                      <w:rFonts w:ascii="Arial" w:hAnsi="Arial" w:cs="Arial"/>
                    </w:rPr>
                  </w:pPr>
                  <w:r>
                    <w:rPr>
                      <w:rFonts w:ascii="Arial" w:hAnsi="Arial" w:cs="Arial"/>
                    </w:rPr>
                    <w:t>CAL D: 125.0</w:t>
                  </w:r>
                </w:p>
                <w:p w14:paraId="030ECEF8" w14:textId="0FE29F0C" w:rsidR="00C00588" w:rsidRDefault="00C00588" w:rsidP="001D1786">
                  <w:pPr>
                    <w:pStyle w:val="CalVerTable"/>
                    <w:ind w:left="0" w:firstLine="0"/>
                    <w:rPr>
                      <w:rFonts w:ascii="Arial" w:hAnsi="Arial" w:cs="Arial"/>
                    </w:rPr>
                  </w:pPr>
                  <w:r>
                    <w:rPr>
                      <w:rFonts w:ascii="Arial" w:hAnsi="Arial" w:cs="Arial"/>
                    </w:rPr>
                    <w:t>CAL E: 500.0</w:t>
                  </w:r>
                </w:p>
                <w:p w14:paraId="5CCFFFE0" w14:textId="03FC58B8" w:rsidR="00C00588" w:rsidRPr="00C00588" w:rsidRDefault="00C00588" w:rsidP="001D1786">
                  <w:pPr>
                    <w:pStyle w:val="CalVerTable"/>
                    <w:ind w:left="0" w:firstLine="0"/>
                    <w:rPr>
                      <w:rFonts w:ascii="Arial" w:hAnsi="Arial" w:cs="Arial"/>
                    </w:rPr>
                  </w:pPr>
                  <w:r>
                    <w:rPr>
                      <w:rFonts w:ascii="Arial" w:hAnsi="Arial" w:cs="Arial"/>
                    </w:rPr>
                    <w:t>CAL F: 1000.0</w:t>
                  </w:r>
                </w:p>
              </w:tc>
            </w:tr>
            <w:tr w:rsidR="00F50200" w:rsidRPr="00DC7421" w14:paraId="5CCFFFE4" w14:textId="77777777" w:rsidTr="001C1CFA">
              <w:tc>
                <w:tcPr>
                  <w:tcW w:w="2947" w:type="dxa"/>
                </w:tcPr>
                <w:p w14:paraId="5CCFFFE2" w14:textId="6A26AF99"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1A42FB5A" w14:textId="77777777" w:rsidR="00903558" w:rsidRPr="00C00588" w:rsidRDefault="00903558" w:rsidP="00903558">
                  <w:pPr>
                    <w:pStyle w:val="CalVerTable"/>
                    <w:rPr>
                      <w:rFonts w:ascii="Arial" w:hAnsi="Arial" w:cs="Arial"/>
                    </w:rPr>
                  </w:pPr>
                  <w:r w:rsidRPr="00C00588">
                    <w:rPr>
                      <w:rFonts w:ascii="Arial" w:hAnsi="Arial" w:cs="Arial"/>
                    </w:rPr>
                    <w:t>The Alinity i Anti-Tg assay utilizes a 4 Parameter Logistic Curve fit</w:t>
                  </w:r>
                </w:p>
                <w:p w14:paraId="16B16817" w14:textId="77777777" w:rsidR="00903558" w:rsidRPr="00C00588" w:rsidRDefault="00903558" w:rsidP="00903558">
                  <w:pPr>
                    <w:pStyle w:val="CalVerTable"/>
                    <w:rPr>
                      <w:rFonts w:ascii="Arial" w:hAnsi="Arial" w:cs="Arial"/>
                    </w:rPr>
                  </w:pPr>
                  <w:r w:rsidRPr="00C00588">
                    <w:rPr>
                      <w:rFonts w:ascii="Arial" w:hAnsi="Arial" w:cs="Arial"/>
                    </w:rPr>
                    <w:t>data reduction method (4PLC, Y-weighted) to generate a calibration</w:t>
                  </w:r>
                </w:p>
                <w:p w14:paraId="5CCFFFE3" w14:textId="2EF2FD45" w:rsidR="00F50200" w:rsidRPr="00C00588" w:rsidRDefault="00903558" w:rsidP="00903558">
                  <w:pPr>
                    <w:pStyle w:val="CalVerTable"/>
                    <w:ind w:left="0" w:firstLine="0"/>
                    <w:rPr>
                      <w:rFonts w:ascii="Arial" w:hAnsi="Arial" w:cs="Arial"/>
                    </w:rPr>
                  </w:pPr>
                  <w:r w:rsidRPr="00C00588">
                    <w:rPr>
                      <w:rFonts w:ascii="Arial" w:hAnsi="Arial" w:cs="Arial"/>
                    </w:rPr>
                    <w:t>and results.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6AA4FA4A" w:rsidR="00F50200" w:rsidRPr="00C00588" w:rsidRDefault="00C00588" w:rsidP="004A698D">
                  <w:pPr>
                    <w:pStyle w:val="Pa10"/>
                    <w:rPr>
                      <w:rFonts w:ascii="Arial" w:hAnsi="Arial" w:cs="Arial"/>
                      <w:sz w:val="20"/>
                      <w:szCs w:val="20"/>
                    </w:rPr>
                  </w:pPr>
                  <w:r w:rsidRPr="00C00588">
                    <w:rPr>
                      <w:rFonts w:ascii="Arial" w:hAnsi="Arial" w:cs="Arial"/>
                      <w:sz w:val="20"/>
                      <w:szCs w:val="20"/>
                    </w:rPr>
                    <w:t>As required by quality control results, after major instrument maintenance or replacement of critical parts, as directed by technical support or field service, at least every 6 months.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7B6CD85F" w:rsidR="00F50200" w:rsidRPr="00C00588" w:rsidRDefault="009475C8" w:rsidP="00701541">
                  <w:pPr>
                    <w:autoSpaceDE w:val="0"/>
                    <w:autoSpaceDN w:val="0"/>
                    <w:adjustRightInd w:val="0"/>
                    <w:rPr>
                      <w:rFonts w:cs="Arial"/>
                      <w:szCs w:val="20"/>
                    </w:rPr>
                  </w:pPr>
                  <w:r w:rsidRPr="00C00588">
                    <w:rPr>
                      <w:rFonts w:cs="Arial"/>
                      <w:szCs w:val="20"/>
                    </w:rPr>
                    <w:t xml:space="preserve">AMR is verified </w:t>
                  </w:r>
                  <w:r w:rsidR="00701541">
                    <w:rPr>
                      <w:rFonts w:cs="Arial"/>
                      <w:szCs w:val="20"/>
                    </w:rPr>
                    <w:t>with every calibration.</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F75899">
        <w:trPr>
          <w:trHeight w:val="5301"/>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BD67C6A" w14:textId="77777777" w:rsidR="00C00588" w:rsidRDefault="00C00588" w:rsidP="00C00588">
            <w:pPr>
              <w:autoSpaceDE w:val="0"/>
              <w:autoSpaceDN w:val="0"/>
              <w:adjustRightInd w:val="0"/>
              <w:jc w:val="both"/>
              <w:rPr>
                <w:rFonts w:cs="Arial"/>
                <w:b/>
                <w:szCs w:val="20"/>
              </w:rPr>
            </w:pPr>
            <w:r>
              <w:rPr>
                <w:rFonts w:cs="Arial"/>
                <w:b/>
                <w:szCs w:val="20"/>
              </w:rPr>
              <w:t>QC</w:t>
            </w:r>
            <w:r w:rsidRPr="00E47DE5">
              <w:rPr>
                <w:rFonts w:cs="Arial"/>
                <w:b/>
                <w:szCs w:val="20"/>
              </w:rPr>
              <w:t xml:space="preserve"> Material:</w:t>
            </w:r>
            <w:r>
              <w:rPr>
                <w:rFonts w:cs="Arial"/>
                <w:b/>
                <w:szCs w:val="20"/>
              </w:rPr>
              <w:t xml:space="preserve"> </w:t>
            </w:r>
            <w:r w:rsidRPr="003F2FAD">
              <w:rPr>
                <w:rFonts w:cs="Arial"/>
                <w:szCs w:val="20"/>
              </w:rPr>
              <w:t>Bio-Rad Liquichek Specialty Immunoassay Control Levels 1, 2, &amp; 3</w:t>
            </w:r>
          </w:p>
          <w:p w14:paraId="4E6FE14C" w14:textId="77777777" w:rsidR="00C00588" w:rsidRPr="00E47DE5" w:rsidRDefault="00C00588" w:rsidP="00C00588">
            <w:pPr>
              <w:autoSpaceDE w:val="0"/>
              <w:autoSpaceDN w:val="0"/>
              <w:adjustRightInd w:val="0"/>
              <w:jc w:val="both"/>
              <w:rPr>
                <w:rFonts w:cs="Arial"/>
                <w:b/>
                <w:szCs w:val="20"/>
              </w:rPr>
            </w:pPr>
          </w:p>
          <w:p w14:paraId="352304F0" w14:textId="77777777" w:rsidR="00C00588" w:rsidRPr="003F2FAD" w:rsidRDefault="00C00588" w:rsidP="00C00588">
            <w:pPr>
              <w:autoSpaceDE w:val="0"/>
              <w:autoSpaceDN w:val="0"/>
              <w:adjustRightInd w:val="0"/>
              <w:jc w:val="both"/>
              <w:rPr>
                <w:rFonts w:cs="Arial"/>
                <w:szCs w:val="20"/>
              </w:rPr>
            </w:pPr>
            <w:r w:rsidRPr="00DC7421">
              <w:rPr>
                <w:rFonts w:cs="Arial"/>
                <w:b/>
                <w:bCs/>
                <w:szCs w:val="20"/>
              </w:rPr>
              <w:t xml:space="preserve">Frequency: </w:t>
            </w:r>
            <w:r>
              <w:rPr>
                <w:rFonts w:cs="Arial"/>
                <w:bCs/>
                <w:szCs w:val="20"/>
              </w:rPr>
              <w:t>Three levels each day of use</w:t>
            </w:r>
          </w:p>
          <w:p w14:paraId="1B814D59" w14:textId="77777777" w:rsidR="00C00588" w:rsidRPr="00DC7421" w:rsidRDefault="00C00588" w:rsidP="00C00588">
            <w:pPr>
              <w:autoSpaceDE w:val="0"/>
              <w:autoSpaceDN w:val="0"/>
              <w:adjustRightInd w:val="0"/>
              <w:jc w:val="both"/>
              <w:rPr>
                <w:rFonts w:cs="Arial"/>
                <w:szCs w:val="20"/>
              </w:rPr>
            </w:pPr>
          </w:p>
          <w:p w14:paraId="4A8100DC" w14:textId="77777777" w:rsidR="00C00588" w:rsidRPr="003F2FAD" w:rsidRDefault="00C00588" w:rsidP="00C00588">
            <w:pPr>
              <w:autoSpaceDE w:val="0"/>
              <w:autoSpaceDN w:val="0"/>
              <w:adjustRightInd w:val="0"/>
              <w:rPr>
                <w:rFonts w:cs="Arial"/>
                <w:bCs/>
                <w:szCs w:val="20"/>
              </w:rPr>
            </w:pPr>
            <w:r w:rsidRPr="00DC7421">
              <w:rPr>
                <w:rFonts w:cs="Arial"/>
                <w:b/>
                <w:bCs/>
                <w:szCs w:val="20"/>
              </w:rPr>
              <w:t xml:space="preserve">Stability: </w:t>
            </w:r>
            <w:r>
              <w:rPr>
                <w:rFonts w:cs="Arial"/>
                <w:bCs/>
                <w:szCs w:val="20"/>
              </w:rPr>
              <w:t>30 days when stored at 2-8° C and exposure to room temperature is minimized.</w:t>
            </w:r>
          </w:p>
          <w:p w14:paraId="520AD43C" w14:textId="77777777" w:rsidR="00C00588" w:rsidRPr="00DC7421" w:rsidRDefault="00C00588" w:rsidP="00C00588">
            <w:pPr>
              <w:autoSpaceDE w:val="0"/>
              <w:autoSpaceDN w:val="0"/>
              <w:adjustRightInd w:val="0"/>
              <w:rPr>
                <w:rFonts w:cs="Arial"/>
                <w:szCs w:val="20"/>
              </w:rPr>
            </w:pPr>
          </w:p>
          <w:p w14:paraId="047CD33F" w14:textId="77777777" w:rsidR="00C00588" w:rsidRDefault="00C00588" w:rsidP="00C00588">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r>
              <w:rPr>
                <w:rFonts w:cs="Arial"/>
                <w:szCs w:val="20"/>
              </w:rPr>
              <w:t xml:space="preserve">Allow the product to thaw for approximately one hour at room temperature, or until completely thawed.  Gently swirl until homogenous with no visible signs of precipitate.  Minimize exposure to room temperature; store tightly capped and refrigerated between uses.    </w:t>
            </w:r>
          </w:p>
          <w:p w14:paraId="43C0DC5F" w14:textId="77777777" w:rsidR="00C00588" w:rsidRPr="00DC7421" w:rsidRDefault="00C00588" w:rsidP="00C00588">
            <w:pPr>
              <w:autoSpaceDE w:val="0"/>
              <w:autoSpaceDN w:val="0"/>
              <w:adjustRightInd w:val="0"/>
              <w:rPr>
                <w:rFonts w:cs="Arial"/>
                <w:szCs w:val="20"/>
              </w:rPr>
            </w:pPr>
          </w:p>
          <w:p w14:paraId="58D30319" w14:textId="77777777" w:rsidR="00C00588" w:rsidRPr="00DC7421" w:rsidRDefault="00C00588" w:rsidP="00C00588">
            <w:pPr>
              <w:jc w:val="both"/>
              <w:rPr>
                <w:rFonts w:cs="Arial"/>
                <w:szCs w:val="20"/>
              </w:rPr>
            </w:pPr>
            <w:r w:rsidRPr="00DC7421">
              <w:rPr>
                <w:rFonts w:cs="Arial"/>
                <w:b/>
                <w:bCs/>
                <w:szCs w:val="20"/>
              </w:rPr>
              <w:t>Acceptable ranges:</w:t>
            </w:r>
            <w:r w:rsidRPr="00DC7421">
              <w:rPr>
                <w:rFonts w:cs="Arial"/>
                <w:szCs w:val="20"/>
              </w:rPr>
              <w:t xml:space="preserve"> </w:t>
            </w:r>
          </w:p>
          <w:p w14:paraId="322AC713" w14:textId="77777777" w:rsidR="00C00588" w:rsidRPr="00DC7421" w:rsidRDefault="00C00588" w:rsidP="00C00588">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2E23FA72" w14:textId="77777777" w:rsidR="00C00588" w:rsidRPr="00DC7421" w:rsidRDefault="00C00588" w:rsidP="00C00588">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354BB963" w14:textId="77777777" w:rsidR="00C00588" w:rsidRPr="00DC7421" w:rsidRDefault="00C00588" w:rsidP="00C00588">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3513D9DE" w14:textId="77777777" w:rsidR="00C00588" w:rsidRPr="00DC7421" w:rsidRDefault="00C00588" w:rsidP="00C00588">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599D763" w14:textId="77777777" w:rsidR="00C00588" w:rsidRPr="00DC7421" w:rsidRDefault="00C00588" w:rsidP="00C00588">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09E8E495" w14:textId="77777777" w:rsidR="00C00588" w:rsidRPr="00DC7421" w:rsidRDefault="00C00588" w:rsidP="00C00588">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588">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CD00008" w14:textId="167AEC1A" w:rsidR="002F5F18" w:rsidRDefault="00F75899" w:rsidP="00F75899">
            <w:pPr>
              <w:autoSpaceDE w:val="0"/>
              <w:autoSpaceDN w:val="0"/>
              <w:adjustRightInd w:val="0"/>
              <w:rPr>
                <w:rFonts w:cs="Arial"/>
                <w:szCs w:val="20"/>
              </w:rPr>
            </w:pPr>
            <w:r w:rsidRPr="00F75899">
              <w:rPr>
                <w:rFonts w:cs="Arial"/>
                <w:szCs w:val="20"/>
              </w:rPr>
              <w:t>A study based on guidance from NCCLS EP7-A was performed</w:t>
            </w:r>
            <w:r>
              <w:rPr>
                <w:rFonts w:cs="Arial"/>
                <w:szCs w:val="20"/>
              </w:rPr>
              <w:t xml:space="preserve"> </w:t>
            </w:r>
            <w:r w:rsidRPr="00F75899">
              <w:rPr>
                <w:rFonts w:cs="Arial"/>
                <w:szCs w:val="20"/>
              </w:rPr>
              <w:t>fo</w:t>
            </w:r>
            <w:r>
              <w:rPr>
                <w:rFonts w:cs="Arial"/>
                <w:szCs w:val="20"/>
              </w:rPr>
              <w:t>r the ARCHITECT Anti-Tg assay.</w:t>
            </w:r>
            <w:r w:rsidRPr="00F75899">
              <w:rPr>
                <w:rFonts w:cs="Arial"/>
                <w:szCs w:val="20"/>
              </w:rPr>
              <w:t xml:space="preserve"> Specimens with anti-Tg levels</w:t>
            </w:r>
            <w:r>
              <w:rPr>
                <w:rFonts w:cs="Arial"/>
                <w:szCs w:val="20"/>
              </w:rPr>
              <w:t xml:space="preserve"> </w:t>
            </w:r>
            <w:r w:rsidRPr="00F75899">
              <w:rPr>
                <w:rFonts w:cs="Arial"/>
                <w:szCs w:val="20"/>
              </w:rPr>
              <w:t>between 53.41 and 320.25 IU/mL were supplemented with the</w:t>
            </w:r>
            <w:r>
              <w:rPr>
                <w:rFonts w:cs="Arial"/>
                <w:szCs w:val="20"/>
              </w:rPr>
              <w:t xml:space="preserve"> </w:t>
            </w:r>
            <w:r w:rsidRPr="00F75899">
              <w:rPr>
                <w:rFonts w:cs="Arial"/>
                <w:szCs w:val="20"/>
              </w:rPr>
              <w:t>following potentially interfering compounds. The average amount of</w:t>
            </w:r>
            <w:r>
              <w:rPr>
                <w:rFonts w:cs="Arial"/>
                <w:szCs w:val="20"/>
              </w:rPr>
              <w:t xml:space="preserve"> </w:t>
            </w:r>
            <w:r w:rsidRPr="00F75899">
              <w:rPr>
                <w:rFonts w:cs="Arial"/>
                <w:szCs w:val="20"/>
              </w:rPr>
              <w:t>interference observed during the study ranged from -3.8% to +1.7%.</w:t>
            </w:r>
          </w:p>
          <w:p w14:paraId="24096656" w14:textId="77777777" w:rsidR="00F75899" w:rsidRPr="00DC7421" w:rsidRDefault="00F75899" w:rsidP="00F75899">
            <w:pPr>
              <w:autoSpaceDE w:val="0"/>
              <w:autoSpaceDN w:val="0"/>
              <w:adjustRightInd w:val="0"/>
              <w:rPr>
                <w:rFonts w:cs="Arial"/>
                <w:szCs w:val="20"/>
              </w:rPr>
            </w:pPr>
          </w:p>
          <w:p w14:paraId="493B21DC" w14:textId="77777777" w:rsidR="00F75899" w:rsidRPr="00F75899" w:rsidRDefault="00F75899" w:rsidP="00F75899">
            <w:pPr>
              <w:autoSpaceDE w:val="0"/>
              <w:autoSpaceDN w:val="0"/>
              <w:adjustRightInd w:val="0"/>
              <w:ind w:left="720"/>
              <w:jc w:val="both"/>
              <w:rPr>
                <w:rFonts w:cs="Arial"/>
                <w:szCs w:val="20"/>
              </w:rPr>
            </w:pPr>
            <w:r w:rsidRPr="00F75899">
              <w:rPr>
                <w:rFonts w:cs="Arial"/>
                <w:szCs w:val="20"/>
              </w:rPr>
              <w:t>Bilirubin ≤ 20 mg/dL</w:t>
            </w:r>
          </w:p>
          <w:p w14:paraId="7C8ED19B" w14:textId="77777777" w:rsidR="00F75899" w:rsidRPr="00F75899" w:rsidRDefault="00F75899" w:rsidP="00F75899">
            <w:pPr>
              <w:autoSpaceDE w:val="0"/>
              <w:autoSpaceDN w:val="0"/>
              <w:adjustRightInd w:val="0"/>
              <w:ind w:left="720"/>
              <w:jc w:val="both"/>
              <w:rPr>
                <w:rFonts w:cs="Arial"/>
                <w:szCs w:val="20"/>
              </w:rPr>
            </w:pPr>
            <w:r w:rsidRPr="00F75899">
              <w:rPr>
                <w:rFonts w:cs="Arial"/>
                <w:szCs w:val="20"/>
              </w:rPr>
              <w:t>Hemoglobin ≤ 1000 mg/dL</w:t>
            </w:r>
          </w:p>
          <w:p w14:paraId="0E0C1B9A" w14:textId="77777777" w:rsidR="00F75899" w:rsidRPr="00F75899" w:rsidRDefault="00F75899" w:rsidP="00F75899">
            <w:pPr>
              <w:autoSpaceDE w:val="0"/>
              <w:autoSpaceDN w:val="0"/>
              <w:adjustRightInd w:val="0"/>
              <w:ind w:left="720"/>
              <w:jc w:val="both"/>
              <w:rPr>
                <w:rFonts w:cs="Arial"/>
                <w:szCs w:val="20"/>
              </w:rPr>
            </w:pPr>
            <w:r w:rsidRPr="00F75899">
              <w:rPr>
                <w:rFonts w:cs="Arial"/>
                <w:szCs w:val="20"/>
              </w:rPr>
              <w:t>Total Protein (Low) 4 g/dL</w:t>
            </w:r>
          </w:p>
          <w:p w14:paraId="018B92D4" w14:textId="77777777" w:rsidR="00F75899" w:rsidRPr="00F75899" w:rsidRDefault="00F75899" w:rsidP="00F75899">
            <w:pPr>
              <w:autoSpaceDE w:val="0"/>
              <w:autoSpaceDN w:val="0"/>
              <w:adjustRightInd w:val="0"/>
              <w:ind w:left="720"/>
              <w:jc w:val="both"/>
              <w:rPr>
                <w:rFonts w:cs="Arial"/>
                <w:szCs w:val="20"/>
              </w:rPr>
            </w:pPr>
            <w:r w:rsidRPr="00F75899">
              <w:rPr>
                <w:rFonts w:cs="Arial"/>
                <w:szCs w:val="20"/>
              </w:rPr>
              <w:t>Total Protein (High) 10 g/dL</w:t>
            </w:r>
          </w:p>
          <w:p w14:paraId="12C89458" w14:textId="77777777" w:rsidR="00F75899" w:rsidRDefault="00F75899" w:rsidP="00F75899">
            <w:pPr>
              <w:autoSpaceDE w:val="0"/>
              <w:autoSpaceDN w:val="0"/>
              <w:adjustRightInd w:val="0"/>
              <w:ind w:left="720"/>
              <w:jc w:val="both"/>
              <w:rPr>
                <w:rFonts w:cs="Arial"/>
                <w:szCs w:val="20"/>
              </w:rPr>
            </w:pPr>
            <w:r w:rsidRPr="00F75899">
              <w:rPr>
                <w:rFonts w:cs="Arial"/>
                <w:szCs w:val="20"/>
              </w:rPr>
              <w:t>Triglycerides ≤ 2000 mg/dL</w:t>
            </w:r>
          </w:p>
          <w:p w14:paraId="33EFAA5E" w14:textId="77777777" w:rsidR="00F75899" w:rsidRDefault="00F75899" w:rsidP="00F75899">
            <w:pPr>
              <w:autoSpaceDE w:val="0"/>
              <w:autoSpaceDN w:val="0"/>
              <w:adjustRightInd w:val="0"/>
              <w:rPr>
                <w:rFonts w:cs="Arial"/>
                <w:szCs w:val="20"/>
              </w:rPr>
            </w:pPr>
          </w:p>
          <w:p w14:paraId="7042C8BB" w14:textId="77777777" w:rsidR="00F75899" w:rsidRDefault="00F75899" w:rsidP="00F75899">
            <w:pPr>
              <w:autoSpaceDE w:val="0"/>
              <w:autoSpaceDN w:val="0"/>
              <w:adjustRightInd w:val="0"/>
              <w:rPr>
                <w:rFonts w:cs="Arial"/>
                <w:szCs w:val="20"/>
              </w:rPr>
            </w:pPr>
            <w:r>
              <w:rPr>
                <w:rFonts w:cs="Arial"/>
                <w:szCs w:val="20"/>
              </w:rPr>
              <w:t>See the assay Instructions for Use for other conditions and known autoimmune diseases which did not cross-react or interfere in studies completed by Abbott.</w:t>
            </w:r>
          </w:p>
          <w:p w14:paraId="5CD00011" w14:textId="0066511F" w:rsidR="00F75899" w:rsidRPr="00DC7421" w:rsidRDefault="00F75899" w:rsidP="00F75899">
            <w:pPr>
              <w:autoSpaceDE w:val="0"/>
              <w:autoSpaceDN w:val="0"/>
              <w:adjustRightInd w:val="0"/>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4D1BB029"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8FEC0F3" w14:textId="77777777" w:rsidR="00F75899" w:rsidRDefault="00F75899" w:rsidP="0039587D">
            <w:pPr>
              <w:rPr>
                <w:rFonts w:cs="Arial"/>
                <w:szCs w:val="20"/>
              </w:rPr>
            </w:pPr>
          </w:p>
          <w:p w14:paraId="5CD00018" w14:textId="6DD46A4B" w:rsidR="0039587D" w:rsidRPr="00DC7421" w:rsidRDefault="00F75899" w:rsidP="0039587D">
            <w:pPr>
              <w:rPr>
                <w:rFonts w:cs="Arial"/>
                <w:szCs w:val="20"/>
              </w:rPr>
            </w:pPr>
            <w:r w:rsidRPr="00F75899">
              <w:rPr>
                <w:rFonts w:cs="Arial"/>
                <w:szCs w:val="20"/>
              </w:rPr>
              <w:t>0.0-12.5 IU/mL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303CEDF0" w:rsidR="00E3253B" w:rsidRPr="00DC7421" w:rsidRDefault="00F75899"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0561D25D" w14:textId="5EA09213" w:rsidR="004A4FB2" w:rsidRDefault="004A4FB2" w:rsidP="004A4FB2">
            <w:pPr>
              <w:autoSpaceDE w:val="0"/>
              <w:autoSpaceDN w:val="0"/>
              <w:adjustRightInd w:val="0"/>
              <w:rPr>
                <w:rFonts w:cs="Arial"/>
                <w:bCs/>
                <w:szCs w:val="20"/>
              </w:rPr>
            </w:pPr>
            <w:r w:rsidRPr="004A4FB2">
              <w:rPr>
                <w:rFonts w:cs="Arial"/>
                <w:bCs/>
                <w:szCs w:val="20"/>
              </w:rPr>
              <w:t>Antibody measurement represents one parameter in a</w:t>
            </w:r>
            <w:r w:rsidR="00101293">
              <w:rPr>
                <w:rFonts w:cs="Arial"/>
                <w:bCs/>
                <w:szCs w:val="20"/>
              </w:rPr>
              <w:t xml:space="preserve"> </w:t>
            </w:r>
            <w:r w:rsidRPr="004A4FB2">
              <w:rPr>
                <w:rFonts w:cs="Arial"/>
                <w:bCs/>
                <w:szCs w:val="20"/>
              </w:rPr>
              <w:t>multicriteria diagnostic process. When making a diagnosis of</w:t>
            </w:r>
            <w:r w:rsidR="00101293">
              <w:rPr>
                <w:rFonts w:cs="Arial"/>
                <w:bCs/>
                <w:szCs w:val="20"/>
              </w:rPr>
              <w:t xml:space="preserve"> </w:t>
            </w:r>
            <w:r w:rsidRPr="004A4FB2">
              <w:rPr>
                <w:rFonts w:cs="Arial"/>
                <w:bCs/>
                <w:szCs w:val="20"/>
              </w:rPr>
              <w:t>thyroid disease, a combination of test methods should be used</w:t>
            </w:r>
            <w:r w:rsidR="00101293">
              <w:rPr>
                <w:rFonts w:cs="Arial"/>
                <w:bCs/>
                <w:szCs w:val="20"/>
              </w:rPr>
              <w:t xml:space="preserve"> </w:t>
            </w:r>
            <w:r w:rsidRPr="004A4FB2">
              <w:rPr>
                <w:rFonts w:cs="Arial"/>
                <w:bCs/>
                <w:szCs w:val="20"/>
              </w:rPr>
              <w:t>in conjunction with clinical symptoms.</w:t>
            </w:r>
          </w:p>
          <w:p w14:paraId="2C80EADA" w14:textId="77777777" w:rsidR="00F75899" w:rsidRPr="004A4FB2" w:rsidRDefault="00F75899" w:rsidP="004A4FB2">
            <w:pPr>
              <w:autoSpaceDE w:val="0"/>
              <w:autoSpaceDN w:val="0"/>
              <w:adjustRightInd w:val="0"/>
              <w:rPr>
                <w:rFonts w:cs="Arial"/>
                <w:bCs/>
                <w:szCs w:val="20"/>
              </w:rPr>
            </w:pPr>
          </w:p>
          <w:p w14:paraId="18A3198B" w14:textId="3BEE2575" w:rsidR="004A4FB2" w:rsidRDefault="004A4FB2" w:rsidP="004A4FB2">
            <w:pPr>
              <w:autoSpaceDE w:val="0"/>
              <w:autoSpaceDN w:val="0"/>
              <w:adjustRightInd w:val="0"/>
              <w:rPr>
                <w:rFonts w:cs="Arial"/>
                <w:bCs/>
                <w:szCs w:val="20"/>
              </w:rPr>
            </w:pPr>
            <w:r w:rsidRPr="004A4FB2">
              <w:rPr>
                <w:rFonts w:cs="Arial"/>
                <w:bCs/>
                <w:szCs w:val="20"/>
              </w:rPr>
              <w:t>About 20% of asymptomatic specimens may present with anti-Tg</w:t>
            </w:r>
            <w:r w:rsidR="00101293">
              <w:rPr>
                <w:rFonts w:cs="Arial"/>
                <w:bCs/>
                <w:szCs w:val="20"/>
              </w:rPr>
              <w:t xml:space="preserve"> </w:t>
            </w:r>
            <w:r w:rsidRPr="004A4FB2">
              <w:rPr>
                <w:rFonts w:cs="Arial"/>
                <w:bCs/>
                <w:szCs w:val="20"/>
              </w:rPr>
              <w:t>autoantibodies reflecting the prevalence in apparently healthy</w:t>
            </w:r>
            <w:r w:rsidR="00101293">
              <w:rPr>
                <w:rFonts w:cs="Arial"/>
                <w:bCs/>
                <w:szCs w:val="20"/>
              </w:rPr>
              <w:t xml:space="preserve"> </w:t>
            </w:r>
            <w:r w:rsidRPr="004A4FB2">
              <w:rPr>
                <w:rFonts w:cs="Arial"/>
                <w:bCs/>
                <w:szCs w:val="20"/>
              </w:rPr>
              <w:t>populations. The prevalence of anti-Tg may also depend on age,</w:t>
            </w:r>
            <w:r w:rsidR="00101293">
              <w:rPr>
                <w:rFonts w:cs="Arial"/>
                <w:bCs/>
                <w:szCs w:val="20"/>
              </w:rPr>
              <w:t xml:space="preserve"> </w:t>
            </w:r>
            <w:r w:rsidRPr="004A4FB2">
              <w:rPr>
                <w:rFonts w:cs="Arial"/>
                <w:bCs/>
                <w:szCs w:val="20"/>
              </w:rPr>
              <w:t>gender, and geographic region of the selected population.</w:t>
            </w:r>
          </w:p>
          <w:p w14:paraId="68BE7ECA" w14:textId="77777777" w:rsidR="00F75899" w:rsidRPr="004A4FB2" w:rsidRDefault="00F75899" w:rsidP="004A4FB2">
            <w:pPr>
              <w:autoSpaceDE w:val="0"/>
              <w:autoSpaceDN w:val="0"/>
              <w:adjustRightInd w:val="0"/>
              <w:rPr>
                <w:rFonts w:cs="Arial"/>
                <w:bCs/>
                <w:szCs w:val="20"/>
              </w:rPr>
            </w:pPr>
          </w:p>
          <w:p w14:paraId="6F13042A" w14:textId="27E0408E" w:rsidR="00DC7421" w:rsidRDefault="004A4FB2" w:rsidP="004A4FB2">
            <w:pPr>
              <w:autoSpaceDE w:val="0"/>
              <w:autoSpaceDN w:val="0"/>
              <w:adjustRightInd w:val="0"/>
              <w:rPr>
                <w:rFonts w:cs="Arial"/>
                <w:bCs/>
                <w:szCs w:val="20"/>
              </w:rPr>
            </w:pPr>
            <w:r w:rsidRPr="004A4FB2">
              <w:rPr>
                <w:rFonts w:cs="Arial"/>
                <w:bCs/>
                <w:szCs w:val="20"/>
              </w:rPr>
              <w:t>Some specimens may not dilute linearly because of</w:t>
            </w:r>
            <w:r w:rsidR="00101293">
              <w:rPr>
                <w:rFonts w:cs="Arial"/>
                <w:bCs/>
                <w:szCs w:val="20"/>
              </w:rPr>
              <w:t xml:space="preserve"> </w:t>
            </w:r>
            <w:r w:rsidRPr="004A4FB2">
              <w:rPr>
                <w:rFonts w:cs="Arial"/>
                <w:bCs/>
                <w:szCs w:val="20"/>
              </w:rPr>
              <w:t>the heterogeneity of the autoantibodies with respect to</w:t>
            </w:r>
            <w:r w:rsidR="00101293">
              <w:rPr>
                <w:rFonts w:cs="Arial"/>
                <w:bCs/>
                <w:szCs w:val="20"/>
              </w:rPr>
              <w:t xml:space="preserve"> </w:t>
            </w:r>
            <w:r w:rsidRPr="004A4FB2">
              <w:rPr>
                <w:rFonts w:cs="Arial"/>
                <w:bCs/>
                <w:szCs w:val="20"/>
              </w:rPr>
              <w:t>physiochemical properties.</w:t>
            </w:r>
          </w:p>
          <w:p w14:paraId="19B5A821" w14:textId="77777777" w:rsidR="00701541" w:rsidRDefault="00701541" w:rsidP="004A4FB2">
            <w:pPr>
              <w:autoSpaceDE w:val="0"/>
              <w:autoSpaceDN w:val="0"/>
              <w:adjustRightInd w:val="0"/>
              <w:rPr>
                <w:rFonts w:cs="Arial"/>
                <w:bCs/>
                <w:szCs w:val="20"/>
              </w:rPr>
            </w:pPr>
          </w:p>
          <w:p w14:paraId="1909B823" w14:textId="72C91D5A" w:rsidR="00701541" w:rsidRDefault="00701541" w:rsidP="00701541">
            <w:pPr>
              <w:autoSpaceDE w:val="0"/>
              <w:autoSpaceDN w:val="0"/>
              <w:adjustRightInd w:val="0"/>
              <w:rPr>
                <w:rFonts w:cs="Arial"/>
                <w:bCs/>
                <w:szCs w:val="20"/>
              </w:rPr>
            </w:pPr>
            <w:r w:rsidRPr="00701541">
              <w:rPr>
                <w:rFonts w:cs="Arial"/>
                <w:bCs/>
                <w:szCs w:val="20"/>
              </w:rPr>
              <w:t>Specimens from patients who have received preparations</w:t>
            </w:r>
            <w:r>
              <w:rPr>
                <w:rFonts w:cs="Arial"/>
                <w:bCs/>
                <w:szCs w:val="20"/>
              </w:rPr>
              <w:t xml:space="preserve"> </w:t>
            </w:r>
            <w:r w:rsidRPr="00701541">
              <w:rPr>
                <w:rFonts w:cs="Arial"/>
                <w:bCs/>
                <w:szCs w:val="20"/>
              </w:rPr>
              <w:t>of mouse monoclonal antibodies for diagnosis or therapy</w:t>
            </w:r>
            <w:r>
              <w:rPr>
                <w:rFonts w:cs="Arial"/>
                <w:bCs/>
                <w:szCs w:val="20"/>
              </w:rPr>
              <w:t xml:space="preserve"> </w:t>
            </w:r>
            <w:r w:rsidRPr="00701541">
              <w:rPr>
                <w:rFonts w:cs="Arial"/>
                <w:bCs/>
                <w:szCs w:val="20"/>
              </w:rPr>
              <w:t>may contain human anti-mouse antibodies (HAMA). Such</w:t>
            </w:r>
            <w:r>
              <w:rPr>
                <w:rFonts w:cs="Arial"/>
                <w:bCs/>
                <w:szCs w:val="20"/>
              </w:rPr>
              <w:t xml:space="preserve"> </w:t>
            </w:r>
            <w:r w:rsidRPr="00701541">
              <w:rPr>
                <w:rFonts w:cs="Arial"/>
                <w:bCs/>
                <w:szCs w:val="20"/>
              </w:rPr>
              <w:t>specimens may show either falsely elevated or depressed values</w:t>
            </w:r>
            <w:r>
              <w:rPr>
                <w:rFonts w:cs="Arial"/>
                <w:bCs/>
                <w:szCs w:val="20"/>
              </w:rPr>
              <w:t xml:space="preserve"> </w:t>
            </w:r>
            <w:r w:rsidRPr="00701541">
              <w:rPr>
                <w:rFonts w:cs="Arial"/>
                <w:bCs/>
                <w:szCs w:val="20"/>
              </w:rPr>
              <w:t>when tested with assay kits that employ mouse monoclonal</w:t>
            </w:r>
            <w:r>
              <w:rPr>
                <w:rFonts w:cs="Arial"/>
                <w:bCs/>
                <w:szCs w:val="20"/>
              </w:rPr>
              <w:t xml:space="preserve"> </w:t>
            </w:r>
            <w:r w:rsidRPr="00701541">
              <w:rPr>
                <w:rFonts w:cs="Arial"/>
                <w:bCs/>
                <w:szCs w:val="20"/>
              </w:rPr>
              <w:t>antibodies. Assay results that are not consistent with other</w:t>
            </w:r>
            <w:r>
              <w:rPr>
                <w:rFonts w:cs="Arial"/>
                <w:bCs/>
                <w:szCs w:val="20"/>
              </w:rPr>
              <w:t xml:space="preserve"> </w:t>
            </w:r>
            <w:r w:rsidRPr="00701541">
              <w:rPr>
                <w:rFonts w:cs="Arial"/>
                <w:bCs/>
                <w:szCs w:val="20"/>
              </w:rPr>
              <w:t>clinical observations may require additional information for</w:t>
            </w:r>
            <w:r>
              <w:rPr>
                <w:rFonts w:cs="Arial"/>
                <w:bCs/>
                <w:szCs w:val="20"/>
              </w:rPr>
              <w:t xml:space="preserve"> diagnosis</w:t>
            </w:r>
          </w:p>
          <w:p w14:paraId="6C30DFA7" w14:textId="77777777" w:rsidR="00701541" w:rsidRPr="00701541" w:rsidRDefault="00701541" w:rsidP="00701541">
            <w:pPr>
              <w:autoSpaceDE w:val="0"/>
              <w:autoSpaceDN w:val="0"/>
              <w:adjustRightInd w:val="0"/>
              <w:rPr>
                <w:rFonts w:cs="Arial"/>
                <w:bCs/>
                <w:szCs w:val="20"/>
              </w:rPr>
            </w:pPr>
          </w:p>
          <w:p w14:paraId="68FFB7F4" w14:textId="1C0C0265" w:rsidR="00701541" w:rsidRDefault="00701541" w:rsidP="00701541">
            <w:pPr>
              <w:autoSpaceDE w:val="0"/>
              <w:autoSpaceDN w:val="0"/>
              <w:adjustRightInd w:val="0"/>
              <w:rPr>
                <w:rFonts w:cs="Arial"/>
                <w:bCs/>
                <w:szCs w:val="20"/>
              </w:rPr>
            </w:pPr>
            <w:r w:rsidRPr="00701541">
              <w:rPr>
                <w:rFonts w:cs="Arial"/>
                <w:bCs/>
                <w:szCs w:val="20"/>
              </w:rPr>
              <w:t>Heterophilic antibodies in human serum can react with reagent</w:t>
            </w:r>
            <w:r>
              <w:rPr>
                <w:rFonts w:cs="Arial"/>
                <w:bCs/>
                <w:szCs w:val="20"/>
              </w:rPr>
              <w:t xml:space="preserve"> </w:t>
            </w:r>
            <w:r w:rsidRPr="00701541">
              <w:rPr>
                <w:rFonts w:cs="Arial"/>
                <w:bCs/>
                <w:szCs w:val="20"/>
              </w:rPr>
              <w:t>immunoglobulins, interfering with in vitro immunoassays. Patients</w:t>
            </w:r>
            <w:r>
              <w:rPr>
                <w:rFonts w:cs="Arial"/>
                <w:bCs/>
                <w:szCs w:val="20"/>
              </w:rPr>
              <w:t xml:space="preserve"> </w:t>
            </w:r>
            <w:r w:rsidRPr="00701541">
              <w:rPr>
                <w:rFonts w:cs="Arial"/>
                <w:bCs/>
                <w:szCs w:val="20"/>
              </w:rPr>
              <w:t>routinely exposed to animals or to animal serum products can</w:t>
            </w:r>
            <w:r>
              <w:rPr>
                <w:rFonts w:cs="Arial"/>
                <w:bCs/>
                <w:szCs w:val="20"/>
              </w:rPr>
              <w:t xml:space="preserve"> </w:t>
            </w:r>
            <w:r w:rsidRPr="00701541">
              <w:rPr>
                <w:rFonts w:cs="Arial"/>
                <w:bCs/>
                <w:szCs w:val="20"/>
              </w:rPr>
              <w:t>be prone to this interference, and anomalous values may be</w:t>
            </w:r>
            <w:r>
              <w:rPr>
                <w:rFonts w:cs="Arial"/>
                <w:bCs/>
                <w:szCs w:val="20"/>
              </w:rPr>
              <w:t xml:space="preserve"> </w:t>
            </w:r>
            <w:r w:rsidRPr="00701541">
              <w:rPr>
                <w:rFonts w:cs="Arial"/>
                <w:bCs/>
                <w:szCs w:val="20"/>
              </w:rPr>
              <w:t>observed. Additional information may be required for diagnosis.</w:t>
            </w:r>
          </w:p>
          <w:p w14:paraId="5CD00021" w14:textId="61874740" w:rsidR="00F75899" w:rsidRPr="00DC7421" w:rsidRDefault="00F75899" w:rsidP="004A4FB2">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701541" w:rsidRDefault="00F83DB0" w:rsidP="00F83DB0">
                  <w:pPr>
                    <w:rPr>
                      <w:rFonts w:cs="Arial"/>
                      <w:szCs w:val="20"/>
                    </w:rPr>
                  </w:pPr>
                  <w:r w:rsidRPr="00701541">
                    <w:rPr>
                      <w:rFonts w:cs="Arial"/>
                      <w:szCs w:val="20"/>
                    </w:rPr>
                    <w:t>Max Auto Dilution:</w:t>
                  </w:r>
                </w:p>
              </w:tc>
              <w:tc>
                <w:tcPr>
                  <w:tcW w:w="7200" w:type="dxa"/>
                </w:tcPr>
                <w:p w14:paraId="09E508C9" w14:textId="091DDBBF" w:rsidR="00F83DB0" w:rsidRPr="00701541" w:rsidRDefault="00701541" w:rsidP="00903558">
                  <w:pPr>
                    <w:autoSpaceDE w:val="0"/>
                    <w:autoSpaceDN w:val="0"/>
                    <w:adjustRightInd w:val="0"/>
                    <w:rPr>
                      <w:rFonts w:cs="Arial"/>
                      <w:szCs w:val="20"/>
                    </w:rPr>
                  </w:pPr>
                  <w:r>
                    <w:rPr>
                      <w:rFonts w:cs="Arial"/>
                      <w:szCs w:val="20"/>
                    </w:rPr>
                    <w:t>1:10</w:t>
                  </w:r>
                </w:p>
                <w:p w14:paraId="1B18B669" w14:textId="5983E888" w:rsidR="00903558" w:rsidRPr="00701541" w:rsidRDefault="00903558" w:rsidP="00903558">
                  <w:pPr>
                    <w:autoSpaceDE w:val="0"/>
                    <w:autoSpaceDN w:val="0"/>
                    <w:adjustRightInd w:val="0"/>
                    <w:rPr>
                      <w:rFonts w:cs="Arial"/>
                      <w:szCs w:val="20"/>
                    </w:rPr>
                  </w:pPr>
                </w:p>
              </w:tc>
            </w:tr>
            <w:tr w:rsidR="00F83DB0" w:rsidRPr="00EC40A2" w14:paraId="4B91BF23" w14:textId="77777777" w:rsidTr="00A23086">
              <w:trPr>
                <w:trHeight w:val="485"/>
              </w:trPr>
              <w:tc>
                <w:tcPr>
                  <w:tcW w:w="1867" w:type="dxa"/>
                </w:tcPr>
                <w:p w14:paraId="7B3C43FE" w14:textId="77777777" w:rsidR="00F83DB0" w:rsidRPr="00701541" w:rsidRDefault="00F83DB0" w:rsidP="00F83DB0">
                  <w:pPr>
                    <w:rPr>
                      <w:rFonts w:cs="Arial"/>
                      <w:szCs w:val="20"/>
                    </w:rPr>
                  </w:pPr>
                  <w:r w:rsidRPr="00701541">
                    <w:rPr>
                      <w:rFonts w:cs="Arial"/>
                      <w:szCs w:val="20"/>
                    </w:rPr>
                    <w:t>Maximum Manual Dilution:</w:t>
                  </w:r>
                </w:p>
              </w:tc>
              <w:tc>
                <w:tcPr>
                  <w:tcW w:w="7200" w:type="dxa"/>
                </w:tcPr>
                <w:p w14:paraId="4918307A" w14:textId="277EDCAA" w:rsidR="00903558" w:rsidRPr="00701541" w:rsidRDefault="00903558" w:rsidP="00903558">
                  <w:pPr>
                    <w:autoSpaceDE w:val="0"/>
                    <w:autoSpaceDN w:val="0"/>
                    <w:adjustRightInd w:val="0"/>
                    <w:rPr>
                      <w:rFonts w:cs="Arial"/>
                      <w:szCs w:val="20"/>
                    </w:rPr>
                  </w:pPr>
                  <w:r w:rsidRPr="00701541">
                    <w:rPr>
                      <w:rFonts w:cs="Arial"/>
                      <w:szCs w:val="20"/>
                    </w:rPr>
                    <w:t>1:20</w:t>
                  </w:r>
                </w:p>
                <w:p w14:paraId="4008A33E" w14:textId="77777777" w:rsidR="00903558" w:rsidRPr="00701541" w:rsidRDefault="00903558" w:rsidP="00903558">
                  <w:pPr>
                    <w:autoSpaceDE w:val="0"/>
                    <w:autoSpaceDN w:val="0"/>
                    <w:adjustRightInd w:val="0"/>
                    <w:rPr>
                      <w:rFonts w:cs="Arial"/>
                      <w:szCs w:val="20"/>
                    </w:rPr>
                  </w:pPr>
                  <w:r w:rsidRPr="00701541">
                    <w:rPr>
                      <w:rFonts w:cs="Arial"/>
                      <w:szCs w:val="20"/>
                    </w:rPr>
                    <w:t xml:space="preserve">Add 10 </w:t>
                  </w:r>
                  <w:r w:rsidRPr="00701541">
                    <w:rPr>
                      <w:rFonts w:cs="Arial" w:hint="eastAsia"/>
                      <w:szCs w:val="20"/>
                    </w:rPr>
                    <w:t>μ</w:t>
                  </w:r>
                  <w:r w:rsidRPr="00701541">
                    <w:rPr>
                      <w:rFonts w:cs="Arial"/>
                      <w:szCs w:val="20"/>
                    </w:rPr>
                    <w:t xml:space="preserve">L of the sample to 190 </w:t>
                  </w:r>
                  <w:r w:rsidRPr="00701541">
                    <w:rPr>
                      <w:rFonts w:cs="Arial" w:hint="eastAsia"/>
                      <w:szCs w:val="20"/>
                    </w:rPr>
                    <w:t>μ</w:t>
                  </w:r>
                  <w:r w:rsidRPr="00701541">
                    <w:rPr>
                      <w:rFonts w:cs="Arial"/>
                      <w:szCs w:val="20"/>
                    </w:rPr>
                    <w:t>L of Alinity i Anti-Tg Calibrator A.</w:t>
                  </w:r>
                </w:p>
                <w:p w14:paraId="5209586A" w14:textId="347C8173" w:rsidR="00F83DB0" w:rsidRPr="00701541" w:rsidRDefault="00F83DB0" w:rsidP="00903558">
                  <w:pPr>
                    <w:autoSpaceDE w:val="0"/>
                    <w:autoSpaceDN w:val="0"/>
                    <w:adjustRightInd w:val="0"/>
                    <w:rPr>
                      <w:rFonts w:cs="Arial"/>
                      <w:szCs w:val="20"/>
                    </w:rPr>
                  </w:pPr>
                </w:p>
              </w:tc>
            </w:tr>
            <w:tr w:rsidR="00F83DB0" w:rsidRPr="00EC40A2" w14:paraId="51336689" w14:textId="77777777" w:rsidTr="005C0FCC">
              <w:tc>
                <w:tcPr>
                  <w:tcW w:w="1867" w:type="dxa"/>
                </w:tcPr>
                <w:p w14:paraId="315E7962" w14:textId="77777777" w:rsidR="00F83DB0" w:rsidRPr="00701541" w:rsidRDefault="00F83DB0" w:rsidP="00F83DB0">
                  <w:pPr>
                    <w:rPr>
                      <w:rFonts w:cs="Arial"/>
                      <w:szCs w:val="20"/>
                    </w:rPr>
                  </w:pPr>
                  <w:r w:rsidRPr="00701541">
                    <w:rPr>
                      <w:rFonts w:cs="Arial"/>
                      <w:szCs w:val="20"/>
                    </w:rPr>
                    <w:t>Diluent:</w:t>
                  </w:r>
                </w:p>
              </w:tc>
              <w:tc>
                <w:tcPr>
                  <w:tcW w:w="7200" w:type="dxa"/>
                </w:tcPr>
                <w:p w14:paraId="10636C03" w14:textId="47468E8B" w:rsidR="00F83DB0" w:rsidRPr="00701541" w:rsidRDefault="00701541" w:rsidP="00F83DB0">
                  <w:pPr>
                    <w:autoSpaceDE w:val="0"/>
                    <w:autoSpaceDN w:val="0"/>
                    <w:adjustRightInd w:val="0"/>
                    <w:rPr>
                      <w:rFonts w:cs="Arial"/>
                      <w:szCs w:val="20"/>
                    </w:rPr>
                  </w:pPr>
                  <w:r>
                    <w:rPr>
                      <w:rFonts w:cs="Arial"/>
                      <w:szCs w:val="20"/>
                    </w:rPr>
                    <w:t xml:space="preserve">Alinity i </w:t>
                  </w:r>
                  <w:r w:rsidR="00903558" w:rsidRPr="00701541">
                    <w:rPr>
                      <w:rFonts w:cs="Arial"/>
                      <w:szCs w:val="20"/>
                    </w:rPr>
                    <w:t>Anti Tg Calibrator A</w:t>
                  </w:r>
                </w:p>
              </w:tc>
            </w:tr>
            <w:tr w:rsidR="00F83DB0" w:rsidRPr="00EC40A2" w14:paraId="130A8B4A" w14:textId="77777777" w:rsidTr="005C0FCC">
              <w:tc>
                <w:tcPr>
                  <w:tcW w:w="1867" w:type="dxa"/>
                </w:tcPr>
                <w:p w14:paraId="3BF17F7E" w14:textId="77777777" w:rsidR="00F83DB0" w:rsidRPr="00701541" w:rsidRDefault="00F83DB0" w:rsidP="00F83DB0">
                  <w:pPr>
                    <w:rPr>
                      <w:rFonts w:cs="Arial"/>
                      <w:szCs w:val="20"/>
                    </w:rPr>
                  </w:pPr>
                  <w:r w:rsidRPr="00701541">
                    <w:rPr>
                      <w:rFonts w:cs="Arial"/>
                      <w:szCs w:val="20"/>
                    </w:rPr>
                    <w:t>Manual Dilution:</w:t>
                  </w:r>
                </w:p>
              </w:tc>
              <w:tc>
                <w:tcPr>
                  <w:tcW w:w="7200" w:type="dxa"/>
                </w:tcPr>
                <w:p w14:paraId="3AB4E9ED" w14:textId="77777777" w:rsidR="00F83DB0" w:rsidRPr="00701541" w:rsidRDefault="00F83DB0" w:rsidP="00F83DB0">
                  <w:pPr>
                    <w:autoSpaceDE w:val="0"/>
                    <w:autoSpaceDN w:val="0"/>
                    <w:adjustRightInd w:val="0"/>
                    <w:rPr>
                      <w:rFonts w:eastAsia="HelenPro-Regular" w:cs="Arial"/>
                      <w:szCs w:val="20"/>
                    </w:rPr>
                  </w:pPr>
                  <w:r w:rsidRPr="00701541">
                    <w:rPr>
                      <w:rFonts w:cs="Arial"/>
                      <w:szCs w:val="20"/>
                    </w:rPr>
                    <w:t xml:space="preserve">Follow Abbott </w:t>
                  </w:r>
                  <w:hyperlink r:id="rId14" w:history="1">
                    <w:r w:rsidRPr="00701541">
                      <w:rPr>
                        <w:rStyle w:val="Hyperlink"/>
                        <w:rFonts w:cs="Arial"/>
                        <w:szCs w:val="20"/>
                      </w:rPr>
                      <w:t>Alinity Operator’s Manual</w:t>
                    </w:r>
                  </w:hyperlink>
                  <w:r w:rsidRPr="00701541">
                    <w:rPr>
                      <w:rFonts w:cs="Arial"/>
                      <w:szCs w:val="20"/>
                    </w:rPr>
                    <w:t xml:space="preserve"> instructions for programming automated dilutions.  </w:t>
                  </w:r>
                  <w:r w:rsidRPr="00701541">
                    <w:rPr>
                      <w:rFonts w:eastAsia="HelenPro-Regular" w:cs="Arial"/>
                      <w:szCs w:val="20"/>
                    </w:rPr>
                    <w:t xml:space="preserve">The system will automatically calculate the concentration of the sample and report the result.  </w:t>
                  </w:r>
                </w:p>
                <w:p w14:paraId="497F0B2E" w14:textId="77777777" w:rsidR="00F83DB0" w:rsidRPr="00701541" w:rsidRDefault="00F83DB0" w:rsidP="00F83DB0">
                  <w:pPr>
                    <w:autoSpaceDE w:val="0"/>
                    <w:autoSpaceDN w:val="0"/>
                    <w:adjustRightInd w:val="0"/>
                    <w:rPr>
                      <w:rFonts w:eastAsia="HelenPro-Regular" w:cs="Arial"/>
                      <w:szCs w:val="20"/>
                    </w:rPr>
                  </w:pPr>
                </w:p>
                <w:p w14:paraId="29DCB4A3" w14:textId="7452E539" w:rsidR="00F83DB0" w:rsidRPr="00701541" w:rsidRDefault="00F83DB0" w:rsidP="00F83DB0">
                  <w:pPr>
                    <w:autoSpaceDE w:val="0"/>
                    <w:autoSpaceDN w:val="0"/>
                    <w:adjustRightInd w:val="0"/>
                    <w:rPr>
                      <w:rFonts w:eastAsia="HelenPro-Regular" w:cs="Arial"/>
                      <w:szCs w:val="20"/>
                    </w:rPr>
                  </w:pPr>
                  <w:r w:rsidRPr="00701541">
                    <w:rPr>
                      <w:rFonts w:eastAsia="HelenPro-Regular" w:cs="Arial"/>
                      <w:szCs w:val="20"/>
                    </w:rPr>
                    <w:t xml:space="preserve">If a diluted sample result is less than the lower value of the measuring interval of </w:t>
                  </w:r>
                  <w:r w:rsidR="00701541">
                    <w:rPr>
                      <w:rFonts w:eastAsia="HelenPro-Regular" w:cs="Arial"/>
                      <w:szCs w:val="20"/>
                    </w:rPr>
                    <w:t>3 IU/mL</w:t>
                  </w:r>
                  <w:r w:rsidRPr="00701541">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5C9C3A0" w:rsidR="00EA580E" w:rsidRDefault="00EA580E" w:rsidP="00EA580E">
            <w:pPr>
              <w:rPr>
                <w:rFonts w:cs="Arial"/>
                <w:b/>
                <w:bCs/>
                <w:color w:val="7030A0"/>
                <w:szCs w:val="20"/>
              </w:rPr>
            </w:pPr>
          </w:p>
          <w:p w14:paraId="7EEC7ABE" w14:textId="75786B26"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701541">
              <w:rPr>
                <w:rFonts w:cs="Arial"/>
                <w:szCs w:val="20"/>
              </w:rPr>
              <w:t>3</w:t>
            </w:r>
            <w:r w:rsidR="00E47DE5">
              <w:rPr>
                <w:rFonts w:cs="Arial"/>
                <w:szCs w:val="20"/>
              </w:rPr>
              <w:t xml:space="preserve"> </w:t>
            </w:r>
            <w:r>
              <w:rPr>
                <w:rFonts w:cs="Arial"/>
                <w:szCs w:val="20"/>
              </w:rPr>
              <w:t xml:space="preserve">and </w:t>
            </w:r>
            <w:r w:rsidR="00701541">
              <w:rPr>
                <w:rFonts w:cs="Arial"/>
                <w:szCs w:val="20"/>
              </w:rPr>
              <w:t>1000</w:t>
            </w:r>
            <w:r w:rsidR="00E47DE5" w:rsidRPr="00DC7421">
              <w:rPr>
                <w:rFonts w:cs="Arial"/>
                <w:szCs w:val="20"/>
              </w:rPr>
              <w:t xml:space="preserve"> </w:t>
            </w:r>
            <w:r w:rsidRPr="00DC7421">
              <w:rPr>
                <w:rFonts w:cs="Arial"/>
                <w:szCs w:val="20"/>
              </w:rPr>
              <w:t>without error messages are released</w:t>
            </w:r>
          </w:p>
          <w:p w14:paraId="512DB6C5" w14:textId="32DFB94E" w:rsidR="00F84C8E" w:rsidRPr="00DC7421" w:rsidRDefault="00F84C8E" w:rsidP="00F84C8E">
            <w:pPr>
              <w:numPr>
                <w:ilvl w:val="0"/>
                <w:numId w:val="40"/>
              </w:numPr>
              <w:rPr>
                <w:rFonts w:cs="Arial"/>
                <w:szCs w:val="20"/>
              </w:rPr>
            </w:pPr>
            <w:r>
              <w:rPr>
                <w:rFonts w:cs="Arial"/>
                <w:szCs w:val="20"/>
              </w:rPr>
              <w:t xml:space="preserve">Results below </w:t>
            </w:r>
            <w:r w:rsidR="00701541">
              <w:rPr>
                <w:rFonts w:cs="Arial"/>
                <w:szCs w:val="20"/>
              </w:rPr>
              <w:t>3</w:t>
            </w:r>
            <w:r w:rsidR="00E47DE5">
              <w:rPr>
                <w:rFonts w:cs="Arial"/>
                <w:szCs w:val="20"/>
              </w:rPr>
              <w:t xml:space="preserve"> </w:t>
            </w:r>
            <w:r>
              <w:rPr>
                <w:rFonts w:cs="Arial"/>
                <w:szCs w:val="20"/>
              </w:rPr>
              <w:t xml:space="preserve">without error messages are reported as &lt; </w:t>
            </w:r>
            <w:r w:rsidR="00701541">
              <w:rPr>
                <w:rFonts w:cs="Arial"/>
                <w:szCs w:val="20"/>
              </w:rPr>
              <w:t>3 IU/mL</w:t>
            </w:r>
            <w:r>
              <w:rPr>
                <w:rFonts w:cs="Arial"/>
                <w:szCs w:val="20"/>
              </w:rPr>
              <w:t>.</w:t>
            </w:r>
          </w:p>
          <w:p w14:paraId="61C98532" w14:textId="1AC59436" w:rsidR="00F84C8E" w:rsidRDefault="00F84C8E" w:rsidP="00F84C8E">
            <w:pPr>
              <w:numPr>
                <w:ilvl w:val="0"/>
                <w:numId w:val="40"/>
              </w:numPr>
              <w:rPr>
                <w:rFonts w:cs="Arial"/>
                <w:szCs w:val="20"/>
              </w:rPr>
            </w:pPr>
            <w:r>
              <w:rPr>
                <w:rFonts w:cs="Arial"/>
                <w:szCs w:val="20"/>
              </w:rPr>
              <w:t>Results &gt;</w:t>
            </w:r>
            <w:r w:rsidR="00701541">
              <w:rPr>
                <w:rFonts w:cs="Arial"/>
                <w:szCs w:val="20"/>
              </w:rPr>
              <w:t xml:space="preserve"> 1000</w:t>
            </w:r>
            <w:r w:rsidR="00E47DE5">
              <w:rPr>
                <w:rFonts w:cs="Arial"/>
                <w:szCs w:val="20"/>
              </w:rPr>
              <w:t xml:space="preserve"> </w:t>
            </w:r>
            <w:r>
              <w:rPr>
                <w:rFonts w:cs="Arial"/>
                <w:szCs w:val="20"/>
              </w:rPr>
              <w:t xml:space="preserve">should be diluted using the onboard automated </w:t>
            </w:r>
            <w:r w:rsidR="00701541">
              <w:rPr>
                <w:rFonts w:cs="Arial"/>
                <w:szCs w:val="20"/>
              </w:rPr>
              <w:t>1:10 dilution</w:t>
            </w:r>
            <w:r>
              <w:rPr>
                <w:rFonts w:cs="Arial"/>
                <w:szCs w:val="20"/>
              </w:rPr>
              <w:t>.  Release results without error messages following this dilution.</w:t>
            </w:r>
          </w:p>
          <w:p w14:paraId="0C806BEA" w14:textId="3AA2B898" w:rsidR="00387FF5" w:rsidRPr="00701541" w:rsidRDefault="00F84C8E" w:rsidP="00B17BA8">
            <w:pPr>
              <w:numPr>
                <w:ilvl w:val="0"/>
                <w:numId w:val="40"/>
              </w:numPr>
              <w:rPr>
                <w:rFonts w:cs="Arial"/>
                <w:szCs w:val="20"/>
              </w:rPr>
            </w:pPr>
            <w:r w:rsidRPr="00701541">
              <w:rPr>
                <w:rFonts w:cs="Arial"/>
                <w:szCs w:val="20"/>
              </w:rPr>
              <w:t xml:space="preserve">Results &gt; </w:t>
            </w:r>
            <w:r w:rsidR="00701541" w:rsidRPr="00701541">
              <w:rPr>
                <w:rFonts w:cs="Arial"/>
                <w:szCs w:val="20"/>
              </w:rPr>
              <w:t>10000</w:t>
            </w:r>
            <w:r w:rsidR="00E47DE5" w:rsidRPr="00701541">
              <w:rPr>
                <w:rFonts w:cs="Arial"/>
                <w:szCs w:val="20"/>
              </w:rPr>
              <w:t xml:space="preserve"> </w:t>
            </w:r>
            <w:r w:rsidRPr="00701541">
              <w:rPr>
                <w:rFonts w:cs="Arial"/>
                <w:szCs w:val="20"/>
              </w:rPr>
              <w:t>following automate</w:t>
            </w:r>
            <w:r w:rsidR="00701541" w:rsidRPr="00701541">
              <w:rPr>
                <w:rFonts w:cs="Arial"/>
                <w:szCs w:val="20"/>
              </w:rPr>
              <w:t>d dilution are diluted manually 1:20</w:t>
            </w:r>
            <w:r w:rsidRPr="00701541">
              <w:rPr>
                <w:rFonts w:cs="Arial"/>
                <w:szCs w:val="20"/>
              </w:rPr>
              <w:t>.</w:t>
            </w:r>
            <w:r w:rsidR="00701541" w:rsidRPr="00701541">
              <w:rPr>
                <w:rFonts w:cs="Arial"/>
                <w:szCs w:val="20"/>
              </w:rPr>
              <w:t xml:space="preserve">  Release</w:t>
            </w:r>
            <w:r w:rsidR="00701541">
              <w:rPr>
                <w:rFonts w:cs="Arial"/>
                <w:szCs w:val="20"/>
              </w:rPr>
              <w:t xml:space="preserve"> results </w:t>
            </w:r>
            <w:r w:rsidR="00701541" w:rsidRPr="00701541">
              <w:rPr>
                <w:rFonts w:cs="Arial"/>
                <w:szCs w:val="20"/>
              </w:rPr>
              <w:t xml:space="preserve">without error messages following this dilution.  </w:t>
            </w:r>
          </w:p>
          <w:p w14:paraId="0F907C95" w14:textId="77777777" w:rsidR="00F83DB0" w:rsidRDefault="00701541" w:rsidP="00C13C50">
            <w:pPr>
              <w:numPr>
                <w:ilvl w:val="0"/>
                <w:numId w:val="40"/>
              </w:numPr>
              <w:rPr>
                <w:rFonts w:cs="Arial"/>
                <w:szCs w:val="20"/>
              </w:rPr>
            </w:pPr>
            <w:r>
              <w:rPr>
                <w:rFonts w:cs="Arial"/>
                <w:szCs w:val="20"/>
              </w:rPr>
              <w:t>Results &gt; 20000 following manual dilution are reported as &gt;20000 IU/mL</w:t>
            </w:r>
          </w:p>
          <w:p w14:paraId="5CD0003C" w14:textId="6CFDE943" w:rsidR="00701541" w:rsidRPr="00DC7421" w:rsidRDefault="00701541" w:rsidP="00701541">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13C21D84"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701541">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DCB2391" w14:textId="2D6FFC0A" w:rsidR="00701541" w:rsidRPr="00701541" w:rsidRDefault="00701541" w:rsidP="00701541">
            <w:pPr>
              <w:numPr>
                <w:ilvl w:val="0"/>
                <w:numId w:val="33"/>
              </w:numPr>
              <w:rPr>
                <w:rFonts w:cs="Arial"/>
                <w:szCs w:val="20"/>
              </w:rPr>
            </w:pPr>
            <w:r>
              <w:rPr>
                <w:rFonts w:cs="Arial"/>
                <w:szCs w:val="20"/>
              </w:rPr>
              <w:t>Abbott Alinity i Anti-Tg</w:t>
            </w:r>
            <w:r w:rsidRPr="00701541">
              <w:rPr>
                <w:rFonts w:cs="Arial"/>
                <w:szCs w:val="20"/>
              </w:rPr>
              <w:t xml:space="preserve"> Reagent Instructions for Use, Abbott Diagnostics Division, Abbott Park, IL USA.  Revised February 2018</w:t>
            </w:r>
          </w:p>
          <w:p w14:paraId="45202A8C" w14:textId="69F23943" w:rsidR="00701541" w:rsidRPr="00701541" w:rsidRDefault="00701541" w:rsidP="00701541">
            <w:pPr>
              <w:numPr>
                <w:ilvl w:val="0"/>
                <w:numId w:val="33"/>
              </w:numPr>
              <w:rPr>
                <w:rFonts w:cs="Arial"/>
                <w:szCs w:val="20"/>
              </w:rPr>
            </w:pPr>
            <w:r>
              <w:rPr>
                <w:rFonts w:cs="Arial"/>
                <w:szCs w:val="20"/>
              </w:rPr>
              <w:t>Abbott Alinity i Anti-Tg</w:t>
            </w:r>
            <w:r w:rsidRPr="00701541">
              <w:rPr>
                <w:rFonts w:cs="Arial"/>
                <w:szCs w:val="20"/>
              </w:rPr>
              <w:t xml:space="preserve"> Calibrator Kit Package Insert, Abbott Diagnostics Division, Abbott Park, IL USA.  Revised March 2018</w:t>
            </w:r>
          </w:p>
          <w:p w14:paraId="0C8BB462" w14:textId="153CD5E2" w:rsidR="00701541" w:rsidRPr="00701541" w:rsidRDefault="00701541" w:rsidP="00701541">
            <w:pPr>
              <w:numPr>
                <w:ilvl w:val="0"/>
                <w:numId w:val="33"/>
              </w:numPr>
              <w:rPr>
                <w:rFonts w:cs="Arial"/>
                <w:szCs w:val="20"/>
              </w:rPr>
            </w:pPr>
            <w:r w:rsidRPr="00701541">
              <w:rPr>
                <w:rFonts w:cs="Arial"/>
                <w:szCs w:val="20"/>
              </w:rPr>
              <w:t>CALIPER Reference Interval Studies, accessed 10/27/2020.</w:t>
            </w:r>
          </w:p>
          <w:p w14:paraId="59E60336" w14:textId="77777777" w:rsidR="00E3253B" w:rsidRDefault="00E3253B" w:rsidP="00701541">
            <w:pPr>
              <w:ind w:left="360"/>
              <w:rPr>
                <w:rFonts w:cs="Arial"/>
                <w:szCs w:val="20"/>
              </w:rPr>
            </w:pPr>
          </w:p>
          <w:p w14:paraId="5CD00046" w14:textId="77777777" w:rsidR="00701541" w:rsidRPr="00DC7421" w:rsidRDefault="00701541" w:rsidP="00701541">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18F30A6D"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4F1D327B" w:rsidR="00F50200" w:rsidRPr="00DC7421" w:rsidRDefault="00903558">
            <w:pPr>
              <w:rPr>
                <w:rFonts w:cs="Arial"/>
                <w:iCs/>
                <w:szCs w:val="20"/>
              </w:rPr>
            </w:pPr>
            <w:r>
              <w:rPr>
                <w:rFonts w:cs="Arial"/>
                <w:iCs/>
                <w:szCs w:val="20"/>
              </w:rPr>
              <w:t>Michelle Anton</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40FB547F" w:rsidR="00F50200" w:rsidRPr="00F84C8E" w:rsidRDefault="00701541">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4E551F9" w:rsidR="00F50200" w:rsidRPr="00F84C8E" w:rsidRDefault="00701541">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6C867C05" w:rsidR="00F50200" w:rsidRPr="00F84C8E" w:rsidRDefault="00701541">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E50BF5A" w:rsidR="00F50200" w:rsidRPr="00F84C8E" w:rsidRDefault="00701541">
            <w:pPr>
              <w:rPr>
                <w:rFonts w:cs="Arial"/>
                <w:iCs/>
                <w:szCs w:val="20"/>
              </w:rPr>
            </w:pPr>
            <w:r>
              <w:rPr>
                <w:rFonts w:cs="Arial"/>
                <w:iCs/>
                <w:szCs w:val="20"/>
              </w:rPr>
              <w:t>Added AMR, reference interval, references, corrected instrument, QC materials, interferences, calibrators, etc for new instrument.</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DokChampa"/>
    <w:panose1 w:val="00000000000000000000"/>
    <w:charset w:val="4D"/>
    <w:family w:val="auto"/>
    <w:notTrueType/>
    <w:pitch w:val="default"/>
    <w:sig w:usb0="00000000" w:usb1="08070000" w:usb2="00000010" w:usb3="00000000" w:csb0="00020001" w:csb1="00000000"/>
  </w:font>
  <w:font w:name="Helen Pro Con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4F6E4A5F" w:rsidR="00B13C1A" w:rsidRPr="002E718D" w:rsidRDefault="00B13C1A" w:rsidP="002E718D">
    <w:pPr>
      <w:ind w:left="-1260" w:right="-1260"/>
      <w:rPr>
        <w:rFonts w:cs="Arial"/>
        <w:sz w:val="16"/>
      </w:rPr>
    </w:pPr>
    <w:r>
      <w:rPr>
        <w:rFonts w:cs="Arial"/>
        <w:sz w:val="16"/>
      </w:rPr>
      <w:t>Laboratory, Chi</w:t>
    </w:r>
    <w:r w:rsidR="002D32D6">
      <w:rPr>
        <w:rFonts w:cs="Arial"/>
        <w:sz w:val="16"/>
      </w:rPr>
      <w:t>ldren’s</w:t>
    </w:r>
    <w:r>
      <w:rPr>
        <w:rFonts w:cs="Arial"/>
        <w:sz w:val="16"/>
      </w:rPr>
      <w:t xml:space="preserve"> Minnesota, 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01541">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01541">
      <w:rPr>
        <w:noProof/>
        <w:sz w:val="18"/>
      </w:rPr>
      <w:t>7</w:t>
    </w:r>
    <w:r w:rsidR="008F2C6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30D3CA40"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6877CD">
      <w:rPr>
        <w:rFonts w:cs="Arial"/>
      </w:rPr>
      <w:t>6.8021 Thyroglobulin Antibody</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1BF2131C" w:rsidR="00B13C1A" w:rsidRDefault="00B13C1A">
    <w:pPr>
      <w:ind w:left="-1260" w:right="-1260"/>
      <w:rPr>
        <w:rFonts w:cs="Arial"/>
      </w:rPr>
    </w:pPr>
    <w:r>
      <w:rPr>
        <w:rFonts w:cs="Arial"/>
      </w:rPr>
      <w:t xml:space="preserve">Effective Date: </w:t>
    </w:r>
    <w:r w:rsidR="006877CD">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02500"/>
    <w:rsid w:val="0002281F"/>
    <w:rsid w:val="000244AC"/>
    <w:rsid w:val="00025B50"/>
    <w:rsid w:val="0002771B"/>
    <w:rsid w:val="00064AD2"/>
    <w:rsid w:val="000A3E5A"/>
    <w:rsid w:val="000E63E3"/>
    <w:rsid w:val="00101293"/>
    <w:rsid w:val="001057E8"/>
    <w:rsid w:val="001102B2"/>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D32D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4FB2"/>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85D61"/>
    <w:rsid w:val="006877CD"/>
    <w:rsid w:val="00693888"/>
    <w:rsid w:val="006A26B2"/>
    <w:rsid w:val="006A2770"/>
    <w:rsid w:val="006A41B1"/>
    <w:rsid w:val="006A5A84"/>
    <w:rsid w:val="006B78CE"/>
    <w:rsid w:val="006C5661"/>
    <w:rsid w:val="006C7814"/>
    <w:rsid w:val="00701541"/>
    <w:rsid w:val="007132A9"/>
    <w:rsid w:val="00747868"/>
    <w:rsid w:val="00784B0E"/>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03558"/>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588"/>
    <w:rsid w:val="00C00B65"/>
    <w:rsid w:val="00C13C50"/>
    <w:rsid w:val="00C74772"/>
    <w:rsid w:val="00CD06C7"/>
    <w:rsid w:val="00CE07E8"/>
    <w:rsid w:val="00CE16FB"/>
    <w:rsid w:val="00CF08A6"/>
    <w:rsid w:val="00D1566C"/>
    <w:rsid w:val="00D166C8"/>
    <w:rsid w:val="00D271B1"/>
    <w:rsid w:val="00D302B9"/>
    <w:rsid w:val="00D63C07"/>
    <w:rsid w:val="00D75850"/>
    <w:rsid w:val="00D75F99"/>
    <w:rsid w:val="00D85138"/>
    <w:rsid w:val="00D955F6"/>
    <w:rsid w:val="00D96972"/>
    <w:rsid w:val="00DC24D6"/>
    <w:rsid w:val="00DC7091"/>
    <w:rsid w:val="00DC7421"/>
    <w:rsid w:val="00DF5549"/>
    <w:rsid w:val="00DF6343"/>
    <w:rsid w:val="00E049CF"/>
    <w:rsid w:val="00E246BA"/>
    <w:rsid w:val="00E3253B"/>
    <w:rsid w:val="00E47DE5"/>
    <w:rsid w:val="00E55C7B"/>
    <w:rsid w:val="00E70894"/>
    <w:rsid w:val="00E93074"/>
    <w:rsid w:val="00EA2B3F"/>
    <w:rsid w:val="00EA580E"/>
    <w:rsid w:val="00EB4B6C"/>
    <w:rsid w:val="00EE145B"/>
    <w:rsid w:val="00EF1741"/>
    <w:rsid w:val="00F0405E"/>
    <w:rsid w:val="00F236AF"/>
    <w:rsid w:val="00F50200"/>
    <w:rsid w:val="00F52BBA"/>
    <w:rsid w:val="00F6060A"/>
    <w:rsid w:val="00F63DA5"/>
    <w:rsid w:val="00F75899"/>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sharepoint.v3"/>
    <ds:schemaRef ds:uri="http://schemas.openxmlformats.org/package/2006/metadata/core-properties"/>
    <ds:schemaRef ds:uri="c1848e11-9cf6-4ce4-877e-6837d2c2fa23"/>
    <ds:schemaRef ds:uri="http://schemas.microsoft.com/sharepoint/v3/fields"/>
    <ds:schemaRef ds:uri="199f0838-75a6-4f0c-9be1-f2c07140bcc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679DA-8850-43E7-8231-18413CA3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2007</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13770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6</cp:revision>
  <cp:lastPrinted>2020-04-15T15:00:00Z</cp:lastPrinted>
  <dcterms:created xsi:type="dcterms:W3CDTF">2020-11-17T20:43:00Z</dcterms:created>
  <dcterms:modified xsi:type="dcterms:W3CDTF">2021-01-14T19:00:00Z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