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9C5880" w:rsidRPr="00F116E4">
        <w:trPr>
          <w:cantSplit/>
        </w:trPr>
        <w:tc>
          <w:tcPr>
            <w:tcW w:w="11160" w:type="dxa"/>
            <w:gridSpan w:val="2"/>
            <w:tcBorders>
              <w:top w:val="nil"/>
              <w:left w:val="nil"/>
              <w:bottom w:val="nil"/>
              <w:right w:val="nil"/>
            </w:tcBorders>
          </w:tcPr>
          <w:p w:rsidR="009C5880" w:rsidRPr="00F116E4" w:rsidRDefault="00C379C1" w:rsidP="007C3E34">
            <w:pPr>
              <w:jc w:val="left"/>
              <w:rPr>
                <w:rFonts w:ascii="Arial" w:hAnsi="Arial" w:cs="Arial"/>
                <w:b/>
                <w:bCs/>
                <w:color w:val="0000FF"/>
                <w:sz w:val="36"/>
              </w:rPr>
            </w:pPr>
            <w:r w:rsidRPr="00F116E4">
              <w:rPr>
                <w:rFonts w:ascii="Arial" w:hAnsi="Arial" w:cs="Arial"/>
                <w:b/>
                <w:bCs/>
                <w:color w:val="0000FF"/>
                <w:sz w:val="36"/>
              </w:rPr>
              <w:t>Tacrolimus</w:t>
            </w:r>
          </w:p>
          <w:p w:rsidR="009C5880" w:rsidRPr="00F116E4" w:rsidRDefault="009C5880" w:rsidP="007C3E34">
            <w:pPr>
              <w:pStyle w:val="BodyText"/>
              <w:jc w:val="left"/>
              <w:rPr>
                <w:rFonts w:ascii="Arial" w:hAnsi="Arial" w:cs="Arial"/>
                <w:sz w:val="24"/>
              </w:rPr>
            </w:pPr>
          </w:p>
        </w:tc>
      </w:tr>
      <w:tr w:rsidR="007C3E34" w:rsidRPr="00F116E4" w:rsidTr="007C3E3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Purpose</w:t>
            </w:r>
          </w:p>
        </w:tc>
        <w:tc>
          <w:tcPr>
            <w:tcW w:w="9360" w:type="dxa"/>
            <w:tcBorders>
              <w:top w:val="single" w:sz="4" w:space="0" w:color="auto"/>
              <w:left w:val="nil"/>
              <w:bottom w:val="single" w:sz="4" w:space="0" w:color="auto"/>
              <w:right w:val="nil"/>
            </w:tcBorders>
            <w:vAlign w:val="center"/>
          </w:tcPr>
          <w:p w:rsidR="007C3E34" w:rsidRPr="00F116E4" w:rsidRDefault="007C3E34" w:rsidP="007C3E34">
            <w:pPr>
              <w:jc w:val="left"/>
              <w:rPr>
                <w:rFonts w:ascii="Arial" w:hAnsi="Arial" w:cs="Arial"/>
              </w:rPr>
            </w:pPr>
          </w:p>
          <w:p w:rsidR="007C3E34" w:rsidRPr="00F116E4" w:rsidRDefault="007C3E34" w:rsidP="007C3E34">
            <w:pPr>
              <w:jc w:val="left"/>
              <w:rPr>
                <w:rFonts w:ascii="Arial" w:hAnsi="Arial" w:cs="Arial"/>
                <w:szCs w:val="20"/>
              </w:rPr>
            </w:pPr>
            <w:r w:rsidRPr="00F116E4">
              <w:rPr>
                <w:rFonts w:ascii="Arial" w:hAnsi="Arial" w:cs="Arial"/>
              </w:rPr>
              <w:t xml:space="preserve">This procedure provides instructions for performing TACROLIMUS on the Abbott </w:t>
            </w:r>
            <w:r w:rsidR="0080713A">
              <w:rPr>
                <w:rFonts w:ascii="Arial" w:hAnsi="Arial" w:cs="Arial"/>
              </w:rPr>
              <w:t>Alinity ci</w:t>
            </w:r>
            <w:r w:rsidR="00DB6413">
              <w:rPr>
                <w:rFonts w:ascii="Arial" w:hAnsi="Arial" w:cs="Arial"/>
              </w:rPr>
              <w:t xml:space="preserve"> and Abbott Architect</w:t>
            </w:r>
            <w:r w:rsidRPr="00F116E4">
              <w:rPr>
                <w:rFonts w:ascii="Arial" w:hAnsi="Arial" w:cs="Arial"/>
              </w:rPr>
              <w:t>.</w:t>
            </w:r>
          </w:p>
          <w:p w:rsidR="007C3E34" w:rsidRPr="00F116E4" w:rsidRDefault="007C3E34" w:rsidP="007C3E34">
            <w:pPr>
              <w:autoSpaceDE w:val="0"/>
              <w:autoSpaceDN w:val="0"/>
              <w:adjustRightInd w:val="0"/>
              <w:jc w:val="left"/>
              <w:rPr>
                <w:rFonts w:ascii="Arial" w:hAnsi="Arial" w:cs="Arial"/>
                <w:szCs w:val="20"/>
              </w:rPr>
            </w:pPr>
          </w:p>
        </w:tc>
      </w:tr>
      <w:tr w:rsidR="007C3E34" w:rsidRPr="00F116E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Principle</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Pr="00F116E4" w:rsidRDefault="007C3E34" w:rsidP="007C3E34">
            <w:pPr>
              <w:autoSpaceDE w:val="0"/>
              <w:autoSpaceDN w:val="0"/>
              <w:adjustRightInd w:val="0"/>
              <w:jc w:val="left"/>
              <w:rPr>
                <w:rFonts w:ascii="Arial" w:eastAsia="HelenPro-Regular" w:hAnsi="Arial" w:cs="Arial"/>
                <w:szCs w:val="22"/>
              </w:rPr>
            </w:pPr>
            <w:r w:rsidRPr="00F116E4">
              <w:rPr>
                <w:rFonts w:ascii="Arial" w:eastAsia="HelenPro-Regular" w:hAnsi="Arial" w:cs="Arial"/>
                <w:szCs w:val="22"/>
              </w:rPr>
              <w:t>The A</w:t>
            </w:r>
            <w:r w:rsidR="00DB6413">
              <w:rPr>
                <w:rFonts w:ascii="Arial" w:eastAsia="HelenPro-Regular" w:hAnsi="Arial" w:cs="Arial"/>
                <w:szCs w:val="22"/>
              </w:rPr>
              <w:t>bbott</w:t>
            </w:r>
            <w:r w:rsidRPr="00F116E4">
              <w:rPr>
                <w:rFonts w:ascii="Arial" w:eastAsia="HelenPro-Regular" w:hAnsi="Arial" w:cs="Arial"/>
                <w:szCs w:val="22"/>
              </w:rPr>
              <w:t xml:space="preserve"> Tacrolimus assay is a delayed one-step chemiluminescent microparticle immunoassay (CMIA) for the quantitative determination of tacrolimus in human whole blood on the </w:t>
            </w:r>
            <w:r w:rsidR="0080713A">
              <w:rPr>
                <w:rFonts w:ascii="Arial" w:eastAsia="HelenPro-Regular" w:hAnsi="Arial" w:cs="Arial"/>
                <w:szCs w:val="22"/>
              </w:rPr>
              <w:t>Alinity ci</w:t>
            </w:r>
            <w:r w:rsidRPr="00F116E4">
              <w:rPr>
                <w:rFonts w:ascii="Arial" w:eastAsia="HelenPro-Regular" w:hAnsi="Arial" w:cs="Arial"/>
                <w:szCs w:val="22"/>
              </w:rPr>
              <w:t xml:space="preserve"> with flexible assay protocols, referred to as Chemiflex. </w:t>
            </w:r>
            <w:r w:rsidR="00F116E4">
              <w:rPr>
                <w:rFonts w:ascii="Arial" w:eastAsia="HelenPro-Regular" w:hAnsi="Arial" w:cs="Arial"/>
                <w:szCs w:val="22"/>
              </w:rPr>
              <w:t xml:space="preserve"> </w:t>
            </w:r>
            <w:r w:rsidRPr="00F116E4">
              <w:rPr>
                <w:rFonts w:ascii="Arial" w:eastAsia="HelenPro-Regular" w:hAnsi="Arial" w:cs="Arial"/>
                <w:szCs w:val="22"/>
              </w:rPr>
              <w:t xml:space="preserve">The </w:t>
            </w:r>
            <w:r w:rsidR="00DB6413">
              <w:rPr>
                <w:rFonts w:ascii="Arial" w:eastAsia="HelenPro-Regular" w:hAnsi="Arial" w:cs="Arial"/>
                <w:szCs w:val="22"/>
              </w:rPr>
              <w:t>t</w:t>
            </w:r>
            <w:r w:rsidRPr="00F116E4">
              <w:rPr>
                <w:rFonts w:ascii="Arial" w:eastAsia="HelenPro-Regular" w:hAnsi="Arial" w:cs="Arial"/>
                <w:szCs w:val="22"/>
              </w:rPr>
              <w:t>acrolimus assay is to be used as an aid in the management of liver and kidney allograft patients receiving tacrolimus drug therapy.</w:t>
            </w:r>
          </w:p>
          <w:p w:rsidR="007C3E34" w:rsidRPr="00F116E4" w:rsidRDefault="007C3E34" w:rsidP="007C3E34">
            <w:pPr>
              <w:autoSpaceDE w:val="0"/>
              <w:autoSpaceDN w:val="0"/>
              <w:adjustRightInd w:val="0"/>
              <w:jc w:val="left"/>
              <w:rPr>
                <w:rFonts w:ascii="Arial" w:eastAsia="HelenPro-Regular" w:hAnsi="Arial" w:cs="Arial"/>
                <w:szCs w:val="22"/>
              </w:rPr>
            </w:pPr>
          </w:p>
          <w:p w:rsidR="007C3E34" w:rsidRPr="00F116E4" w:rsidRDefault="007C3E34" w:rsidP="007C3E34">
            <w:pPr>
              <w:autoSpaceDE w:val="0"/>
              <w:autoSpaceDN w:val="0"/>
              <w:adjustRightInd w:val="0"/>
              <w:jc w:val="left"/>
              <w:rPr>
                <w:rFonts w:ascii="Arial" w:eastAsia="HelenPro-Regular" w:hAnsi="Arial" w:cs="Arial"/>
                <w:szCs w:val="22"/>
              </w:rPr>
            </w:pPr>
            <w:r w:rsidRPr="00F116E4">
              <w:rPr>
                <w:rFonts w:ascii="Arial" w:eastAsia="HelenPro-Regular" w:hAnsi="Arial" w:cs="Arial"/>
                <w:szCs w:val="22"/>
              </w:rPr>
              <w:t>Prior to the initiation of the automated A</w:t>
            </w:r>
            <w:r w:rsidR="0080713A">
              <w:rPr>
                <w:rFonts w:ascii="Arial" w:eastAsia="HelenPro-Regular" w:hAnsi="Arial" w:cs="Arial"/>
                <w:szCs w:val="22"/>
              </w:rPr>
              <w:t>linity</w:t>
            </w:r>
            <w:r w:rsidR="00DB6413">
              <w:rPr>
                <w:rFonts w:ascii="Arial" w:eastAsia="HelenPro-Regular" w:hAnsi="Arial" w:cs="Arial"/>
                <w:szCs w:val="22"/>
              </w:rPr>
              <w:t xml:space="preserve"> or ARCHITECT</w:t>
            </w:r>
            <w:r w:rsidRPr="00F116E4">
              <w:rPr>
                <w:rFonts w:ascii="Arial" w:eastAsia="HelenPro-Regular" w:hAnsi="Arial" w:cs="Arial"/>
                <w:szCs w:val="22"/>
              </w:rPr>
              <w:t xml:space="preserve"> sequence, a manual pretreatment step is performed in which the whole blood sample is extracted with a precipitation reagent and centrifuged. </w:t>
            </w:r>
            <w:r w:rsidR="00F116E4">
              <w:rPr>
                <w:rFonts w:ascii="Arial" w:eastAsia="HelenPro-Regular" w:hAnsi="Arial" w:cs="Arial"/>
                <w:szCs w:val="22"/>
              </w:rPr>
              <w:t xml:space="preserve"> </w:t>
            </w:r>
            <w:r w:rsidRPr="00F116E4">
              <w:rPr>
                <w:rFonts w:ascii="Arial" w:eastAsia="HelenPro-Regular" w:hAnsi="Arial" w:cs="Arial"/>
                <w:szCs w:val="22"/>
              </w:rPr>
              <w:t xml:space="preserve">The supernatant is decanted into a Transplant Pretreatment Tube, which is placed onto the </w:t>
            </w:r>
            <w:r w:rsidR="0080713A">
              <w:rPr>
                <w:rFonts w:ascii="Arial" w:eastAsia="HelenPro-Regular" w:hAnsi="Arial" w:cs="Arial"/>
                <w:szCs w:val="22"/>
              </w:rPr>
              <w:t>Alinity ci</w:t>
            </w:r>
            <w:r w:rsidRPr="00F116E4">
              <w:rPr>
                <w:rFonts w:ascii="Arial" w:eastAsia="HelenPro-Regular" w:hAnsi="Arial" w:cs="Arial"/>
                <w:szCs w:val="22"/>
              </w:rPr>
              <w:t>.</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 xml:space="preserve">Sample, assay diluent, and anti-tacrolimus coated paramagnetic microparticles are combined to create a reaction mixture. </w:t>
            </w:r>
            <w:r w:rsidR="00F116E4">
              <w:rPr>
                <w:rFonts w:eastAsia="HelenPro-Regular" w:cs="Arial"/>
                <w:sz w:val="22"/>
                <w:szCs w:val="22"/>
              </w:rPr>
              <w:t xml:space="preserve"> </w:t>
            </w:r>
            <w:r w:rsidRPr="00F116E4">
              <w:rPr>
                <w:rFonts w:eastAsia="HelenPro-Regular" w:cs="Arial"/>
                <w:sz w:val="22"/>
                <w:szCs w:val="22"/>
              </w:rPr>
              <w:t>The tacrolimus present in the sample binds to the anti-tacrolimus coated microparticles.</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After a delay, tacrolimus acridinium-labeled conjugate is added to the reaction mixture. The tacrolimus on the acridinium-labeled conjugate competes for the available binding sites on the microparticles.</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After further incubation and washing, Pre-Trigger and Trigger Solutions are added to the reaction mixture.</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The resulting chemiluminescent reaction is measured as relative light units (RLUs). There is an indirect relationship between the amount of tacrolimus in the sample and the RLUs detected by the ARCHITECT</w:t>
            </w:r>
            <w:r w:rsidR="00DB6413">
              <w:rPr>
                <w:rFonts w:eastAsia="HelenPro-Regular" w:cs="Arial"/>
                <w:sz w:val="22"/>
                <w:szCs w:val="22"/>
              </w:rPr>
              <w:t xml:space="preserve"> or Alinity</w:t>
            </w:r>
            <w:r w:rsidRPr="00F116E4">
              <w:rPr>
                <w:rFonts w:eastAsia="HelenPro-Regular" w:cs="Arial"/>
                <w:sz w:val="22"/>
                <w:szCs w:val="22"/>
              </w:rPr>
              <w:t xml:space="preserve"> iSystem optics.</w:t>
            </w:r>
          </w:p>
          <w:p w:rsidR="007C3E34" w:rsidRPr="00F116E4" w:rsidRDefault="007C3E34" w:rsidP="007C3E34">
            <w:pPr>
              <w:autoSpaceDE w:val="0"/>
              <w:autoSpaceDN w:val="0"/>
              <w:adjustRightInd w:val="0"/>
              <w:jc w:val="left"/>
              <w:rPr>
                <w:rFonts w:ascii="Arial" w:eastAsia="HelenPro-Regular" w:hAnsi="Arial" w:cs="Arial"/>
                <w:szCs w:val="22"/>
              </w:rPr>
            </w:pPr>
            <w:r w:rsidRPr="00F116E4">
              <w:rPr>
                <w:rFonts w:ascii="Arial" w:eastAsia="HelenPro-Regular" w:hAnsi="Arial" w:cs="Arial"/>
                <w:szCs w:val="22"/>
              </w:rPr>
              <w:t>For additional information on system and assay technology, refer to</w:t>
            </w:r>
            <w:r w:rsidR="00F116E4">
              <w:rPr>
                <w:rFonts w:ascii="Arial" w:eastAsia="HelenPro-Regular" w:hAnsi="Arial" w:cs="Arial"/>
                <w:szCs w:val="22"/>
              </w:rPr>
              <w:t xml:space="preserve"> </w:t>
            </w:r>
            <w:r w:rsidRPr="00F116E4">
              <w:rPr>
                <w:rFonts w:ascii="Arial" w:eastAsia="HelenPro-Regular" w:hAnsi="Arial" w:cs="Arial"/>
                <w:szCs w:val="22"/>
              </w:rPr>
              <w:t>the Operations Manual</w:t>
            </w:r>
            <w:r w:rsidR="00DB6413">
              <w:rPr>
                <w:rFonts w:ascii="Arial" w:eastAsia="HelenPro-Regular" w:hAnsi="Arial" w:cs="Arial"/>
                <w:szCs w:val="22"/>
              </w:rPr>
              <w:t>s</w:t>
            </w:r>
            <w:r w:rsidRPr="00F116E4">
              <w:rPr>
                <w:rFonts w:ascii="Arial" w:eastAsia="HelenPro-Regular" w:hAnsi="Arial" w:cs="Arial"/>
                <w:szCs w:val="22"/>
              </w:rPr>
              <w:t>, Section 3.</w:t>
            </w:r>
          </w:p>
          <w:p w:rsidR="007C3E34" w:rsidRPr="00F116E4" w:rsidRDefault="007C3E34" w:rsidP="007C3E34">
            <w:pPr>
              <w:jc w:val="left"/>
              <w:rPr>
                <w:rFonts w:ascii="Arial" w:hAnsi="Arial" w:cs="Arial"/>
                <w:iCs/>
                <w:sz w:val="20"/>
              </w:rPr>
            </w:pPr>
          </w:p>
        </w:tc>
      </w:tr>
      <w:tr w:rsidR="007C3E34" w:rsidRPr="00F116E4" w:rsidTr="009C5880">
        <w:trPr>
          <w:cantSplit/>
          <w:trHeight w:val="647"/>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Policy Statements</w:t>
            </w: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Default="007C3E34" w:rsidP="0080713A">
            <w:pPr>
              <w:autoSpaceDE w:val="0"/>
              <w:autoSpaceDN w:val="0"/>
              <w:adjustRightInd w:val="0"/>
              <w:jc w:val="left"/>
              <w:rPr>
                <w:rFonts w:ascii="Arial" w:hAnsi="Arial" w:cs="Arial"/>
                <w:szCs w:val="20"/>
              </w:rPr>
            </w:pPr>
            <w:r w:rsidRPr="00F116E4">
              <w:rPr>
                <w:rFonts w:ascii="Arial" w:hAnsi="Arial" w:cs="Arial"/>
                <w:szCs w:val="15"/>
              </w:rPr>
              <w:t xml:space="preserve">This procedure applies to all personnel responsible for performing </w:t>
            </w:r>
            <w:r w:rsidR="00DB6413">
              <w:rPr>
                <w:rFonts w:ascii="Arial" w:hAnsi="Arial" w:cs="Arial"/>
                <w:szCs w:val="15"/>
              </w:rPr>
              <w:t xml:space="preserve">Tacrolimus </w:t>
            </w:r>
            <w:r w:rsidRPr="00F116E4">
              <w:rPr>
                <w:rFonts w:ascii="Arial" w:hAnsi="Arial" w:cs="Arial"/>
                <w:szCs w:val="15"/>
              </w:rPr>
              <w:t xml:space="preserve">testing on the </w:t>
            </w:r>
            <w:r w:rsidR="00F116E4">
              <w:rPr>
                <w:rFonts w:ascii="Arial" w:hAnsi="Arial" w:cs="Arial"/>
                <w:szCs w:val="20"/>
              </w:rPr>
              <w:t xml:space="preserve">Abbott </w:t>
            </w:r>
            <w:r w:rsidR="0080713A">
              <w:rPr>
                <w:rFonts w:ascii="Arial" w:hAnsi="Arial" w:cs="Arial"/>
                <w:szCs w:val="20"/>
              </w:rPr>
              <w:t>Alinity ci</w:t>
            </w:r>
            <w:r w:rsidR="00DB6413">
              <w:rPr>
                <w:rFonts w:ascii="Arial" w:hAnsi="Arial" w:cs="Arial"/>
                <w:szCs w:val="20"/>
              </w:rPr>
              <w:t xml:space="preserve"> and Architect i1000SR.</w:t>
            </w:r>
            <w:r w:rsidR="00396550">
              <w:rPr>
                <w:rFonts w:ascii="Arial" w:hAnsi="Arial" w:cs="Arial"/>
                <w:szCs w:val="20"/>
              </w:rPr>
              <w:t xml:space="preserve">  </w:t>
            </w:r>
          </w:p>
          <w:p w:rsidR="00396550" w:rsidRDefault="00396550" w:rsidP="0080713A">
            <w:pPr>
              <w:autoSpaceDE w:val="0"/>
              <w:autoSpaceDN w:val="0"/>
              <w:adjustRightInd w:val="0"/>
              <w:jc w:val="left"/>
              <w:rPr>
                <w:rFonts w:ascii="Arial" w:hAnsi="Arial" w:cs="Arial"/>
                <w:szCs w:val="20"/>
              </w:rPr>
            </w:pPr>
          </w:p>
          <w:p w:rsidR="00396550" w:rsidRDefault="00396550" w:rsidP="0080713A">
            <w:pPr>
              <w:autoSpaceDE w:val="0"/>
              <w:autoSpaceDN w:val="0"/>
              <w:adjustRightInd w:val="0"/>
              <w:jc w:val="left"/>
              <w:rPr>
                <w:rFonts w:ascii="Arial" w:hAnsi="Arial" w:cs="Arial"/>
                <w:szCs w:val="20"/>
              </w:rPr>
            </w:pPr>
            <w:r>
              <w:rPr>
                <w:rFonts w:ascii="Arial" w:hAnsi="Arial" w:cs="Arial"/>
                <w:szCs w:val="20"/>
              </w:rPr>
              <w:t>Tacrolimus reagent shall be loaded on the Architect i1000SR in event of Alinity ci downtime.  Reagent will be calibrated and quality control completed with each patient run as directed by the manufacturer.</w:t>
            </w:r>
          </w:p>
          <w:p w:rsidR="00396550" w:rsidRPr="00F116E4" w:rsidRDefault="00396550" w:rsidP="0080713A">
            <w:pPr>
              <w:autoSpaceDE w:val="0"/>
              <w:autoSpaceDN w:val="0"/>
              <w:adjustRightInd w:val="0"/>
              <w:jc w:val="left"/>
              <w:rPr>
                <w:rFonts w:ascii="Arial" w:hAnsi="Arial" w:cs="Arial"/>
                <w:iCs/>
                <w:sz w:val="20"/>
              </w:rPr>
            </w:pPr>
          </w:p>
        </w:tc>
      </w:tr>
      <w:tr w:rsidR="007C3E34" w:rsidRPr="00F116E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Clinical Significance</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Tacrolimus is an immunosuppressive drug discovered in 1984 by the Fujisawa Pharmaceutical Co., Ltd.</w:t>
            </w:r>
            <w:r w:rsidR="00F116E4">
              <w:rPr>
                <w:rFonts w:ascii="Arial" w:eastAsia="HelenPro-Regular" w:hAnsi="Arial" w:cs="Arial"/>
              </w:rPr>
              <w:t xml:space="preserve"> </w:t>
            </w:r>
            <w:r w:rsidRPr="00F116E4">
              <w:rPr>
                <w:rFonts w:ascii="Arial" w:eastAsia="HelenPro-Regular" w:hAnsi="Arial" w:cs="Arial"/>
              </w:rPr>
              <w:t xml:space="preserve"> It has been shown to be effective for the treatment of organ rejection following transplantation.</w:t>
            </w:r>
            <w:r w:rsidR="00F116E4">
              <w:rPr>
                <w:rFonts w:ascii="Arial" w:eastAsia="HelenPro-Regular" w:hAnsi="Arial" w:cs="Arial"/>
              </w:rPr>
              <w:t xml:space="preserve"> </w:t>
            </w:r>
            <w:r w:rsidRPr="00F116E4">
              <w:rPr>
                <w:rFonts w:ascii="Arial" w:eastAsia="HelenPro-Regular" w:hAnsi="Arial" w:cs="Arial"/>
              </w:rPr>
              <w:t xml:space="preserve"> The results of clinical trials with liver and kidney have been published. Clinical studies are continuing for a variety of indications.</w:t>
            </w:r>
          </w:p>
          <w:p w:rsidR="007C3E34" w:rsidRPr="00F116E4" w:rsidRDefault="007C3E34" w:rsidP="007C3E34">
            <w:pPr>
              <w:autoSpaceDE w:val="0"/>
              <w:autoSpaceDN w:val="0"/>
              <w:adjustRightInd w:val="0"/>
              <w:jc w:val="left"/>
              <w:rPr>
                <w:rFonts w:ascii="Arial" w:eastAsia="HelenPro-Regular" w:hAnsi="Arial" w:cs="Arial"/>
              </w:rPr>
            </w:pPr>
          </w:p>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 xml:space="preserve">Pharmacokinetic studies have also indicated that whole blood rather than plasma may serve as the more appropriate medium to describe the pharmacokinetic characteristics of tacrolimus. </w:t>
            </w:r>
            <w:r w:rsidR="00F116E4">
              <w:rPr>
                <w:rFonts w:ascii="Arial" w:eastAsia="HelenPro-Regular" w:hAnsi="Arial" w:cs="Arial"/>
              </w:rPr>
              <w:t xml:space="preserve"> </w:t>
            </w:r>
            <w:r w:rsidRPr="00F116E4">
              <w:rPr>
                <w:rFonts w:ascii="Arial" w:eastAsia="HelenPro-Regular" w:hAnsi="Arial" w:cs="Arial"/>
              </w:rPr>
              <w:t xml:space="preserve">Tacrolimus is bound to proteins, mainly albumin and α-1-acid glycoprotein, and is highly bound to erythrocytes. </w:t>
            </w:r>
            <w:r w:rsidR="00F116E4">
              <w:rPr>
                <w:rFonts w:ascii="Arial" w:eastAsia="HelenPro-Regular" w:hAnsi="Arial" w:cs="Arial"/>
              </w:rPr>
              <w:t xml:space="preserve"> </w:t>
            </w:r>
            <w:r w:rsidRPr="00F116E4">
              <w:rPr>
                <w:rFonts w:ascii="Arial" w:eastAsia="HelenPro-Regular" w:hAnsi="Arial" w:cs="Arial"/>
              </w:rPr>
              <w:t>The distribution of tacrolimus between whole blood and plasma depends on several factors such as hematocrit, temperature of separation of plasma, drug concentration, and plasma protein concentration.</w:t>
            </w:r>
          </w:p>
          <w:p w:rsidR="007C3E34" w:rsidRPr="00F116E4" w:rsidRDefault="007C3E34" w:rsidP="007C3E34">
            <w:pPr>
              <w:autoSpaceDE w:val="0"/>
              <w:autoSpaceDN w:val="0"/>
              <w:adjustRightInd w:val="0"/>
              <w:jc w:val="left"/>
              <w:rPr>
                <w:rFonts w:ascii="Arial" w:eastAsia="HelenPro-Regular" w:hAnsi="Arial" w:cs="Arial"/>
              </w:rPr>
            </w:pPr>
          </w:p>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Tacrolimus binds to a family of proteins termed FK506 (tacrolimus) binding proteins (FKBPs). The formation of a larger pentameric complex comprised of FKBP, tacrolimus, calmodulin and calcineurins A and B results in the inhibition of the phosphatase activity of calcineurin.  The action of transcription factors requiring dephosphorylation for transport to the cell nucleus are thus inhibited leading to blockage of T-cell proliferation and function.</w:t>
            </w:r>
          </w:p>
          <w:p w:rsidR="007C3E34" w:rsidRPr="00F116E4" w:rsidRDefault="007C3E34" w:rsidP="007C3E34">
            <w:pPr>
              <w:autoSpaceDE w:val="0"/>
              <w:autoSpaceDN w:val="0"/>
              <w:adjustRightInd w:val="0"/>
              <w:jc w:val="left"/>
              <w:rPr>
                <w:rFonts w:ascii="Arial" w:eastAsia="HelenPro-Regular" w:hAnsi="Arial" w:cs="Arial"/>
              </w:rPr>
            </w:pPr>
          </w:p>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 xml:space="preserve">The use of tacrolimus is associated with serious toxic side effects, </w:t>
            </w:r>
            <w:r w:rsidR="00F116E4">
              <w:rPr>
                <w:rFonts w:ascii="Arial" w:eastAsia="HelenPro-Regular" w:hAnsi="Arial" w:cs="Arial"/>
              </w:rPr>
              <w:t xml:space="preserve">primarily nephrotoxicity.  </w:t>
            </w:r>
            <w:r w:rsidRPr="00F116E4">
              <w:rPr>
                <w:rFonts w:ascii="Arial" w:eastAsia="HelenPro-Regular" w:hAnsi="Arial" w:cs="Arial"/>
              </w:rPr>
              <w:t xml:space="preserve">At the present time it is not clear whether the nephrotoxicity of tacrolimus is the result of parent drug, metabolites, or a combination of both. </w:t>
            </w:r>
            <w:r w:rsidR="00F116E4">
              <w:rPr>
                <w:rFonts w:ascii="Arial" w:eastAsia="HelenPro-Regular" w:hAnsi="Arial" w:cs="Arial"/>
              </w:rPr>
              <w:t xml:space="preserve"> </w:t>
            </w:r>
            <w:r w:rsidRPr="00F116E4">
              <w:rPr>
                <w:rFonts w:ascii="Arial" w:eastAsia="HelenPro-Regular" w:hAnsi="Arial" w:cs="Arial"/>
              </w:rPr>
              <w:t>Other adverse side effects include neurotoxicity, hypertension, insomnia, and nausea</w:t>
            </w:r>
            <w:r w:rsidR="00F116E4">
              <w:rPr>
                <w:rFonts w:ascii="Arial" w:eastAsia="HelenPro-Regular" w:hAnsi="Arial" w:cs="Arial"/>
              </w:rPr>
              <w:t>.</w:t>
            </w:r>
          </w:p>
          <w:p w:rsidR="007C3E34" w:rsidRPr="00F116E4" w:rsidRDefault="007C3E34" w:rsidP="007C3E34">
            <w:pPr>
              <w:jc w:val="left"/>
              <w:rPr>
                <w:rFonts w:ascii="Arial" w:hAnsi="Arial" w:cs="Arial"/>
                <w:iCs/>
                <w:sz w:val="20"/>
              </w:rPr>
            </w:pPr>
          </w:p>
        </w:tc>
      </w:tr>
      <w:tr w:rsidR="007C3E34" w:rsidRPr="00F116E4">
        <w:trPr>
          <w:cantSplit/>
          <w:trHeight w:val="629"/>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Instrument</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Pr="00F116E4" w:rsidRDefault="007C3E34" w:rsidP="007C3E34">
            <w:pPr>
              <w:pStyle w:val="Header"/>
              <w:tabs>
                <w:tab w:val="clear" w:pos="4320"/>
                <w:tab w:val="clear" w:pos="8640"/>
              </w:tabs>
              <w:spacing w:line="360" w:lineRule="auto"/>
              <w:rPr>
                <w:rFonts w:ascii="Arial" w:hAnsi="Arial" w:cs="Arial"/>
              </w:rPr>
            </w:pPr>
            <w:r w:rsidRPr="00F116E4">
              <w:rPr>
                <w:rFonts w:ascii="Arial" w:hAnsi="Arial" w:cs="Arial"/>
                <w:b/>
                <w:bCs/>
                <w:color w:val="5F497A"/>
              </w:rPr>
              <w:t>PRIMARY METHOD:</w:t>
            </w:r>
            <w:r w:rsidR="00F116E4">
              <w:rPr>
                <w:rFonts w:ascii="Arial" w:hAnsi="Arial" w:cs="Arial"/>
                <w:b/>
                <w:bCs/>
              </w:rPr>
              <w:t xml:space="preserve"> Abbott A</w:t>
            </w:r>
            <w:r w:rsidR="00F0162E">
              <w:rPr>
                <w:rFonts w:ascii="Arial" w:hAnsi="Arial" w:cs="Arial"/>
                <w:b/>
                <w:bCs/>
              </w:rPr>
              <w:t>linity ci</w:t>
            </w:r>
          </w:p>
          <w:p w:rsidR="007C3E34" w:rsidRPr="00F116E4" w:rsidRDefault="007C3E34" w:rsidP="007C3E34">
            <w:pPr>
              <w:jc w:val="left"/>
              <w:rPr>
                <w:rFonts w:ascii="Arial" w:hAnsi="Arial" w:cs="Arial"/>
                <w:b/>
                <w:bCs/>
                <w:color w:val="76923C"/>
              </w:rPr>
            </w:pPr>
            <w:r w:rsidRPr="00F116E4">
              <w:rPr>
                <w:rFonts w:ascii="Arial" w:hAnsi="Arial" w:cs="Arial"/>
                <w:b/>
                <w:bCs/>
                <w:color w:val="76923C"/>
              </w:rPr>
              <w:t>SECONDARY (BACKUP) METHOD:</w:t>
            </w:r>
            <w:r w:rsidR="00E86557">
              <w:rPr>
                <w:rFonts w:ascii="Arial" w:hAnsi="Arial" w:cs="Arial"/>
                <w:b/>
                <w:bCs/>
                <w:color w:val="76923C"/>
              </w:rPr>
              <w:t xml:space="preserve"> </w:t>
            </w:r>
            <w:r w:rsidR="00DB6413">
              <w:rPr>
                <w:rFonts w:ascii="Arial" w:hAnsi="Arial" w:cs="Arial"/>
                <w:b/>
                <w:bCs/>
                <w:color w:val="76923C"/>
              </w:rPr>
              <w:t>Abbott Architect i1000 SR</w:t>
            </w:r>
          </w:p>
          <w:p w:rsidR="007C3E34" w:rsidRPr="00F116E4" w:rsidRDefault="007C3E34" w:rsidP="007C3E34">
            <w:pPr>
              <w:jc w:val="left"/>
              <w:rPr>
                <w:rFonts w:ascii="Arial" w:hAnsi="Arial" w:cs="Arial"/>
                <w:iCs/>
                <w:sz w:val="20"/>
              </w:rPr>
            </w:pPr>
          </w:p>
        </w:tc>
      </w:tr>
      <w:tr w:rsidR="007C3E34" w:rsidRPr="00F116E4" w:rsidTr="00024D01">
        <w:trPr>
          <w:cantSplit/>
          <w:trHeight w:val="1394"/>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Sunquest Test Code</w:t>
            </w:r>
          </w:p>
        </w:tc>
        <w:tc>
          <w:tcPr>
            <w:tcW w:w="9360" w:type="dxa"/>
            <w:tcBorders>
              <w:top w:val="single" w:sz="4" w:space="0" w:color="auto"/>
              <w:left w:val="nil"/>
              <w:bottom w:val="single" w:sz="4" w:space="0" w:color="auto"/>
              <w:right w:val="nil"/>
            </w:tcBorders>
            <w:vAlign w:val="center"/>
          </w:tcPr>
          <w:p w:rsidR="007C3E34" w:rsidRPr="00DB6413" w:rsidRDefault="00D32F0A" w:rsidP="007C3E34">
            <w:pPr>
              <w:numPr>
                <w:ilvl w:val="0"/>
                <w:numId w:val="34"/>
              </w:numPr>
              <w:jc w:val="left"/>
              <w:rPr>
                <w:rFonts w:ascii="Arial" w:hAnsi="Arial" w:cs="Arial"/>
                <w:b/>
                <w:iCs/>
                <w:sz w:val="20"/>
              </w:rPr>
            </w:pPr>
            <w:r w:rsidRPr="00DB6413">
              <w:rPr>
                <w:rFonts w:ascii="Arial" w:hAnsi="Arial" w:cs="Arial"/>
                <w:b/>
                <w:iCs/>
                <w:sz w:val="20"/>
              </w:rPr>
              <w:t>TACL</w:t>
            </w:r>
          </w:p>
        </w:tc>
      </w:tr>
      <w:tr w:rsidR="007C3E34" w:rsidRPr="00F116E4" w:rsidTr="00024D01">
        <w:trPr>
          <w:trHeight w:val="93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Specimen</w:t>
            </w:r>
          </w:p>
        </w:tc>
        <w:tc>
          <w:tcPr>
            <w:tcW w:w="9360" w:type="dxa"/>
            <w:tcBorders>
              <w:top w:val="single" w:sz="4" w:space="0" w:color="auto"/>
              <w:left w:val="nil"/>
              <w:bottom w:val="single" w:sz="4" w:space="0" w:color="auto"/>
              <w:right w:val="nil"/>
            </w:tcBorders>
          </w:tcPr>
          <w:p w:rsidR="007C3E34" w:rsidRPr="00F116E4" w:rsidRDefault="007C3E34" w:rsidP="007C3E34">
            <w:pPr>
              <w:pStyle w:val="Header"/>
              <w:tabs>
                <w:tab w:val="clear" w:pos="4320"/>
                <w:tab w:val="clear" w:pos="8640"/>
              </w:tabs>
              <w:rPr>
                <w:rFonts w:ascii="Arial" w:hAnsi="Arial" w:cs="Arial"/>
              </w:rPr>
            </w:pPr>
            <w:r w:rsidRPr="00F116E4">
              <w:rPr>
                <w:rFonts w:ascii="Arial" w:hAnsi="Arial" w:cs="Arial"/>
                <w:b/>
              </w:rPr>
              <w:t xml:space="preserve">Sample type: </w:t>
            </w:r>
            <w:r w:rsidRPr="00F116E4">
              <w:rPr>
                <w:rFonts w:ascii="Arial" w:hAnsi="Arial" w:cs="Arial"/>
              </w:rPr>
              <w:t>EDTA whole blood</w:t>
            </w:r>
          </w:p>
          <w:p w:rsidR="007C3E34" w:rsidRPr="00F116E4" w:rsidRDefault="007C3E34" w:rsidP="007C3E34">
            <w:pPr>
              <w:rPr>
                <w:rFonts w:ascii="Arial" w:hAnsi="Arial" w:cs="Arial"/>
              </w:rPr>
            </w:pPr>
          </w:p>
          <w:p w:rsidR="007C3E34" w:rsidRPr="00F116E4" w:rsidRDefault="007C3E34" w:rsidP="007C3E34">
            <w:pPr>
              <w:pStyle w:val="Header"/>
              <w:tabs>
                <w:tab w:val="clear" w:pos="4320"/>
                <w:tab w:val="clear" w:pos="8640"/>
              </w:tabs>
              <w:rPr>
                <w:rFonts w:ascii="Arial" w:hAnsi="Arial" w:cs="Arial"/>
              </w:rPr>
            </w:pPr>
            <w:r w:rsidRPr="00F116E4">
              <w:rPr>
                <w:rFonts w:ascii="Arial" w:hAnsi="Arial" w:cs="Arial"/>
                <w:b/>
                <w:bCs/>
              </w:rPr>
              <w:t>Minimum volume:</w:t>
            </w:r>
            <w:r w:rsidRPr="00F116E4">
              <w:rPr>
                <w:rFonts w:ascii="Arial" w:hAnsi="Arial" w:cs="Arial"/>
              </w:rPr>
              <w:t xml:space="preserve">  250</w:t>
            </w:r>
            <w:r w:rsidR="001C0229">
              <w:rPr>
                <w:rFonts w:ascii="Arial" w:hAnsi="Arial" w:cs="Arial"/>
              </w:rPr>
              <w:t xml:space="preserve"> uL</w:t>
            </w:r>
            <w:r w:rsidRPr="00F116E4">
              <w:rPr>
                <w:rFonts w:ascii="Arial" w:hAnsi="Arial" w:cs="Arial"/>
              </w:rPr>
              <w:t xml:space="preserve"> whole blood EDTA</w:t>
            </w:r>
          </w:p>
          <w:p w:rsidR="007C3E34" w:rsidRPr="00F116E4" w:rsidRDefault="007C3E34" w:rsidP="007C3E34">
            <w:pPr>
              <w:rPr>
                <w:rFonts w:ascii="Arial" w:hAnsi="Arial" w:cs="Arial"/>
              </w:rPr>
            </w:pPr>
          </w:p>
          <w:p w:rsidR="007C3E34" w:rsidRPr="00F116E4" w:rsidRDefault="007C3E34" w:rsidP="007C3E34">
            <w:pPr>
              <w:autoSpaceDE w:val="0"/>
              <w:autoSpaceDN w:val="0"/>
              <w:adjustRightInd w:val="0"/>
              <w:rPr>
                <w:rFonts w:ascii="Arial" w:hAnsi="Arial" w:cs="Arial"/>
                <w:b/>
                <w:bCs/>
              </w:rPr>
            </w:pPr>
            <w:r w:rsidRPr="00F116E4">
              <w:rPr>
                <w:rFonts w:ascii="Arial" w:hAnsi="Arial" w:cs="Arial"/>
                <w:b/>
                <w:bCs/>
              </w:rPr>
              <w:t>Stability: 2-8°C for 6 days, -10°C for 6 months</w:t>
            </w:r>
          </w:p>
          <w:p w:rsidR="007C3E34" w:rsidRPr="00F116E4" w:rsidRDefault="007C3E34" w:rsidP="007C3E34">
            <w:pPr>
              <w:pStyle w:val="Header"/>
              <w:tabs>
                <w:tab w:val="clear" w:pos="4320"/>
                <w:tab w:val="clear" w:pos="8640"/>
              </w:tabs>
              <w:rPr>
                <w:rFonts w:ascii="Arial" w:hAnsi="Arial" w:cs="Arial"/>
                <w:szCs w:val="14"/>
              </w:rPr>
            </w:pPr>
          </w:p>
          <w:p w:rsidR="007C3E34" w:rsidRPr="00F116E4" w:rsidRDefault="007C3E34" w:rsidP="007C3E34">
            <w:pPr>
              <w:rPr>
                <w:rFonts w:ascii="Arial" w:hAnsi="Arial" w:cs="Arial"/>
              </w:rPr>
            </w:pPr>
            <w:r w:rsidRPr="00F116E4">
              <w:rPr>
                <w:rFonts w:ascii="Arial" w:hAnsi="Arial" w:cs="Arial"/>
                <w:b/>
                <w:bCs/>
              </w:rPr>
              <w:t>Rejection criteria:</w:t>
            </w:r>
            <w:r w:rsidRPr="00F116E4">
              <w:rPr>
                <w:rFonts w:ascii="Arial" w:hAnsi="Arial" w:cs="Arial"/>
              </w:rPr>
              <w:t xml:space="preserve"> Unlabeled specimens, incorrect sample type, cadaver specimens or any other body fluids, obvious microbial contamination.</w:t>
            </w:r>
          </w:p>
          <w:p w:rsidR="007C3E34" w:rsidRPr="00F116E4" w:rsidRDefault="007C3E34" w:rsidP="007C3E34">
            <w:pPr>
              <w:rPr>
                <w:rFonts w:ascii="Arial" w:hAnsi="Arial" w:cs="Arial"/>
                <w:b/>
                <w:bCs/>
                <w:szCs w:val="20"/>
              </w:rPr>
            </w:pPr>
          </w:p>
          <w:p w:rsidR="007C3E34" w:rsidRPr="00F116E4" w:rsidRDefault="007C3E34" w:rsidP="007C3E34">
            <w:pPr>
              <w:rPr>
                <w:rFonts w:ascii="Arial" w:hAnsi="Arial" w:cs="Arial"/>
                <w:szCs w:val="20"/>
              </w:rPr>
            </w:pPr>
            <w:r w:rsidRPr="00F116E4">
              <w:rPr>
                <w:rFonts w:ascii="Arial" w:hAnsi="Arial" w:cs="Arial"/>
                <w:b/>
                <w:bCs/>
                <w:szCs w:val="20"/>
              </w:rPr>
              <w:t>Preparation:</w:t>
            </w:r>
            <w:r w:rsidRPr="00F116E4">
              <w:rPr>
                <w:rFonts w:ascii="Arial" w:hAnsi="Arial" w:cs="Arial"/>
                <w:szCs w:val="20"/>
              </w:rPr>
              <w:t xml:space="preserve"> </w:t>
            </w:r>
          </w:p>
          <w:p w:rsidR="007C3E34" w:rsidRPr="00F116E4" w:rsidRDefault="007C3E34" w:rsidP="007C3E34">
            <w:pPr>
              <w:autoSpaceDE w:val="0"/>
              <w:autoSpaceDN w:val="0"/>
              <w:adjustRightInd w:val="0"/>
              <w:ind w:left="720"/>
              <w:rPr>
                <w:rFonts w:ascii="Arial" w:hAnsi="Arial" w:cs="Arial"/>
              </w:rPr>
            </w:pPr>
            <w:r w:rsidRPr="00F116E4">
              <w:rPr>
                <w:rFonts w:ascii="Arial" w:hAnsi="Arial" w:cs="Arial"/>
              </w:rPr>
              <w:t>Mix thawed specimens thoroughly by low speed vortexing or by inverting 10 times. Visually inspect the specimens. If layering or stratification is observed, continue mixing until specimens are visibly homogeneous</w:t>
            </w:r>
          </w:p>
          <w:p w:rsidR="007C3E34" w:rsidRPr="00F116E4" w:rsidRDefault="007C3E34" w:rsidP="007C3E34">
            <w:pPr>
              <w:jc w:val="left"/>
              <w:rPr>
                <w:rFonts w:ascii="Arial" w:hAnsi="Arial" w:cs="Arial"/>
                <w:iCs/>
                <w:sz w:val="20"/>
              </w:rPr>
            </w:pPr>
          </w:p>
        </w:tc>
      </w:tr>
      <w:tr w:rsidR="00A11DD5" w:rsidRPr="00F116E4" w:rsidTr="003E58E6">
        <w:trPr>
          <w:cantSplit/>
          <w:trHeight w:val="7010"/>
        </w:trPr>
        <w:tc>
          <w:tcPr>
            <w:tcW w:w="1800" w:type="dxa"/>
            <w:tcBorders>
              <w:top w:val="nil"/>
              <w:left w:val="nil"/>
              <w:bottom w:val="nil"/>
              <w:right w:val="nil"/>
            </w:tcBorders>
          </w:tcPr>
          <w:p w:rsidR="00A11DD5" w:rsidRPr="00F116E4" w:rsidRDefault="00A11DD5" w:rsidP="007C3E34">
            <w:pPr>
              <w:jc w:val="left"/>
              <w:rPr>
                <w:rFonts w:ascii="Arial" w:hAnsi="Arial" w:cs="Arial"/>
                <w:b/>
                <w:bCs/>
                <w:color w:val="0000FF"/>
                <w:sz w:val="20"/>
              </w:rPr>
            </w:pPr>
          </w:p>
          <w:p w:rsidR="00A11DD5" w:rsidRPr="00F116E4" w:rsidRDefault="00A11DD5" w:rsidP="007C3E34">
            <w:pPr>
              <w:jc w:val="left"/>
              <w:rPr>
                <w:rFonts w:ascii="Arial" w:hAnsi="Arial" w:cs="Arial"/>
                <w:b/>
                <w:bCs/>
                <w:color w:val="0000FF"/>
                <w:sz w:val="20"/>
              </w:rPr>
            </w:pPr>
            <w:r w:rsidRPr="00F116E4">
              <w:rPr>
                <w:rFonts w:ascii="Arial" w:hAnsi="Arial" w:cs="Arial"/>
                <w:b/>
                <w:bCs/>
                <w:color w:val="0000FF"/>
                <w:sz w:val="20"/>
              </w:rPr>
              <w:t>Reagents</w:t>
            </w:r>
          </w:p>
        </w:tc>
        <w:tc>
          <w:tcPr>
            <w:tcW w:w="9360" w:type="dxa"/>
            <w:tcBorders>
              <w:left w:val="nil"/>
              <w:bottom w:val="single" w:sz="4" w:space="0" w:color="auto"/>
              <w:right w:val="nil"/>
            </w:tcBorders>
          </w:tcPr>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1600"/>
              <w:gridCol w:w="3875"/>
              <w:gridCol w:w="19"/>
            </w:tblGrid>
            <w:tr w:rsidR="00A11DD5" w:rsidRPr="00F116E4" w:rsidTr="00BD2F58">
              <w:trPr>
                <w:trHeight w:val="256"/>
              </w:trPr>
              <w:tc>
                <w:tcPr>
                  <w:tcW w:w="2673" w:type="dxa"/>
                </w:tcPr>
                <w:p w:rsidR="00A11DD5" w:rsidRPr="00F116E4" w:rsidRDefault="00A11DD5" w:rsidP="00F116E4">
                  <w:pPr>
                    <w:pStyle w:val="Reagents"/>
                    <w:rPr>
                      <w:rFonts w:ascii="Arial" w:hAnsi="Arial" w:cs="Arial"/>
                      <w:b/>
                      <w:bCs/>
                    </w:rPr>
                  </w:pPr>
                  <w:r w:rsidRPr="00F116E4">
                    <w:rPr>
                      <w:rFonts w:ascii="Arial" w:hAnsi="Arial" w:cs="Arial"/>
                      <w:b/>
                      <w:bCs/>
                      <w:i/>
                      <w:iCs/>
                    </w:rPr>
                    <w:t>Product Description</w:t>
                  </w:r>
                </w:p>
              </w:tc>
              <w:tc>
                <w:tcPr>
                  <w:tcW w:w="1600" w:type="dxa"/>
                </w:tcPr>
                <w:p w:rsidR="00A11DD5" w:rsidRPr="00F116E4" w:rsidRDefault="00A11DD5" w:rsidP="00F116E4">
                  <w:pPr>
                    <w:pStyle w:val="Reagents"/>
                    <w:rPr>
                      <w:rFonts w:ascii="Arial" w:hAnsi="Arial" w:cs="Arial"/>
                      <w:b/>
                      <w:bCs/>
                    </w:rPr>
                  </w:pPr>
                  <w:r w:rsidRPr="00F116E4">
                    <w:rPr>
                      <w:rFonts w:ascii="Arial" w:hAnsi="Arial" w:cs="Arial"/>
                      <w:b/>
                      <w:bCs/>
                      <w:i/>
                      <w:iCs/>
                    </w:rPr>
                    <w:t>Product Code</w:t>
                  </w:r>
                </w:p>
              </w:tc>
              <w:tc>
                <w:tcPr>
                  <w:tcW w:w="3894" w:type="dxa"/>
                  <w:gridSpan w:val="2"/>
                </w:tcPr>
                <w:p w:rsidR="00A11DD5" w:rsidRPr="00F116E4" w:rsidRDefault="00A11DD5" w:rsidP="00F116E4">
                  <w:pPr>
                    <w:pStyle w:val="Reagents"/>
                    <w:rPr>
                      <w:rFonts w:ascii="Arial" w:hAnsi="Arial" w:cs="Arial"/>
                      <w:b/>
                      <w:bCs/>
                    </w:rPr>
                  </w:pPr>
                  <w:r w:rsidRPr="00F116E4">
                    <w:rPr>
                      <w:rFonts w:ascii="Arial" w:hAnsi="Arial" w:cs="Arial"/>
                      <w:b/>
                      <w:bCs/>
                      <w:i/>
                      <w:iCs/>
                    </w:rPr>
                    <w:t>Stability</w:t>
                  </w:r>
                </w:p>
              </w:tc>
            </w:tr>
            <w:tr w:rsidR="00A11DD5" w:rsidRPr="00F116E4" w:rsidTr="00BD2F58">
              <w:trPr>
                <w:gridAfter w:val="1"/>
                <w:wAfter w:w="19" w:type="dxa"/>
                <w:trHeight w:val="1082"/>
              </w:trPr>
              <w:tc>
                <w:tcPr>
                  <w:tcW w:w="2673" w:type="dxa"/>
                </w:tcPr>
                <w:p w:rsidR="00A11DD5" w:rsidRPr="00F116E4" w:rsidRDefault="00DB6413" w:rsidP="00F116E4">
                  <w:pPr>
                    <w:autoSpaceDE w:val="0"/>
                    <w:autoSpaceDN w:val="0"/>
                    <w:adjustRightInd w:val="0"/>
                    <w:jc w:val="left"/>
                    <w:rPr>
                      <w:rFonts w:ascii="Arial" w:hAnsi="Arial" w:cs="Arial"/>
                      <w:szCs w:val="20"/>
                    </w:rPr>
                  </w:pPr>
                  <w:r>
                    <w:rPr>
                      <w:rFonts w:ascii="Arial" w:hAnsi="Arial" w:cs="Arial"/>
                      <w:szCs w:val="20"/>
                    </w:rPr>
                    <w:t xml:space="preserve">Abbott Alinity I </w:t>
                  </w:r>
                  <w:r w:rsidR="00A11DD5">
                    <w:rPr>
                      <w:rFonts w:ascii="Arial" w:hAnsi="Arial" w:cs="Arial"/>
                      <w:szCs w:val="20"/>
                    </w:rPr>
                    <w:t>Tacrolimus</w:t>
                  </w:r>
                  <w:r w:rsidR="00A11DD5" w:rsidRPr="00F116E4">
                    <w:rPr>
                      <w:rFonts w:ascii="Arial" w:hAnsi="Arial" w:cs="Arial"/>
                      <w:szCs w:val="20"/>
                    </w:rPr>
                    <w:t xml:space="preserve"> Reagent</w:t>
                  </w:r>
                </w:p>
                <w:p w:rsidR="00A11DD5" w:rsidRPr="00F116E4" w:rsidRDefault="00A11DD5" w:rsidP="00F116E4">
                  <w:pPr>
                    <w:autoSpaceDE w:val="0"/>
                    <w:autoSpaceDN w:val="0"/>
                    <w:adjustRightInd w:val="0"/>
                    <w:jc w:val="left"/>
                    <w:rPr>
                      <w:rFonts w:ascii="Arial" w:hAnsi="Arial" w:cs="Arial"/>
                      <w:szCs w:val="20"/>
                    </w:rPr>
                  </w:pPr>
                </w:p>
              </w:tc>
              <w:tc>
                <w:tcPr>
                  <w:tcW w:w="1600" w:type="dxa"/>
                </w:tcPr>
                <w:p w:rsidR="00A11DD5" w:rsidRPr="00F116E4" w:rsidRDefault="00DB6413" w:rsidP="00F116E4">
                  <w:pPr>
                    <w:pStyle w:val="BodyText"/>
                    <w:tabs>
                      <w:tab w:val="left" w:pos="3240"/>
                    </w:tabs>
                    <w:rPr>
                      <w:rFonts w:ascii="Arial" w:hAnsi="Arial" w:cs="Arial"/>
                      <w:szCs w:val="20"/>
                    </w:rPr>
                  </w:pPr>
                  <w:r w:rsidRPr="00DB6413">
                    <w:rPr>
                      <w:rFonts w:ascii="Arial" w:hAnsi="Arial" w:cs="Arial"/>
                      <w:szCs w:val="20"/>
                    </w:rPr>
                    <w:t>09P4220</w:t>
                  </w:r>
                </w:p>
              </w:tc>
              <w:tc>
                <w:tcPr>
                  <w:tcW w:w="3875" w:type="dxa"/>
                  <w:vAlign w:val="center"/>
                </w:tcPr>
                <w:p w:rsidR="00A11DD5" w:rsidRPr="00DB6413" w:rsidRDefault="00A11DD5" w:rsidP="00F116E4">
                  <w:pPr>
                    <w:pStyle w:val="Reagents"/>
                    <w:spacing w:after="80"/>
                    <w:rPr>
                      <w:rFonts w:ascii="Arial" w:hAnsi="Arial" w:cs="Arial"/>
                      <w:bCs/>
                    </w:rPr>
                  </w:pPr>
                  <w:r w:rsidRPr="00DB6413">
                    <w:rPr>
                      <w:rFonts w:ascii="Arial" w:hAnsi="Arial" w:cs="Arial"/>
                      <w:b/>
                      <w:bCs/>
                    </w:rPr>
                    <w:t>Store at:</w:t>
                  </w:r>
                  <w:r w:rsidRPr="00DB6413">
                    <w:rPr>
                      <w:rFonts w:ascii="Arial" w:hAnsi="Arial" w:cs="Arial"/>
                      <w:bCs/>
                    </w:rPr>
                    <w:t xml:space="preserve"> 2 – 8 °C</w:t>
                  </w:r>
                </w:p>
                <w:p w:rsidR="00A11DD5" w:rsidRPr="00DB6413" w:rsidRDefault="00A11DD5" w:rsidP="00F116E4">
                  <w:pPr>
                    <w:pStyle w:val="Reagents"/>
                    <w:spacing w:after="80"/>
                    <w:rPr>
                      <w:rFonts w:ascii="Arial" w:hAnsi="Arial" w:cs="Arial"/>
                      <w:bCs/>
                    </w:rPr>
                  </w:pPr>
                  <w:r w:rsidRPr="00DB6413">
                    <w:rPr>
                      <w:rFonts w:ascii="Arial" w:hAnsi="Arial" w:cs="Arial"/>
                      <w:b/>
                      <w:bCs/>
                    </w:rPr>
                    <w:t xml:space="preserve">Unopened/Opened: </w:t>
                  </w:r>
                  <w:r w:rsidRPr="00DB6413">
                    <w:rPr>
                      <w:rFonts w:ascii="Arial" w:hAnsi="Arial" w:cs="Arial"/>
                      <w:bCs/>
                    </w:rPr>
                    <w:t>Manufacturer expiration date.</w:t>
                  </w:r>
                </w:p>
                <w:p w:rsidR="00A11DD5" w:rsidRPr="00F116E4" w:rsidRDefault="00A11DD5" w:rsidP="00F116E4">
                  <w:pPr>
                    <w:autoSpaceDE w:val="0"/>
                    <w:autoSpaceDN w:val="0"/>
                    <w:adjustRightInd w:val="0"/>
                    <w:spacing w:after="80"/>
                    <w:rPr>
                      <w:rFonts w:ascii="Arial" w:hAnsi="Arial" w:cs="Arial"/>
                      <w:szCs w:val="20"/>
                    </w:rPr>
                  </w:pPr>
                  <w:r w:rsidRPr="00DB6413">
                    <w:rPr>
                      <w:rFonts w:ascii="Arial" w:hAnsi="Arial" w:cs="Arial"/>
                      <w:b/>
                      <w:bCs/>
                      <w:sz w:val="20"/>
                      <w:szCs w:val="20"/>
                    </w:rPr>
                    <w:t xml:space="preserve">On-board: </w:t>
                  </w:r>
                  <w:r w:rsidRPr="00DB6413">
                    <w:rPr>
                      <w:rFonts w:ascii="Arial" w:hAnsi="Arial" w:cs="Arial"/>
                      <w:sz w:val="20"/>
                      <w:szCs w:val="20"/>
                    </w:rPr>
                    <w:t>30 Days</w:t>
                  </w:r>
                </w:p>
              </w:tc>
            </w:tr>
            <w:tr w:rsidR="00A11DD5" w:rsidRPr="00F116E4" w:rsidTr="00BD2F58">
              <w:trPr>
                <w:gridAfter w:val="1"/>
                <w:wAfter w:w="19" w:type="dxa"/>
                <w:trHeight w:val="1597"/>
              </w:trPr>
              <w:tc>
                <w:tcPr>
                  <w:tcW w:w="2673" w:type="dxa"/>
                </w:tcPr>
                <w:p w:rsidR="00A11DD5" w:rsidRPr="00F116E4" w:rsidRDefault="00DB6413" w:rsidP="00F116E4">
                  <w:pPr>
                    <w:pStyle w:val="BodyText"/>
                    <w:jc w:val="left"/>
                    <w:rPr>
                      <w:rFonts w:ascii="Arial" w:hAnsi="Arial" w:cs="Arial"/>
                      <w:szCs w:val="20"/>
                    </w:rPr>
                  </w:pPr>
                  <w:r>
                    <w:rPr>
                      <w:rFonts w:ascii="Arial" w:hAnsi="Arial" w:cs="Arial"/>
                      <w:szCs w:val="20"/>
                    </w:rPr>
                    <w:t xml:space="preserve">Abbott Alinity i </w:t>
                  </w:r>
                  <w:r w:rsidR="00A11DD5">
                    <w:rPr>
                      <w:rFonts w:ascii="Arial" w:hAnsi="Arial" w:cs="Arial"/>
                      <w:szCs w:val="20"/>
                    </w:rPr>
                    <w:t>Tacrolimus</w:t>
                  </w:r>
                  <w:r w:rsidR="00A11DD5" w:rsidRPr="00F116E4">
                    <w:rPr>
                      <w:rFonts w:ascii="Arial" w:hAnsi="Arial" w:cs="Arial"/>
                      <w:szCs w:val="20"/>
                    </w:rPr>
                    <w:t xml:space="preserve"> Calibrator</w:t>
                  </w:r>
                </w:p>
              </w:tc>
              <w:tc>
                <w:tcPr>
                  <w:tcW w:w="1600" w:type="dxa"/>
                </w:tcPr>
                <w:p w:rsidR="00A11DD5" w:rsidRPr="00F116E4" w:rsidRDefault="00DB6413" w:rsidP="00F116E4">
                  <w:pPr>
                    <w:pStyle w:val="BodyText"/>
                    <w:rPr>
                      <w:rFonts w:ascii="Arial" w:hAnsi="Arial" w:cs="Arial"/>
                      <w:szCs w:val="20"/>
                    </w:rPr>
                  </w:pPr>
                  <w:r w:rsidRPr="00DB6413">
                    <w:rPr>
                      <w:rFonts w:ascii="Arial" w:hAnsi="Arial" w:cs="Arial"/>
                      <w:szCs w:val="20"/>
                    </w:rPr>
                    <w:t>09P4201</w:t>
                  </w:r>
                </w:p>
              </w:tc>
              <w:tc>
                <w:tcPr>
                  <w:tcW w:w="3875" w:type="dxa"/>
                  <w:vAlign w:val="center"/>
                </w:tcPr>
                <w:p w:rsidR="00A11DD5" w:rsidRPr="00DB6413" w:rsidRDefault="00A11DD5" w:rsidP="00DB6413">
                  <w:pPr>
                    <w:pStyle w:val="BodyText"/>
                    <w:spacing w:after="80"/>
                    <w:jc w:val="left"/>
                    <w:rPr>
                      <w:rFonts w:ascii="Arial" w:hAnsi="Arial" w:cs="Arial"/>
                      <w:bCs w:val="0"/>
                      <w:sz w:val="20"/>
                      <w:szCs w:val="20"/>
                    </w:rPr>
                  </w:pPr>
                  <w:r w:rsidRPr="00DB6413">
                    <w:rPr>
                      <w:rFonts w:ascii="Arial" w:hAnsi="Arial" w:cs="Arial"/>
                      <w:b/>
                      <w:sz w:val="20"/>
                      <w:szCs w:val="20"/>
                    </w:rPr>
                    <w:t xml:space="preserve">Store at: </w:t>
                  </w:r>
                  <w:r w:rsidRPr="00DB6413">
                    <w:rPr>
                      <w:rFonts w:ascii="Arial" w:hAnsi="Arial" w:cs="Arial"/>
                      <w:sz w:val="20"/>
                      <w:szCs w:val="20"/>
                    </w:rPr>
                    <w:t xml:space="preserve"> 2 – 8 °C</w:t>
                  </w:r>
                </w:p>
                <w:p w:rsidR="00A11DD5" w:rsidRPr="00DB6413" w:rsidRDefault="00A11DD5" w:rsidP="00DB6413">
                  <w:pPr>
                    <w:pStyle w:val="BodyText"/>
                    <w:spacing w:after="80"/>
                    <w:jc w:val="left"/>
                    <w:rPr>
                      <w:rFonts w:ascii="Arial" w:hAnsi="Arial" w:cs="Arial"/>
                      <w:bCs w:val="0"/>
                      <w:sz w:val="20"/>
                      <w:szCs w:val="20"/>
                    </w:rPr>
                  </w:pPr>
                  <w:r w:rsidRPr="00DB6413">
                    <w:rPr>
                      <w:rFonts w:ascii="Arial" w:hAnsi="Arial" w:cs="Arial"/>
                      <w:b/>
                      <w:sz w:val="20"/>
                      <w:szCs w:val="20"/>
                    </w:rPr>
                    <w:t>To Use</w:t>
                  </w:r>
                  <w:r w:rsidRPr="00DB6413">
                    <w:rPr>
                      <w:rFonts w:ascii="Arial" w:hAnsi="Arial" w:cs="Arial"/>
                      <w:sz w:val="20"/>
                      <w:szCs w:val="20"/>
                    </w:rPr>
                    <w:t>: Gently mix at least 10 times immediately prior to aliquoting</w:t>
                  </w:r>
                </w:p>
                <w:p w:rsidR="00A11DD5" w:rsidRPr="00DB6413" w:rsidRDefault="00A11DD5" w:rsidP="00DB6413">
                  <w:pPr>
                    <w:pStyle w:val="BodyText"/>
                    <w:spacing w:after="80"/>
                    <w:jc w:val="left"/>
                    <w:rPr>
                      <w:rFonts w:ascii="Arial" w:hAnsi="Arial" w:cs="Arial"/>
                      <w:bCs w:val="0"/>
                      <w:sz w:val="20"/>
                      <w:szCs w:val="20"/>
                    </w:rPr>
                  </w:pPr>
                  <w:r w:rsidRPr="00DB6413">
                    <w:rPr>
                      <w:rFonts w:ascii="Arial" w:hAnsi="Arial" w:cs="Arial"/>
                      <w:b/>
                      <w:sz w:val="20"/>
                      <w:szCs w:val="20"/>
                    </w:rPr>
                    <w:t>Unopened</w:t>
                  </w:r>
                  <w:r w:rsidRPr="00DB6413">
                    <w:rPr>
                      <w:rFonts w:ascii="Arial" w:hAnsi="Arial" w:cs="Arial"/>
                      <w:sz w:val="20"/>
                      <w:szCs w:val="20"/>
                    </w:rPr>
                    <w:t>: Manufacturer expiration date.</w:t>
                  </w:r>
                </w:p>
                <w:p w:rsidR="00A11DD5" w:rsidRPr="00F116E4" w:rsidRDefault="00A11DD5" w:rsidP="00DB6413">
                  <w:pPr>
                    <w:pStyle w:val="BodyText"/>
                    <w:spacing w:after="80"/>
                    <w:jc w:val="left"/>
                    <w:rPr>
                      <w:rFonts w:ascii="Arial" w:hAnsi="Arial" w:cs="Arial"/>
                      <w:szCs w:val="20"/>
                    </w:rPr>
                  </w:pPr>
                  <w:r w:rsidRPr="00DB6413">
                    <w:rPr>
                      <w:rFonts w:ascii="Arial" w:hAnsi="Arial" w:cs="Arial"/>
                      <w:b/>
                      <w:sz w:val="20"/>
                      <w:szCs w:val="20"/>
                    </w:rPr>
                    <w:t>Opened</w:t>
                  </w:r>
                  <w:r w:rsidRPr="00DB6413">
                    <w:rPr>
                      <w:rFonts w:ascii="Arial" w:hAnsi="Arial" w:cs="Arial"/>
                      <w:sz w:val="20"/>
                      <w:szCs w:val="20"/>
                    </w:rPr>
                    <w:t xml:space="preserve">: </w:t>
                  </w:r>
                  <w:r w:rsidR="00DB6413" w:rsidRPr="00DB6413">
                    <w:rPr>
                      <w:rFonts w:ascii="Arial" w:hAnsi="Arial" w:cs="Arial"/>
                      <w:sz w:val="20"/>
                      <w:szCs w:val="20"/>
                    </w:rPr>
                    <w:t>Store at 2 – 8 °C, until manufacturer expiration date when stored tightly capped and minimal time at room temperature</w:t>
                  </w:r>
                </w:p>
              </w:tc>
            </w:tr>
            <w:tr w:rsidR="00A11DD5" w:rsidRPr="00F116E4" w:rsidTr="00BD2F58">
              <w:trPr>
                <w:gridAfter w:val="1"/>
                <w:wAfter w:w="19" w:type="dxa"/>
                <w:trHeight w:val="332"/>
              </w:trPr>
              <w:tc>
                <w:tcPr>
                  <w:tcW w:w="2673" w:type="dxa"/>
                </w:tcPr>
                <w:p w:rsidR="00A11DD5" w:rsidRPr="00F116E4" w:rsidRDefault="00DB6413" w:rsidP="00F116E4">
                  <w:pPr>
                    <w:pStyle w:val="BodyText"/>
                    <w:jc w:val="left"/>
                    <w:rPr>
                      <w:rFonts w:ascii="Arial" w:hAnsi="Arial" w:cs="Arial"/>
                      <w:szCs w:val="20"/>
                    </w:rPr>
                  </w:pPr>
                  <w:r>
                    <w:rPr>
                      <w:rFonts w:ascii="Arial" w:hAnsi="Arial" w:cs="Arial"/>
                      <w:szCs w:val="20"/>
                    </w:rPr>
                    <w:t>Abbott Architect Tacrolimus Reagent</w:t>
                  </w:r>
                </w:p>
              </w:tc>
              <w:tc>
                <w:tcPr>
                  <w:tcW w:w="1600" w:type="dxa"/>
                </w:tcPr>
                <w:p w:rsidR="00A11DD5" w:rsidRPr="0080713A" w:rsidRDefault="00DB6413" w:rsidP="00F116E4">
                  <w:pPr>
                    <w:pStyle w:val="BodyText"/>
                    <w:rPr>
                      <w:rFonts w:ascii="Arial" w:hAnsi="Arial" w:cs="Arial"/>
                      <w:szCs w:val="20"/>
                      <w:highlight w:val="yellow"/>
                    </w:rPr>
                  </w:pPr>
                  <w:r w:rsidRPr="00DB6413">
                    <w:rPr>
                      <w:rFonts w:ascii="Arial" w:hAnsi="Arial" w:cs="Arial"/>
                      <w:szCs w:val="20"/>
                    </w:rPr>
                    <w:t>1L77-25</w:t>
                  </w:r>
                </w:p>
              </w:tc>
              <w:tc>
                <w:tcPr>
                  <w:tcW w:w="3875" w:type="dxa"/>
                  <w:vAlign w:val="center"/>
                </w:tcPr>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Store at</w:t>
                  </w:r>
                  <w:r w:rsidRPr="00DB6413">
                    <w:rPr>
                      <w:rFonts w:ascii="Arial" w:hAnsi="Arial" w:cs="Arial"/>
                      <w:sz w:val="20"/>
                      <w:szCs w:val="20"/>
                    </w:rPr>
                    <w:t>: 2 – 8 °C</w:t>
                  </w:r>
                </w:p>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Unopened/Opened:</w:t>
                  </w:r>
                  <w:r w:rsidRPr="00DB6413">
                    <w:rPr>
                      <w:rFonts w:ascii="Arial" w:hAnsi="Arial" w:cs="Arial"/>
                      <w:sz w:val="20"/>
                      <w:szCs w:val="20"/>
                    </w:rPr>
                    <w:t xml:space="preserve"> Manufacturer expiration date.</w:t>
                  </w:r>
                </w:p>
                <w:p w:rsidR="00A11DD5"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On-board</w:t>
                  </w:r>
                  <w:r w:rsidRPr="00DB6413">
                    <w:rPr>
                      <w:rFonts w:ascii="Arial" w:hAnsi="Arial" w:cs="Arial"/>
                      <w:sz w:val="20"/>
                      <w:szCs w:val="20"/>
                    </w:rPr>
                    <w:t>: 30 Days</w:t>
                  </w:r>
                </w:p>
              </w:tc>
            </w:tr>
            <w:tr w:rsidR="00A11DD5" w:rsidRPr="00F116E4" w:rsidTr="00BD2F58">
              <w:trPr>
                <w:gridAfter w:val="1"/>
                <w:wAfter w:w="19" w:type="dxa"/>
                <w:trHeight w:val="322"/>
              </w:trPr>
              <w:tc>
                <w:tcPr>
                  <w:tcW w:w="2673" w:type="dxa"/>
                </w:tcPr>
                <w:p w:rsidR="00A11DD5" w:rsidRPr="00F116E4" w:rsidRDefault="00DB6413" w:rsidP="00F116E4">
                  <w:pPr>
                    <w:pStyle w:val="BodyText"/>
                    <w:jc w:val="left"/>
                    <w:rPr>
                      <w:rFonts w:ascii="Arial" w:hAnsi="Arial" w:cs="Arial"/>
                      <w:szCs w:val="20"/>
                    </w:rPr>
                  </w:pPr>
                  <w:r>
                    <w:rPr>
                      <w:rFonts w:ascii="Arial" w:hAnsi="Arial" w:cs="Arial"/>
                      <w:szCs w:val="20"/>
                    </w:rPr>
                    <w:t>Abbott Architect Tacrolimus Calibrators</w:t>
                  </w:r>
                </w:p>
              </w:tc>
              <w:tc>
                <w:tcPr>
                  <w:tcW w:w="1600" w:type="dxa"/>
                </w:tcPr>
                <w:p w:rsidR="00A11DD5" w:rsidRPr="0080713A" w:rsidRDefault="00DB6413" w:rsidP="00F116E4">
                  <w:pPr>
                    <w:pStyle w:val="BodyText"/>
                    <w:rPr>
                      <w:rFonts w:ascii="Arial" w:hAnsi="Arial" w:cs="Arial"/>
                      <w:szCs w:val="20"/>
                      <w:highlight w:val="yellow"/>
                    </w:rPr>
                  </w:pPr>
                  <w:r w:rsidRPr="00DB6413">
                    <w:rPr>
                      <w:rFonts w:ascii="Arial" w:hAnsi="Arial" w:cs="Arial"/>
                      <w:szCs w:val="20"/>
                    </w:rPr>
                    <w:t>1L77-01</w:t>
                  </w:r>
                </w:p>
              </w:tc>
              <w:tc>
                <w:tcPr>
                  <w:tcW w:w="3875" w:type="dxa"/>
                  <w:vAlign w:val="center"/>
                </w:tcPr>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Store at:</w:t>
                  </w:r>
                  <w:r w:rsidRPr="00DB6413">
                    <w:rPr>
                      <w:rFonts w:ascii="Arial" w:hAnsi="Arial" w:cs="Arial"/>
                      <w:sz w:val="20"/>
                      <w:szCs w:val="20"/>
                    </w:rPr>
                    <w:t xml:space="preserve">  2 – 8 °C</w:t>
                  </w:r>
                </w:p>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To Use:</w:t>
                  </w:r>
                  <w:r w:rsidRPr="00DB6413">
                    <w:rPr>
                      <w:rFonts w:ascii="Arial" w:hAnsi="Arial" w:cs="Arial"/>
                      <w:sz w:val="20"/>
                      <w:szCs w:val="20"/>
                    </w:rPr>
                    <w:t xml:space="preserve"> Gently mix at least 10 times immediately prior to aliquoting</w:t>
                  </w:r>
                </w:p>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Unopened:</w:t>
                  </w:r>
                  <w:r w:rsidRPr="00DB6413">
                    <w:rPr>
                      <w:rFonts w:ascii="Arial" w:hAnsi="Arial" w:cs="Arial"/>
                      <w:sz w:val="20"/>
                      <w:szCs w:val="20"/>
                    </w:rPr>
                    <w:t xml:space="preserve"> Manufacturer expiration date.</w:t>
                  </w:r>
                </w:p>
                <w:p w:rsidR="00A11DD5"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Opened:</w:t>
                  </w:r>
                  <w:r w:rsidRPr="00DB6413">
                    <w:rPr>
                      <w:rFonts w:ascii="Arial" w:hAnsi="Arial" w:cs="Arial"/>
                      <w:sz w:val="20"/>
                      <w:szCs w:val="20"/>
                    </w:rPr>
                    <w:t xml:space="preserve"> Store at 2 – 8 °C, until manufacturer expiration date</w:t>
                  </w:r>
                  <w:r>
                    <w:rPr>
                      <w:rFonts w:ascii="Arial" w:hAnsi="Arial" w:cs="Arial"/>
                      <w:sz w:val="20"/>
                      <w:szCs w:val="20"/>
                    </w:rPr>
                    <w:t xml:space="preserve"> when stored tightly capped and minimal time at room temperature</w:t>
                  </w:r>
                </w:p>
              </w:tc>
            </w:tr>
            <w:tr w:rsidR="00DB6413" w:rsidRPr="00F116E4" w:rsidTr="00BD2F58">
              <w:trPr>
                <w:gridAfter w:val="1"/>
                <w:wAfter w:w="19" w:type="dxa"/>
                <w:trHeight w:val="322"/>
              </w:trPr>
              <w:tc>
                <w:tcPr>
                  <w:tcW w:w="2673" w:type="dxa"/>
                </w:tcPr>
                <w:p w:rsidR="00DB6413" w:rsidRDefault="00DB6413" w:rsidP="00F116E4">
                  <w:pPr>
                    <w:pStyle w:val="BodyText"/>
                    <w:jc w:val="left"/>
                    <w:rPr>
                      <w:rFonts w:ascii="Arial" w:hAnsi="Arial" w:cs="Arial"/>
                      <w:szCs w:val="20"/>
                    </w:rPr>
                  </w:pPr>
                  <w:r>
                    <w:rPr>
                      <w:rFonts w:ascii="Arial" w:hAnsi="Arial" w:cs="Arial"/>
                      <w:szCs w:val="20"/>
                    </w:rPr>
                    <w:t>Tacrolimus Precipitation Reagent</w:t>
                  </w:r>
                </w:p>
              </w:tc>
              <w:tc>
                <w:tcPr>
                  <w:tcW w:w="1600" w:type="dxa"/>
                </w:tcPr>
                <w:p w:rsidR="00DB6413" w:rsidRPr="0080713A" w:rsidRDefault="00DB6413" w:rsidP="00F116E4">
                  <w:pPr>
                    <w:pStyle w:val="BodyText"/>
                    <w:rPr>
                      <w:rFonts w:ascii="Arial" w:hAnsi="Arial" w:cs="Arial"/>
                      <w:szCs w:val="20"/>
                      <w:highlight w:val="yellow"/>
                    </w:rPr>
                  </w:pPr>
                  <w:r w:rsidRPr="00DB6413">
                    <w:rPr>
                      <w:rFonts w:ascii="Arial" w:hAnsi="Arial" w:cs="Arial"/>
                      <w:szCs w:val="20"/>
                    </w:rPr>
                    <w:t>09P4240</w:t>
                  </w:r>
                </w:p>
              </w:tc>
              <w:tc>
                <w:tcPr>
                  <w:tcW w:w="3875" w:type="dxa"/>
                  <w:vAlign w:val="center"/>
                </w:tcPr>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Store at:</w:t>
                  </w:r>
                  <w:r>
                    <w:rPr>
                      <w:rFonts w:ascii="Arial" w:hAnsi="Arial" w:cs="Arial"/>
                      <w:sz w:val="20"/>
                      <w:szCs w:val="20"/>
                    </w:rPr>
                    <w:t xml:space="preserve">  15 - 25</w:t>
                  </w:r>
                  <w:r w:rsidRPr="00DB6413">
                    <w:rPr>
                      <w:rFonts w:ascii="Arial" w:hAnsi="Arial" w:cs="Arial"/>
                      <w:sz w:val="20"/>
                      <w:szCs w:val="20"/>
                    </w:rPr>
                    <w:t>°C</w:t>
                  </w:r>
                </w:p>
                <w:p w:rsidR="00DB6413" w:rsidRP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Unopened</w:t>
                  </w:r>
                  <w:r w:rsidRPr="00DB6413">
                    <w:rPr>
                      <w:rFonts w:ascii="Arial" w:hAnsi="Arial" w:cs="Arial"/>
                      <w:sz w:val="20"/>
                      <w:szCs w:val="20"/>
                    </w:rPr>
                    <w:t>: Manufacturer expiration date.</w:t>
                  </w:r>
                </w:p>
                <w:p w:rsidR="00DB6413" w:rsidRDefault="00DB6413" w:rsidP="00DB6413">
                  <w:pPr>
                    <w:pStyle w:val="BodyText"/>
                    <w:spacing w:after="80"/>
                    <w:jc w:val="left"/>
                    <w:rPr>
                      <w:rFonts w:ascii="Arial" w:hAnsi="Arial" w:cs="Arial"/>
                      <w:sz w:val="20"/>
                      <w:szCs w:val="20"/>
                    </w:rPr>
                  </w:pPr>
                  <w:r w:rsidRPr="00DB6413">
                    <w:rPr>
                      <w:rFonts w:ascii="Arial" w:hAnsi="Arial" w:cs="Arial"/>
                      <w:b/>
                      <w:sz w:val="20"/>
                      <w:szCs w:val="20"/>
                    </w:rPr>
                    <w:t>Opened:</w:t>
                  </w:r>
                  <w:r w:rsidRPr="00DB6413">
                    <w:rPr>
                      <w:rFonts w:ascii="Arial" w:hAnsi="Arial" w:cs="Arial"/>
                      <w:sz w:val="20"/>
                      <w:szCs w:val="20"/>
                    </w:rPr>
                    <w:t xml:space="preserve"> Store at 2 – 8 °C, until manufacturer expiration date</w:t>
                  </w:r>
                </w:p>
                <w:p w:rsidR="00DB6413" w:rsidRPr="00DB6413" w:rsidRDefault="00DB6413" w:rsidP="00DB6413">
                  <w:pPr>
                    <w:pStyle w:val="BodyText"/>
                    <w:spacing w:after="80"/>
                    <w:jc w:val="left"/>
                    <w:rPr>
                      <w:rFonts w:ascii="Arial" w:hAnsi="Arial" w:cs="Arial"/>
                      <w:b/>
                      <w:sz w:val="20"/>
                      <w:szCs w:val="20"/>
                    </w:rPr>
                  </w:pPr>
                  <w:r w:rsidRPr="00DB6413">
                    <w:rPr>
                      <w:rFonts w:ascii="Arial" w:hAnsi="Arial" w:cs="Arial"/>
                      <w:b/>
                      <w:sz w:val="20"/>
                      <w:szCs w:val="20"/>
                    </w:rPr>
                    <w:t>Contains Methanol.  Pour used reagent into Methanol satellite container</w:t>
                  </w:r>
                </w:p>
              </w:tc>
            </w:tr>
            <w:tr w:rsidR="00A11DD5" w:rsidRPr="00F116E4" w:rsidTr="00BD2F58">
              <w:trPr>
                <w:gridAfter w:val="1"/>
                <w:wAfter w:w="19" w:type="dxa"/>
                <w:trHeight w:val="996"/>
              </w:trPr>
              <w:tc>
                <w:tcPr>
                  <w:tcW w:w="2673" w:type="dxa"/>
                </w:tcPr>
                <w:p w:rsidR="00A11DD5" w:rsidRPr="00F116E4" w:rsidRDefault="00A11DD5" w:rsidP="00F116E4">
                  <w:pPr>
                    <w:pStyle w:val="BodyText"/>
                    <w:jc w:val="left"/>
                    <w:rPr>
                      <w:rFonts w:ascii="Arial" w:hAnsi="Arial" w:cs="Arial"/>
                      <w:szCs w:val="20"/>
                    </w:rPr>
                  </w:pPr>
                  <w:r>
                    <w:rPr>
                      <w:rFonts w:ascii="Arial" w:hAnsi="Arial" w:cs="Arial"/>
                      <w:szCs w:val="20"/>
                    </w:rPr>
                    <w:t>BioRad Whole Blood Immunosuppressant QC</w:t>
                  </w:r>
                </w:p>
              </w:tc>
              <w:tc>
                <w:tcPr>
                  <w:tcW w:w="1600" w:type="dxa"/>
                </w:tcPr>
                <w:p w:rsidR="00A11DD5" w:rsidRPr="00F116E4" w:rsidRDefault="00A11DD5" w:rsidP="00F116E4">
                  <w:pPr>
                    <w:pStyle w:val="BodyText"/>
                    <w:rPr>
                      <w:rFonts w:ascii="Arial" w:eastAsia="HelenPro-Regular" w:hAnsi="Arial" w:cs="Arial"/>
                      <w:szCs w:val="20"/>
                    </w:rPr>
                  </w:pPr>
                  <w:r>
                    <w:rPr>
                      <w:rFonts w:ascii="Arial" w:eastAsia="HelenPro-Regular" w:hAnsi="Arial" w:cs="Arial"/>
                      <w:szCs w:val="20"/>
                    </w:rPr>
                    <w:t>Level 1 - 12000404</w:t>
                  </w:r>
                </w:p>
                <w:p w:rsidR="00A11DD5" w:rsidRPr="00F116E4" w:rsidRDefault="00A11DD5" w:rsidP="00F116E4">
                  <w:pPr>
                    <w:pStyle w:val="BodyText"/>
                    <w:rPr>
                      <w:rFonts w:ascii="Arial" w:eastAsia="HelenPro-Regular" w:hAnsi="Arial" w:cs="Arial"/>
                      <w:szCs w:val="20"/>
                    </w:rPr>
                  </w:pPr>
                  <w:r>
                    <w:rPr>
                      <w:rFonts w:ascii="Arial" w:eastAsia="HelenPro-Regular" w:hAnsi="Arial" w:cs="Arial"/>
                      <w:szCs w:val="20"/>
                    </w:rPr>
                    <w:t>Level 2 - 12000405</w:t>
                  </w:r>
                </w:p>
                <w:p w:rsidR="00A11DD5" w:rsidRPr="00F116E4" w:rsidRDefault="00A11DD5" w:rsidP="00F116E4">
                  <w:pPr>
                    <w:pStyle w:val="BodyText"/>
                    <w:rPr>
                      <w:rFonts w:ascii="Arial" w:eastAsia="HelenPro-Regular" w:hAnsi="Arial" w:cs="Arial"/>
                      <w:szCs w:val="20"/>
                    </w:rPr>
                  </w:pPr>
                  <w:r w:rsidRPr="00F116E4">
                    <w:rPr>
                      <w:rFonts w:ascii="Arial" w:eastAsia="HelenPro-Regular" w:hAnsi="Arial" w:cs="Arial"/>
                      <w:szCs w:val="20"/>
                    </w:rPr>
                    <w:t xml:space="preserve">Level 3 - </w:t>
                  </w:r>
                  <w:r>
                    <w:rPr>
                      <w:rFonts w:ascii="Arial" w:eastAsia="HelenPro-Regular" w:hAnsi="Arial" w:cs="Arial"/>
                      <w:szCs w:val="20"/>
                    </w:rPr>
                    <w:t>12000406</w:t>
                  </w:r>
                </w:p>
              </w:tc>
              <w:tc>
                <w:tcPr>
                  <w:tcW w:w="3875" w:type="dxa"/>
                  <w:vAlign w:val="center"/>
                </w:tcPr>
                <w:p w:rsidR="00A11DD5" w:rsidRPr="00DB6413" w:rsidRDefault="00A11DD5" w:rsidP="00DB6413">
                  <w:pPr>
                    <w:jc w:val="left"/>
                    <w:rPr>
                      <w:rFonts w:ascii="Arial" w:hAnsi="Arial" w:cs="Arial"/>
                      <w:sz w:val="20"/>
                      <w:szCs w:val="20"/>
                    </w:rPr>
                  </w:pPr>
                  <w:r w:rsidRPr="00DB6413">
                    <w:rPr>
                      <w:rFonts w:ascii="Arial" w:hAnsi="Arial" w:cs="Arial"/>
                      <w:b/>
                      <w:sz w:val="20"/>
                      <w:szCs w:val="20"/>
                    </w:rPr>
                    <w:t>Unopened storage:</w:t>
                  </w:r>
                  <w:r w:rsidRPr="00DB6413">
                    <w:rPr>
                      <w:rFonts w:ascii="Arial" w:hAnsi="Arial" w:cs="Arial"/>
                      <w:sz w:val="20"/>
                      <w:szCs w:val="20"/>
                    </w:rPr>
                    <w:t xml:space="preserve"> &lt;-20</w:t>
                  </w:r>
                  <w:r w:rsidRPr="00DB6413">
                    <w:rPr>
                      <w:rStyle w:val="tgc"/>
                      <w:rFonts w:ascii="Arial" w:hAnsi="Arial" w:cs="Arial"/>
                      <w:color w:val="222222"/>
                      <w:sz w:val="20"/>
                      <w:szCs w:val="20"/>
                    </w:rPr>
                    <w:t>°C</w:t>
                  </w:r>
                </w:p>
                <w:p w:rsidR="00A11DD5" w:rsidRPr="00DB6413" w:rsidRDefault="00A11DD5" w:rsidP="00DB6413">
                  <w:pPr>
                    <w:jc w:val="left"/>
                    <w:rPr>
                      <w:rFonts w:ascii="Arial" w:hAnsi="Arial" w:cs="Arial"/>
                      <w:sz w:val="20"/>
                      <w:szCs w:val="20"/>
                    </w:rPr>
                  </w:pPr>
                  <w:r w:rsidRPr="00DB6413">
                    <w:rPr>
                      <w:rFonts w:ascii="Arial" w:hAnsi="Arial" w:cs="Arial"/>
                      <w:b/>
                      <w:sz w:val="20"/>
                      <w:szCs w:val="20"/>
                    </w:rPr>
                    <w:t>To Use:</w:t>
                  </w:r>
                  <w:r w:rsidRPr="00DB6413">
                    <w:rPr>
                      <w:rFonts w:ascii="Arial" w:hAnsi="Arial" w:cs="Arial"/>
                      <w:sz w:val="20"/>
                      <w:szCs w:val="20"/>
                    </w:rPr>
                    <w:t xml:space="preserve"> Thaw at room temperature for 30 minute prior to </w:t>
                  </w:r>
                  <w:r w:rsidR="00DB6413">
                    <w:rPr>
                      <w:rFonts w:ascii="Arial" w:hAnsi="Arial" w:cs="Arial"/>
                      <w:sz w:val="20"/>
                      <w:szCs w:val="20"/>
                    </w:rPr>
                    <w:t xml:space="preserve">first </w:t>
                  </w:r>
                  <w:r w:rsidRPr="00DB6413">
                    <w:rPr>
                      <w:rFonts w:ascii="Arial" w:hAnsi="Arial" w:cs="Arial"/>
                      <w:sz w:val="20"/>
                      <w:szCs w:val="20"/>
                    </w:rPr>
                    <w:t>use.</w:t>
                  </w:r>
                  <w:r w:rsidR="00DB6413">
                    <w:rPr>
                      <w:rFonts w:ascii="Arial" w:hAnsi="Arial" w:cs="Arial"/>
                      <w:sz w:val="20"/>
                      <w:szCs w:val="20"/>
                    </w:rPr>
                    <w:t xml:space="preserve">  Mix by gentle inversion at least 10 times immediately prior to use</w:t>
                  </w:r>
                  <w:r w:rsidRPr="00DB6413">
                    <w:rPr>
                      <w:rFonts w:ascii="Arial" w:hAnsi="Arial" w:cs="Arial"/>
                      <w:sz w:val="20"/>
                      <w:szCs w:val="20"/>
                    </w:rPr>
                    <w:t xml:space="preserve">  </w:t>
                  </w:r>
                </w:p>
                <w:p w:rsidR="00A11DD5" w:rsidRPr="00DB6413" w:rsidRDefault="00A11DD5" w:rsidP="00DB6413">
                  <w:pPr>
                    <w:jc w:val="left"/>
                    <w:rPr>
                      <w:rStyle w:val="tgc"/>
                      <w:rFonts w:ascii="Arial" w:hAnsi="Arial" w:cs="Arial"/>
                      <w:color w:val="222222"/>
                      <w:sz w:val="20"/>
                      <w:szCs w:val="20"/>
                    </w:rPr>
                  </w:pPr>
                  <w:r w:rsidRPr="00DB6413">
                    <w:rPr>
                      <w:rFonts w:ascii="Arial" w:hAnsi="Arial" w:cs="Arial"/>
                      <w:b/>
                      <w:sz w:val="20"/>
                      <w:szCs w:val="20"/>
                    </w:rPr>
                    <w:t>Once Opened, Store:</w:t>
                  </w:r>
                  <w:r w:rsidRPr="00DB6413">
                    <w:rPr>
                      <w:rFonts w:ascii="Arial" w:hAnsi="Arial" w:cs="Arial"/>
                      <w:sz w:val="20"/>
                      <w:szCs w:val="20"/>
                    </w:rPr>
                    <w:t xml:space="preserve"> 2-8</w:t>
                  </w:r>
                  <w:r w:rsidRPr="00DB6413">
                    <w:rPr>
                      <w:rStyle w:val="tgc"/>
                      <w:rFonts w:ascii="Arial" w:hAnsi="Arial" w:cs="Arial"/>
                      <w:color w:val="222222"/>
                      <w:sz w:val="20"/>
                      <w:szCs w:val="20"/>
                    </w:rPr>
                    <w:t>°C</w:t>
                  </w:r>
                </w:p>
                <w:p w:rsidR="00A11DD5" w:rsidRPr="00DB6413" w:rsidRDefault="00A11DD5" w:rsidP="00DB6413">
                  <w:pPr>
                    <w:pStyle w:val="BodyText"/>
                    <w:spacing w:after="80"/>
                    <w:jc w:val="left"/>
                    <w:rPr>
                      <w:rFonts w:ascii="Arial" w:hAnsi="Arial" w:cs="Arial"/>
                      <w:sz w:val="20"/>
                      <w:szCs w:val="20"/>
                    </w:rPr>
                  </w:pPr>
                  <w:r w:rsidRPr="00DB6413">
                    <w:rPr>
                      <w:rStyle w:val="tgc"/>
                      <w:rFonts w:ascii="Arial" w:hAnsi="Arial" w:cs="Arial"/>
                      <w:b/>
                      <w:color w:val="222222"/>
                      <w:sz w:val="20"/>
                      <w:szCs w:val="20"/>
                    </w:rPr>
                    <w:t>Stability:</w:t>
                  </w:r>
                  <w:r w:rsidRPr="00DB6413">
                    <w:rPr>
                      <w:rStyle w:val="tgc"/>
                      <w:rFonts w:ascii="Arial" w:hAnsi="Arial" w:cs="Arial"/>
                      <w:color w:val="222222"/>
                      <w:sz w:val="20"/>
                      <w:szCs w:val="20"/>
                    </w:rPr>
                    <w:t xml:space="preserve"> 10 Days</w:t>
                  </w:r>
                </w:p>
              </w:tc>
            </w:tr>
          </w:tbl>
          <w:p w:rsidR="00A11DD5" w:rsidRPr="00F116E4" w:rsidRDefault="00A11DD5" w:rsidP="00F116E4">
            <w:pPr>
              <w:ind w:left="432"/>
              <w:jc w:val="left"/>
              <w:rPr>
                <w:rFonts w:ascii="Arial" w:hAnsi="Arial" w:cs="Arial"/>
                <w:iCs/>
                <w:sz w:val="20"/>
              </w:rPr>
            </w:pPr>
          </w:p>
        </w:tc>
      </w:tr>
      <w:tr w:rsidR="00A11DD5" w:rsidRPr="00F116E4" w:rsidTr="003E58E6">
        <w:trPr>
          <w:cantSplit/>
          <w:trHeight w:val="935"/>
        </w:trPr>
        <w:tc>
          <w:tcPr>
            <w:tcW w:w="1800" w:type="dxa"/>
            <w:tcBorders>
              <w:top w:val="nil"/>
              <w:left w:val="nil"/>
              <w:bottom w:val="nil"/>
            </w:tcBorders>
          </w:tcPr>
          <w:p w:rsidR="00A11DD5" w:rsidRPr="00F116E4" w:rsidRDefault="00A11DD5" w:rsidP="007C3E34">
            <w:pPr>
              <w:jc w:val="left"/>
              <w:rPr>
                <w:rFonts w:ascii="Arial" w:hAnsi="Arial" w:cs="Arial"/>
                <w:b/>
                <w:bCs/>
                <w:color w:val="0000FF"/>
                <w:sz w:val="20"/>
              </w:rPr>
            </w:pPr>
          </w:p>
          <w:p w:rsidR="00A11DD5" w:rsidRPr="00F116E4" w:rsidRDefault="00A11DD5" w:rsidP="007C3E34">
            <w:pPr>
              <w:jc w:val="left"/>
              <w:rPr>
                <w:rFonts w:ascii="Arial" w:hAnsi="Arial" w:cs="Arial"/>
                <w:b/>
                <w:bCs/>
                <w:color w:val="0000FF"/>
                <w:sz w:val="20"/>
              </w:rPr>
            </w:pPr>
            <w:r w:rsidRPr="00F116E4">
              <w:rPr>
                <w:rFonts w:ascii="Arial" w:hAnsi="Arial" w:cs="Arial"/>
                <w:b/>
                <w:bCs/>
                <w:color w:val="0000FF"/>
                <w:sz w:val="20"/>
              </w:rPr>
              <w:t>Calibration and Analytical Measuring Range (AMR)</w:t>
            </w:r>
          </w:p>
        </w:tc>
        <w:tc>
          <w:tcPr>
            <w:tcW w:w="9360" w:type="dxa"/>
            <w:tcBorders>
              <w:bottom w:val="nil"/>
              <w:right w:val="nil"/>
            </w:tcBorders>
          </w:tcPr>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5667"/>
              <w:gridCol w:w="501"/>
            </w:tblGrid>
            <w:tr w:rsidR="00A11DD5" w:rsidRPr="00F116E4" w:rsidTr="003E58E6">
              <w:trPr>
                <w:gridAfter w:val="1"/>
                <w:wAfter w:w="501" w:type="dxa"/>
                <w:trHeight w:val="380"/>
              </w:trPr>
              <w:tc>
                <w:tcPr>
                  <w:tcW w:w="2900" w:type="dxa"/>
                  <w:tcBorders>
                    <w:top w:val="single" w:sz="4" w:space="0" w:color="auto"/>
                    <w:left w:val="single" w:sz="4" w:space="0" w:color="auto"/>
                    <w:bottom w:val="single" w:sz="4" w:space="0" w:color="auto"/>
                    <w:right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Analytical Measuring Range:</w:t>
                  </w:r>
                </w:p>
              </w:tc>
              <w:tc>
                <w:tcPr>
                  <w:tcW w:w="5667" w:type="dxa"/>
                  <w:tcBorders>
                    <w:top w:val="single" w:sz="4" w:space="0" w:color="auto"/>
                    <w:left w:val="single" w:sz="4" w:space="0" w:color="auto"/>
                    <w:bottom w:val="single" w:sz="4" w:space="0" w:color="auto"/>
                    <w:right w:val="single" w:sz="4" w:space="0" w:color="auto"/>
                  </w:tcBorders>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2-30 ng/mL</w:t>
                  </w:r>
                </w:p>
              </w:tc>
            </w:tr>
            <w:tr w:rsidR="00A11DD5" w:rsidRPr="00F116E4" w:rsidTr="003E58E6">
              <w:trPr>
                <w:gridAfter w:val="1"/>
                <w:wAfter w:w="501" w:type="dxa"/>
                <w:trHeight w:val="498"/>
              </w:trPr>
              <w:tc>
                <w:tcPr>
                  <w:tcW w:w="2900" w:type="dxa"/>
                  <w:tcBorders>
                    <w:top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Reference Material:</w:t>
                  </w:r>
                </w:p>
              </w:tc>
              <w:tc>
                <w:tcPr>
                  <w:tcW w:w="5667" w:type="dxa"/>
                  <w:tcBorders>
                    <w:top w:val="single" w:sz="4" w:space="0" w:color="auto"/>
                  </w:tcBorders>
                  <w:vAlign w:val="center"/>
                </w:tcPr>
                <w:p w:rsidR="00A11DD5"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Abbott Ar</w:t>
                  </w:r>
                  <w:r w:rsidR="00DB6413">
                    <w:rPr>
                      <w:rFonts w:ascii="Arial" w:hAnsi="Arial" w:cs="Arial"/>
                      <w:sz w:val="22"/>
                      <w:szCs w:val="22"/>
                    </w:rPr>
                    <w:t>chitect Tacrolimus Calibrators</w:t>
                  </w:r>
                </w:p>
                <w:p w:rsidR="00DB6413" w:rsidRPr="00F116E4" w:rsidRDefault="00DB6413" w:rsidP="00DB6413">
                  <w:pPr>
                    <w:pStyle w:val="CalVerTable"/>
                    <w:ind w:left="0" w:firstLine="0"/>
                    <w:jc w:val="both"/>
                    <w:rPr>
                      <w:rFonts w:ascii="Arial" w:hAnsi="Arial" w:cs="Arial"/>
                      <w:sz w:val="22"/>
                      <w:szCs w:val="22"/>
                    </w:rPr>
                  </w:pPr>
                  <w:r w:rsidRPr="00DB6413">
                    <w:rPr>
                      <w:rFonts w:ascii="Arial" w:hAnsi="Arial" w:cs="Arial"/>
                      <w:sz w:val="22"/>
                      <w:szCs w:val="22"/>
                    </w:rPr>
                    <w:t>Abbott A</w:t>
                  </w:r>
                  <w:r>
                    <w:rPr>
                      <w:rFonts w:ascii="Arial" w:hAnsi="Arial" w:cs="Arial"/>
                      <w:sz w:val="22"/>
                      <w:szCs w:val="22"/>
                    </w:rPr>
                    <w:t>linity</w:t>
                  </w:r>
                  <w:r w:rsidRPr="00DB6413">
                    <w:rPr>
                      <w:rFonts w:ascii="Arial" w:hAnsi="Arial" w:cs="Arial"/>
                      <w:sz w:val="22"/>
                      <w:szCs w:val="22"/>
                    </w:rPr>
                    <w:t xml:space="preserve"> Tacrolimus Calibrators</w:t>
                  </w:r>
                </w:p>
              </w:tc>
            </w:tr>
            <w:tr w:rsidR="00A11DD5" w:rsidRPr="00F116E4" w:rsidTr="003E58E6">
              <w:trPr>
                <w:gridAfter w:val="1"/>
                <w:wAfter w:w="501" w:type="dxa"/>
                <w:trHeight w:val="526"/>
              </w:trPr>
              <w:tc>
                <w:tcPr>
                  <w:tcW w:w="2900" w:type="dxa"/>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Suggested Calibration Levels</w:t>
                  </w:r>
                </w:p>
              </w:tc>
              <w:tc>
                <w:tcPr>
                  <w:tcW w:w="5667" w:type="dxa"/>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A – 0.0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B – 3.0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C – 6.0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D – 12.0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E – 20.0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F – 30.0</w:t>
                  </w:r>
                </w:p>
              </w:tc>
            </w:tr>
            <w:tr w:rsidR="00A11DD5" w:rsidRPr="00F116E4" w:rsidTr="003E58E6">
              <w:trPr>
                <w:gridAfter w:val="1"/>
                <w:wAfter w:w="501" w:type="dxa"/>
                <w:trHeight w:val="444"/>
              </w:trPr>
              <w:tc>
                <w:tcPr>
                  <w:tcW w:w="2900" w:type="dxa"/>
                </w:tcPr>
                <w:p w:rsidR="00A11DD5" w:rsidRPr="00F116E4" w:rsidRDefault="00A11DD5" w:rsidP="00B328EF">
                  <w:pPr>
                    <w:jc w:val="left"/>
                    <w:rPr>
                      <w:rFonts w:ascii="Arial" w:hAnsi="Arial" w:cs="Arial"/>
                      <w:szCs w:val="22"/>
                    </w:rPr>
                  </w:pPr>
                  <w:r w:rsidRPr="00F116E4">
                    <w:rPr>
                      <w:rFonts w:ascii="Arial" w:hAnsi="Arial" w:cs="Arial"/>
                      <w:szCs w:val="22"/>
                    </w:rPr>
                    <w:t>Verification Scheme:</w:t>
                  </w:r>
                </w:p>
              </w:tc>
              <w:tc>
                <w:tcPr>
                  <w:tcW w:w="5667" w:type="dxa"/>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n=6</w:t>
                  </w:r>
                </w:p>
              </w:tc>
            </w:tr>
            <w:tr w:rsidR="00A11DD5" w:rsidRPr="00F116E4" w:rsidTr="003E58E6">
              <w:trPr>
                <w:gridAfter w:val="1"/>
                <w:wAfter w:w="501" w:type="dxa"/>
                <w:trHeight w:val="1179"/>
              </w:trPr>
              <w:tc>
                <w:tcPr>
                  <w:tcW w:w="2900" w:type="dxa"/>
                </w:tcPr>
                <w:p w:rsidR="00A11DD5" w:rsidRPr="00F116E4" w:rsidRDefault="00A11DD5" w:rsidP="00B328EF">
                  <w:pPr>
                    <w:jc w:val="left"/>
                    <w:rPr>
                      <w:rFonts w:ascii="Arial" w:hAnsi="Arial" w:cs="Arial"/>
                      <w:szCs w:val="22"/>
                    </w:rPr>
                  </w:pPr>
                  <w:r w:rsidRPr="00F116E4">
                    <w:rPr>
                      <w:rFonts w:ascii="Arial" w:hAnsi="Arial" w:cs="Arial"/>
                      <w:szCs w:val="22"/>
                    </w:rPr>
                    <w:t>Verification Frequency:</w:t>
                  </w:r>
                </w:p>
              </w:tc>
              <w:tc>
                <w:tcPr>
                  <w:tcW w:w="5667" w:type="dxa"/>
                  <w:vAlign w:val="center"/>
                </w:tcPr>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 xml:space="preserve">For each new lot of reagent </w:t>
                  </w:r>
                </w:p>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After major maintenance or service, if indicated by quality control results</w:t>
                  </w:r>
                </w:p>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As indicated in laboratory quality control procedures</w:t>
                  </w:r>
                </w:p>
              </w:tc>
            </w:tr>
            <w:tr w:rsidR="00A11DD5" w:rsidRPr="00F116E4" w:rsidTr="003E58E6">
              <w:trPr>
                <w:gridAfter w:val="1"/>
                <w:wAfter w:w="501" w:type="dxa"/>
                <w:trHeight w:val="998"/>
              </w:trPr>
              <w:tc>
                <w:tcPr>
                  <w:tcW w:w="2900" w:type="dxa"/>
                  <w:tcBorders>
                    <w:bottom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Analytical Measuring Range Verification</w:t>
                  </w:r>
                </w:p>
              </w:tc>
              <w:tc>
                <w:tcPr>
                  <w:tcW w:w="5667" w:type="dxa"/>
                  <w:tcBorders>
                    <w:bottom w:val="single" w:sz="4" w:space="0" w:color="auto"/>
                  </w:tcBorders>
                  <w:vAlign w:val="center"/>
                </w:tcPr>
                <w:p w:rsidR="00A11DD5" w:rsidRPr="00F116E4" w:rsidRDefault="00A11DD5" w:rsidP="007C3E34">
                  <w:pPr>
                    <w:rPr>
                      <w:rFonts w:ascii="Arial" w:hAnsi="Arial" w:cs="Arial"/>
                      <w:szCs w:val="22"/>
                    </w:rPr>
                  </w:pPr>
                  <w:r w:rsidRPr="00F116E4">
                    <w:rPr>
                      <w:rFonts w:ascii="Arial" w:hAnsi="Arial" w:cs="Arial"/>
                      <w:szCs w:val="22"/>
                    </w:rPr>
                    <w:t>Verification of AMR is accomplished with each calibration.</w:t>
                  </w:r>
                </w:p>
                <w:p w:rsidR="00A11DD5" w:rsidRPr="00F116E4" w:rsidRDefault="00A11DD5" w:rsidP="007C3E34">
                  <w:pPr>
                    <w:rPr>
                      <w:rFonts w:ascii="Arial" w:hAnsi="Arial" w:cs="Arial"/>
                      <w:szCs w:val="22"/>
                    </w:rPr>
                  </w:pPr>
                  <w:r w:rsidRPr="00F116E4">
                    <w:rPr>
                      <w:rFonts w:ascii="Arial" w:hAnsi="Arial" w:cs="Arial"/>
                      <w:szCs w:val="22"/>
                    </w:rPr>
                    <w:t>Cal Verification and AMR verification are performed at least once every six (6) months.</w:t>
                  </w:r>
                </w:p>
              </w:tc>
            </w:tr>
            <w:tr w:rsidR="00A11DD5" w:rsidRPr="00F116E4" w:rsidTr="003E58E6">
              <w:trPr>
                <w:trHeight w:val="249"/>
              </w:trPr>
              <w:tc>
                <w:tcPr>
                  <w:tcW w:w="9068" w:type="dxa"/>
                  <w:gridSpan w:val="3"/>
                  <w:tcBorders>
                    <w:left w:val="nil"/>
                    <w:bottom w:val="nil"/>
                    <w:right w:val="nil"/>
                  </w:tcBorders>
                </w:tcPr>
                <w:p w:rsidR="00A11DD5" w:rsidRPr="00F116E4" w:rsidRDefault="00A11DD5" w:rsidP="00B328EF">
                  <w:pPr>
                    <w:jc w:val="left"/>
                    <w:rPr>
                      <w:rFonts w:ascii="Arial" w:hAnsi="Arial" w:cs="Arial"/>
                      <w:szCs w:val="20"/>
                    </w:rPr>
                  </w:pPr>
                </w:p>
              </w:tc>
            </w:tr>
          </w:tbl>
          <w:p w:rsidR="00A11DD5" w:rsidRPr="00F116E4" w:rsidRDefault="00A11DD5" w:rsidP="007C3E34">
            <w:pPr>
              <w:jc w:val="left"/>
              <w:rPr>
                <w:rFonts w:ascii="Arial" w:hAnsi="Arial" w:cs="Arial"/>
                <w:iCs/>
                <w:sz w:val="20"/>
              </w:rPr>
            </w:pPr>
          </w:p>
          <w:p w:rsidR="00A11DD5" w:rsidRPr="00F116E4" w:rsidRDefault="00A11DD5" w:rsidP="007C3E34">
            <w:pPr>
              <w:pStyle w:val="TableText"/>
              <w:autoSpaceDE/>
              <w:autoSpaceDN/>
              <w:rPr>
                <w:rFonts w:ascii="Arial" w:hAnsi="Arial" w:cs="Arial"/>
                <w:iCs/>
              </w:rPr>
            </w:pPr>
          </w:p>
        </w:tc>
      </w:tr>
      <w:tr w:rsidR="003E58E6" w:rsidRPr="00F116E4" w:rsidTr="003E58E6">
        <w:trPr>
          <w:trHeight w:val="9080"/>
        </w:trPr>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r>
              <w:rPr>
                <w:rFonts w:ascii="Arial" w:hAnsi="Arial" w:cs="Arial"/>
                <w:b/>
                <w:bCs/>
                <w:color w:val="0000FF"/>
                <w:sz w:val="20"/>
              </w:rPr>
              <w:lastRenderedPageBreak/>
              <w:t>Pre-Treatment Procedure</w:t>
            </w:r>
          </w:p>
        </w:tc>
        <w:tc>
          <w:tcPr>
            <w:tcW w:w="9360" w:type="dxa"/>
            <w:tcBorders>
              <w:bottom w:val="single" w:sz="6" w:space="0" w:color="auto"/>
              <w:right w:val="nil"/>
            </w:tcBorders>
          </w:tcPr>
          <w:p w:rsidR="003E58E6" w:rsidRDefault="003E58E6" w:rsidP="00B328EF">
            <w:pPr>
              <w:autoSpaceDE w:val="0"/>
              <w:autoSpaceDN w:val="0"/>
              <w:adjustRightInd w:val="0"/>
              <w:jc w:val="left"/>
              <w:rPr>
                <w:rFonts w:ascii="Arial" w:eastAsia="HelenPro-Regular" w:hAnsi="Arial" w:cs="Arial"/>
                <w:szCs w:val="20"/>
              </w:rPr>
            </w:pPr>
          </w:p>
          <w:p w:rsidR="003E58E6" w:rsidRDefault="00DB6413"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Architect and Alinity:</w:t>
            </w:r>
          </w:p>
          <w:tbl>
            <w:tblPr>
              <w:tblStyle w:val="TableGrid"/>
              <w:tblW w:w="0" w:type="auto"/>
              <w:tblLayout w:type="fixed"/>
              <w:tblLook w:val="04A0" w:firstRow="1" w:lastRow="0" w:firstColumn="1" w:lastColumn="0" w:noHBand="0" w:noVBand="1"/>
            </w:tblPr>
            <w:tblGrid>
              <w:gridCol w:w="967"/>
              <w:gridCol w:w="8162"/>
            </w:tblGrid>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Label the appropriate number of bullet tubes (using a foot label for patient samples, and a sharpie for QC/Calibrators).</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2</w:t>
                  </w:r>
                </w:p>
              </w:tc>
              <w:tc>
                <w:tcPr>
                  <w:tcW w:w="8162" w:type="dxa"/>
                </w:tcPr>
                <w:p w:rsidR="003E58E6" w:rsidRP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Invert the sample (patient, control and calibrator) 10 times </w:t>
                  </w:r>
                  <w:r>
                    <w:rPr>
                      <w:rFonts w:ascii="Arial" w:eastAsia="HelenPro-Regular" w:hAnsi="Arial" w:cs="Arial"/>
                      <w:b/>
                      <w:szCs w:val="20"/>
                    </w:rPr>
                    <w:t xml:space="preserve">minimum </w:t>
                  </w:r>
                  <w:r>
                    <w:rPr>
                      <w:rFonts w:ascii="Arial" w:eastAsia="HelenPro-Regular" w:hAnsi="Arial" w:cs="Arial"/>
                      <w:szCs w:val="20"/>
                    </w:rPr>
                    <w:t>until sample is well mixed.</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3</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Pipette </w:t>
                  </w:r>
                  <w:r w:rsidR="00DB6413">
                    <w:rPr>
                      <w:rFonts w:ascii="Arial" w:eastAsia="HelenPro-Regular" w:hAnsi="Arial" w:cs="Arial"/>
                      <w:szCs w:val="20"/>
                    </w:rPr>
                    <w:t xml:space="preserve">exactly </w:t>
                  </w:r>
                  <w:r>
                    <w:rPr>
                      <w:rFonts w:ascii="Arial" w:eastAsia="HelenPro-Regular" w:hAnsi="Arial" w:cs="Arial"/>
                      <w:szCs w:val="20"/>
                    </w:rPr>
                    <w:t>200 µL of sample into a bullet tube.</w:t>
                  </w:r>
                </w:p>
              </w:tc>
            </w:tr>
            <w:tr w:rsidR="003E58E6" w:rsidTr="003E58E6">
              <w:tc>
                <w:tcPr>
                  <w:tcW w:w="9129" w:type="dxa"/>
                  <w:gridSpan w:val="2"/>
                </w:tcPr>
                <w:p w:rsidR="003E58E6" w:rsidRPr="003E58E6" w:rsidRDefault="003E58E6" w:rsidP="003E58E6">
                  <w:pPr>
                    <w:autoSpaceDE w:val="0"/>
                    <w:autoSpaceDN w:val="0"/>
                    <w:adjustRightInd w:val="0"/>
                    <w:jc w:val="center"/>
                    <w:rPr>
                      <w:rFonts w:ascii="Arial" w:eastAsia="HelenPro-Regular" w:hAnsi="Arial" w:cs="Arial"/>
                      <w:b/>
                      <w:szCs w:val="20"/>
                    </w:rPr>
                  </w:pPr>
                  <w:r w:rsidRPr="00A1096A">
                    <w:rPr>
                      <w:rFonts w:ascii="Arial" w:eastAsia="HelenPro-Regular" w:hAnsi="Arial" w:cs="Arial"/>
                      <w:b/>
                      <w:szCs w:val="20"/>
                      <w:highlight w:val="yellow"/>
                    </w:rPr>
                    <w:t>Finish pipetting all patient/blood/QC samples before moving on</w:t>
                  </w:r>
                  <w:r w:rsidR="00A1096A">
                    <w:rPr>
                      <w:rFonts w:ascii="Arial" w:eastAsia="HelenPro-Regular" w:hAnsi="Arial" w:cs="Arial"/>
                      <w:b/>
                      <w:szCs w:val="20"/>
                      <w:highlight w:val="yellow"/>
                    </w:rPr>
                    <w:t xml:space="preserve"> </w:t>
                  </w:r>
                  <w:r w:rsidRPr="00A1096A">
                    <w:rPr>
                      <w:rFonts w:ascii="Arial" w:eastAsia="HelenPro-Regular" w:hAnsi="Arial" w:cs="Arial"/>
                      <w:b/>
                      <w:szCs w:val="20"/>
                      <w:highlight w:val="yellow"/>
                    </w:rPr>
                    <w:t>to the next step</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4</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Add </w:t>
                  </w:r>
                  <w:r w:rsidR="00DB6413">
                    <w:rPr>
                      <w:rFonts w:ascii="Arial" w:eastAsia="HelenPro-Regular" w:hAnsi="Arial" w:cs="Arial"/>
                      <w:szCs w:val="20"/>
                    </w:rPr>
                    <w:t xml:space="preserve">exactly </w:t>
                  </w:r>
                  <w:r>
                    <w:rPr>
                      <w:rFonts w:ascii="Arial" w:eastAsia="HelenPro-Regular" w:hAnsi="Arial" w:cs="Arial"/>
                      <w:szCs w:val="20"/>
                    </w:rPr>
                    <w:t xml:space="preserve">200 µL </w:t>
                  </w:r>
                  <w:r w:rsidR="009F578D">
                    <w:rPr>
                      <w:rFonts w:ascii="Arial" w:eastAsia="HelenPro-Regular" w:hAnsi="Arial" w:cs="Arial"/>
                      <w:szCs w:val="20"/>
                    </w:rPr>
                    <w:t xml:space="preserve">of </w:t>
                  </w:r>
                  <w:r w:rsidR="00D32F0A">
                    <w:rPr>
                      <w:rFonts w:ascii="Arial" w:eastAsia="HelenPro-Regular" w:hAnsi="Arial" w:cs="Arial"/>
                      <w:szCs w:val="20"/>
                    </w:rPr>
                    <w:t>Architect Tacrolimus</w:t>
                  </w:r>
                  <w:r w:rsidR="009F578D">
                    <w:rPr>
                      <w:rFonts w:ascii="Arial" w:eastAsia="HelenPro-Regular" w:hAnsi="Arial" w:cs="Arial"/>
                      <w:szCs w:val="20"/>
                    </w:rPr>
                    <w:t xml:space="preserve"> Whole Blood Precipitation Reagent.</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5</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Cap and vortex immediately for no less than 10 seconds before moving onto the next bullet tube (improper vortexing time will lead to erroneous results).</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6</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Place in centrifuge and move onto the next tube. </w:t>
                  </w:r>
                </w:p>
              </w:tc>
            </w:tr>
            <w:tr w:rsidR="009F578D" w:rsidTr="009F578D">
              <w:tc>
                <w:tcPr>
                  <w:tcW w:w="9129" w:type="dxa"/>
                  <w:gridSpan w:val="2"/>
                </w:tcPr>
                <w:p w:rsidR="009F578D" w:rsidRPr="009F578D" w:rsidRDefault="009F578D" w:rsidP="009F578D">
                  <w:pPr>
                    <w:autoSpaceDE w:val="0"/>
                    <w:autoSpaceDN w:val="0"/>
                    <w:adjustRightInd w:val="0"/>
                    <w:jc w:val="center"/>
                    <w:rPr>
                      <w:rFonts w:ascii="Arial" w:eastAsia="HelenPro-Regular" w:hAnsi="Arial" w:cs="Arial"/>
                      <w:b/>
                      <w:szCs w:val="20"/>
                    </w:rPr>
                  </w:pPr>
                  <w:r w:rsidRPr="00A1096A">
                    <w:rPr>
                      <w:rFonts w:ascii="Arial" w:eastAsia="HelenPro-Regular" w:hAnsi="Arial" w:cs="Arial"/>
                      <w:b/>
                      <w:szCs w:val="20"/>
                      <w:highlight w:val="yellow"/>
                    </w:rPr>
                    <w:t>Repeat steps 4-6 on each tube before moving on</w:t>
                  </w:r>
                  <w:r w:rsidR="00A1096A">
                    <w:rPr>
                      <w:rFonts w:ascii="Arial" w:eastAsia="HelenPro-Regular" w:hAnsi="Arial" w:cs="Arial"/>
                      <w:b/>
                      <w:szCs w:val="20"/>
                      <w:highlight w:val="yellow"/>
                    </w:rPr>
                    <w:t xml:space="preserve"> </w:t>
                  </w:r>
                  <w:r w:rsidRPr="00A1096A">
                    <w:rPr>
                      <w:rFonts w:ascii="Arial" w:eastAsia="HelenPro-Regular" w:hAnsi="Arial" w:cs="Arial"/>
                      <w:b/>
                      <w:szCs w:val="20"/>
                      <w:highlight w:val="yellow"/>
                    </w:rPr>
                    <w:t>to the next step</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7</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Centrifuge all samples (controls/calibrators/patients) for 4 minutes at 10,000g.</w:t>
                  </w:r>
                </w:p>
                <w:p w:rsidR="009F578D"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While tubes are spinning, begin to label each Transplant Pretreatment Tube with a barcoded patient label.</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8</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Remove each tube from the centrifuge and confirm the presence of a well formed pellet and clear supernatant.  If this is not present, </w:t>
                  </w:r>
                  <w:r w:rsidR="007256B6">
                    <w:rPr>
                      <w:rFonts w:ascii="Arial" w:eastAsia="HelenPro-Regular" w:hAnsi="Arial" w:cs="Arial"/>
                      <w:szCs w:val="20"/>
                    </w:rPr>
                    <w:t>you must start over from step 1.</w:t>
                  </w:r>
                </w:p>
              </w:tc>
            </w:tr>
            <w:tr w:rsidR="003E58E6" w:rsidTr="003E58E6">
              <w:tc>
                <w:tcPr>
                  <w:tcW w:w="967"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9</w:t>
                  </w:r>
                </w:p>
              </w:tc>
              <w:tc>
                <w:tcPr>
                  <w:tcW w:w="8162"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Uncap each tube and pour off the supernatant </w:t>
                  </w:r>
                  <w:r w:rsidRPr="00A1096A">
                    <w:rPr>
                      <w:rFonts w:ascii="Arial" w:eastAsia="HelenPro-Regular" w:hAnsi="Arial" w:cs="Arial"/>
                      <w:szCs w:val="20"/>
                      <w:u w:val="single"/>
                    </w:rPr>
                    <w:t>into the appropriately labeled Transplant Pretreatment Tube</w:t>
                  </w:r>
                  <w:r>
                    <w:rPr>
                      <w:rFonts w:ascii="Arial" w:eastAsia="HelenPro-Regular" w:hAnsi="Arial" w:cs="Arial"/>
                      <w:szCs w:val="20"/>
                    </w:rPr>
                    <w:t>.  Be sure not to disturb the pellet.  Replace the pink cap to the Transplant Pretreatment Tube.</w:t>
                  </w:r>
                  <w:r w:rsidR="00A1096A">
                    <w:rPr>
                      <w:rFonts w:ascii="Arial" w:eastAsia="HelenPro-Regular" w:hAnsi="Arial" w:cs="Arial"/>
                      <w:szCs w:val="20"/>
                    </w:rPr>
                    <w:t xml:space="preserve">  You may discard the tube with the pellet into biohazard trash after decanting the supernatant.</w:t>
                  </w:r>
                  <w:r>
                    <w:rPr>
                      <w:rFonts w:ascii="Arial" w:eastAsia="HelenPro-Regular" w:hAnsi="Arial" w:cs="Arial"/>
                      <w:szCs w:val="20"/>
                    </w:rPr>
                    <w:t xml:space="preserve">  </w:t>
                  </w:r>
                </w:p>
              </w:tc>
            </w:tr>
            <w:tr w:rsidR="003E58E6" w:rsidTr="003E58E6">
              <w:tc>
                <w:tcPr>
                  <w:tcW w:w="967"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10</w:t>
                  </w:r>
                </w:p>
              </w:tc>
              <w:tc>
                <w:tcPr>
                  <w:tcW w:w="8162"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Vortex the Transplant Pretreatment Tube for no less than 5 seconds, and up to 10 seconds. </w:t>
                  </w:r>
                </w:p>
              </w:tc>
            </w:tr>
            <w:tr w:rsidR="007256B6" w:rsidTr="003E58E6">
              <w:tc>
                <w:tcPr>
                  <w:tcW w:w="967" w:type="dxa"/>
                </w:tcPr>
                <w:p w:rsidR="007256B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11</w:t>
                  </w:r>
                </w:p>
              </w:tc>
              <w:tc>
                <w:tcPr>
                  <w:tcW w:w="8162" w:type="dxa"/>
                </w:tcPr>
                <w:p w:rsidR="007256B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Place in a Priority lane</w:t>
                  </w:r>
                  <w:r w:rsidR="00D32F0A">
                    <w:rPr>
                      <w:rFonts w:ascii="Arial" w:eastAsia="HelenPro-Regular" w:hAnsi="Arial" w:cs="Arial"/>
                      <w:szCs w:val="20"/>
                    </w:rPr>
                    <w:t xml:space="preserve"> (section with a blue light)</w:t>
                  </w:r>
                  <w:r>
                    <w:rPr>
                      <w:rFonts w:ascii="Arial" w:eastAsia="HelenPro-Regular" w:hAnsi="Arial" w:cs="Arial"/>
                      <w:szCs w:val="20"/>
                    </w:rPr>
                    <w:t xml:space="preserve"> on the Architect i1000SR</w:t>
                  </w:r>
                  <w:r w:rsidR="00DB6413">
                    <w:rPr>
                      <w:rFonts w:ascii="Arial" w:eastAsia="HelenPro-Regular" w:hAnsi="Arial" w:cs="Arial"/>
                      <w:szCs w:val="20"/>
                    </w:rPr>
                    <w:t xml:space="preserve"> or Alinity i</w:t>
                  </w:r>
                  <w:r>
                    <w:rPr>
                      <w:rFonts w:ascii="Arial" w:eastAsia="HelenPro-Regular" w:hAnsi="Arial" w:cs="Arial"/>
                      <w:szCs w:val="20"/>
                    </w:rPr>
                    <w:t>.</w:t>
                  </w:r>
                </w:p>
              </w:tc>
            </w:tr>
          </w:tbl>
          <w:p w:rsidR="003E58E6" w:rsidRPr="007256B6" w:rsidRDefault="003E58E6" w:rsidP="00B328EF">
            <w:pPr>
              <w:autoSpaceDE w:val="0"/>
              <w:autoSpaceDN w:val="0"/>
              <w:adjustRightInd w:val="0"/>
              <w:jc w:val="left"/>
              <w:rPr>
                <w:rFonts w:ascii="Arial" w:eastAsia="HelenPro-Regular" w:hAnsi="Arial" w:cs="Arial"/>
                <w:szCs w:val="22"/>
              </w:rPr>
            </w:pPr>
          </w:p>
          <w:p w:rsidR="007256B6" w:rsidRPr="007256B6" w:rsidRDefault="007256B6" w:rsidP="007256B6">
            <w:pPr>
              <w:autoSpaceDE w:val="0"/>
              <w:autoSpaceDN w:val="0"/>
              <w:adjustRightInd w:val="0"/>
              <w:jc w:val="center"/>
              <w:rPr>
                <w:rFonts w:ascii="Arial" w:eastAsia="HelenPro-Regular" w:hAnsi="Arial" w:cs="Arial"/>
                <w:b/>
                <w:szCs w:val="22"/>
              </w:rPr>
            </w:pPr>
            <w:r w:rsidRPr="005853E5">
              <w:rPr>
                <w:rFonts w:ascii="Arial" w:eastAsia="HelenPro-Regular" w:hAnsi="Arial" w:cs="Arial"/>
                <w:b/>
                <w:szCs w:val="22"/>
                <w:highlight w:val="yellow"/>
              </w:rPr>
              <w:t>Important Notes Regarding Pretreatment Procedure</w:t>
            </w:r>
          </w:p>
          <w:p w:rsidR="007256B6" w:rsidRPr="007256B6" w:rsidRDefault="007256B6" w:rsidP="007256B6">
            <w:pPr>
              <w:pStyle w:val="ListParagraph"/>
              <w:numPr>
                <w:ilvl w:val="0"/>
                <w:numId w:val="49"/>
              </w:numPr>
              <w:autoSpaceDE w:val="0"/>
              <w:autoSpaceDN w:val="0"/>
              <w:adjustRightInd w:val="0"/>
              <w:rPr>
                <w:rFonts w:eastAsia="HelenPro-Regular" w:cs="Arial"/>
                <w:sz w:val="22"/>
                <w:szCs w:val="22"/>
              </w:rPr>
            </w:pPr>
            <w:r w:rsidRPr="007256B6">
              <w:rPr>
                <w:rFonts w:eastAsia="HelenPro-Regular" w:cs="Arial"/>
                <w:sz w:val="22"/>
                <w:szCs w:val="22"/>
              </w:rPr>
              <w:t xml:space="preserve">All Pretreated samples (patients/controls/calibrators) must be tested within </w:t>
            </w:r>
            <w:r w:rsidRPr="007256B6">
              <w:rPr>
                <w:rFonts w:eastAsia="HelenPro-Regular" w:cs="Arial"/>
                <w:b/>
                <w:sz w:val="22"/>
                <w:szCs w:val="22"/>
              </w:rPr>
              <w:t>30 minutes</w:t>
            </w:r>
            <w:r w:rsidR="00A1096A">
              <w:rPr>
                <w:rFonts w:eastAsia="HelenPro-Regular" w:cs="Arial"/>
                <w:b/>
                <w:sz w:val="22"/>
                <w:szCs w:val="22"/>
              </w:rPr>
              <w:t xml:space="preserve"> </w:t>
            </w:r>
            <w:r w:rsidRPr="007256B6">
              <w:rPr>
                <w:rFonts w:eastAsia="HelenPro-Regular" w:cs="Arial"/>
                <w:sz w:val="22"/>
                <w:szCs w:val="22"/>
              </w:rPr>
              <w:t>of being decanted into the Transplant Pretreatment Tubes and placed onto the Architect i1000SR</w:t>
            </w:r>
            <w:r w:rsidR="00DB6413">
              <w:rPr>
                <w:rFonts w:eastAsia="HelenPro-Regular" w:cs="Arial"/>
                <w:sz w:val="22"/>
                <w:szCs w:val="22"/>
              </w:rPr>
              <w:t xml:space="preserve"> or Alinity i</w:t>
            </w:r>
            <w:r w:rsidRPr="007256B6">
              <w:rPr>
                <w:rFonts w:eastAsia="HelenPro-Regular" w:cs="Arial"/>
                <w:sz w:val="22"/>
                <w:szCs w:val="22"/>
              </w:rPr>
              <w:t>.</w:t>
            </w:r>
            <w:r w:rsidR="00DD3005">
              <w:rPr>
                <w:rFonts w:eastAsia="HelenPro-Regular" w:cs="Arial"/>
                <w:sz w:val="22"/>
                <w:szCs w:val="22"/>
              </w:rPr>
              <w:t xml:space="preserve">  Controls must be tested with each run.</w:t>
            </w:r>
          </w:p>
          <w:p w:rsidR="007256B6" w:rsidRPr="00A1096A" w:rsidRDefault="007256B6" w:rsidP="007256B6">
            <w:pPr>
              <w:pStyle w:val="ListParagraph"/>
              <w:numPr>
                <w:ilvl w:val="0"/>
                <w:numId w:val="49"/>
              </w:numPr>
              <w:autoSpaceDE w:val="0"/>
              <w:autoSpaceDN w:val="0"/>
              <w:adjustRightInd w:val="0"/>
              <w:rPr>
                <w:rFonts w:eastAsia="HelenPro-Regular" w:cs="Arial"/>
                <w:szCs w:val="20"/>
              </w:rPr>
            </w:pPr>
            <w:r w:rsidRPr="007256B6">
              <w:rPr>
                <w:rFonts w:eastAsia="HelenPro-Regular" w:cs="Arial"/>
                <w:sz w:val="22"/>
                <w:szCs w:val="22"/>
              </w:rPr>
              <w:t>All Tacrolimus samples must be priority loaded onto the analyzer</w:t>
            </w:r>
            <w:r w:rsidR="00A1096A">
              <w:rPr>
                <w:rFonts w:eastAsia="HelenPro-Regular" w:cs="Arial"/>
                <w:sz w:val="22"/>
                <w:szCs w:val="22"/>
              </w:rPr>
              <w:t xml:space="preserve"> (blue light at carrier position.)</w:t>
            </w:r>
          </w:p>
          <w:p w:rsidR="00A1096A" w:rsidRPr="007256B6" w:rsidRDefault="00A1096A" w:rsidP="007256B6">
            <w:pPr>
              <w:pStyle w:val="ListParagraph"/>
              <w:numPr>
                <w:ilvl w:val="0"/>
                <w:numId w:val="49"/>
              </w:numPr>
              <w:autoSpaceDE w:val="0"/>
              <w:autoSpaceDN w:val="0"/>
              <w:adjustRightInd w:val="0"/>
              <w:rPr>
                <w:rFonts w:eastAsia="HelenPro-Regular" w:cs="Arial"/>
                <w:szCs w:val="20"/>
              </w:rPr>
            </w:pPr>
            <w:r>
              <w:rPr>
                <w:rFonts w:eastAsia="HelenPro-Regular" w:cs="Arial"/>
                <w:sz w:val="22"/>
                <w:szCs w:val="22"/>
              </w:rPr>
              <w:t>If for any reason a specimen fails to sample on the analyzer, the entire process must be repeated at the next available run time from step 1</w:t>
            </w:r>
            <w:r w:rsidR="00DD3005">
              <w:rPr>
                <w:rFonts w:eastAsia="HelenPro-Regular" w:cs="Arial"/>
                <w:sz w:val="22"/>
                <w:szCs w:val="22"/>
              </w:rPr>
              <w:t>, including QC.</w:t>
            </w:r>
          </w:p>
        </w:tc>
      </w:tr>
      <w:tr w:rsidR="003E58E6" w:rsidRPr="00F116E4" w:rsidTr="003E58E6">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Risk and Safety</w:t>
            </w:r>
          </w:p>
        </w:tc>
        <w:tc>
          <w:tcPr>
            <w:tcW w:w="9360" w:type="dxa"/>
            <w:tcBorders>
              <w:bottom w:val="single" w:sz="6" w:space="0" w:color="auto"/>
              <w:right w:val="nil"/>
            </w:tcBorders>
          </w:tcPr>
          <w:p w:rsidR="003E58E6" w:rsidRPr="00F116E4" w:rsidRDefault="003E58E6" w:rsidP="00B328EF">
            <w:pPr>
              <w:autoSpaceDE w:val="0"/>
              <w:autoSpaceDN w:val="0"/>
              <w:adjustRightInd w:val="0"/>
              <w:jc w:val="left"/>
              <w:rPr>
                <w:rFonts w:ascii="Arial" w:eastAsia="HelenPro-Regular" w:hAnsi="Arial" w:cs="Arial"/>
                <w:szCs w:val="20"/>
              </w:rPr>
            </w:pPr>
            <w:r w:rsidRPr="00F116E4">
              <w:rPr>
                <w:rFonts w:ascii="Arial" w:eastAsia="HelenPro-Regular" w:hAnsi="Arial" w:cs="Arial"/>
                <w:szCs w:val="20"/>
              </w:rPr>
              <w:t xml:space="preserve">Tacrolimus Precipitation Reagent contains methanol, zinc sulfate and ethylene glycol.  Dispose of in the properly labeled methanol satellite container.  </w:t>
            </w:r>
          </w:p>
          <w:p w:rsidR="003E58E6" w:rsidRPr="00F116E4" w:rsidRDefault="003E58E6" w:rsidP="00B328EF">
            <w:pPr>
              <w:autoSpaceDE w:val="0"/>
              <w:autoSpaceDN w:val="0"/>
              <w:adjustRightInd w:val="0"/>
              <w:jc w:val="left"/>
              <w:rPr>
                <w:rFonts w:ascii="Arial" w:eastAsia="HelenPro-Regular" w:hAnsi="Arial" w:cs="Arial"/>
                <w:szCs w:val="20"/>
              </w:rPr>
            </w:pPr>
            <w:r w:rsidRPr="00F116E4">
              <w:rPr>
                <w:rFonts w:ascii="Arial" w:eastAsia="HelenPro-Regular" w:hAnsi="Arial" w:cs="Arial"/>
                <w:szCs w:val="20"/>
              </w:rPr>
              <w:t>Contains methylisothiazolones and</w:t>
            </w:r>
            <w:r w:rsidRPr="00F116E4">
              <w:rPr>
                <w:rFonts w:ascii="Arial" w:eastAsia="HelenPro-Regular" w:hAnsi="Arial" w:cs="Arial"/>
                <w:sz w:val="17"/>
                <w:szCs w:val="17"/>
              </w:rPr>
              <w:t xml:space="preserve"> </w:t>
            </w:r>
            <w:r w:rsidRPr="00F116E4">
              <w:rPr>
                <w:rFonts w:ascii="Arial" w:eastAsia="HelenPro-Regular" w:hAnsi="Arial" w:cs="Arial"/>
                <w:szCs w:val="20"/>
              </w:rPr>
              <w:t>sodium azide</w:t>
            </w:r>
            <w:r w:rsidRPr="00F116E4">
              <w:rPr>
                <w:rFonts w:ascii="Arial" w:eastAsia="HelenPro-Regular" w:hAnsi="Arial" w:cs="Arial"/>
                <w:sz w:val="17"/>
                <w:szCs w:val="17"/>
              </w:rPr>
              <w:t xml:space="preserve">.  </w:t>
            </w:r>
            <w:r w:rsidRPr="00F116E4">
              <w:rPr>
                <w:rFonts w:ascii="Arial" w:hAnsi="Arial" w:cs="Arial"/>
                <w:szCs w:val="20"/>
              </w:rPr>
              <w:t xml:space="preserve">Avoid contact with skin and eyes.  Causes serious eye irritation. Wear gloves. </w:t>
            </w:r>
            <w:r w:rsidRPr="00F116E4">
              <w:rPr>
                <w:rFonts w:ascii="Arial" w:eastAsia="HelenPro-Regular" w:hAnsi="Arial" w:cs="Arial"/>
                <w:szCs w:val="20"/>
              </w:rPr>
              <w:t>Contact with acids liberates very toxic gas.  Recap and dispose of in appropriate Hazardous Waste Container.</w:t>
            </w:r>
          </w:p>
          <w:p w:rsidR="003E58E6" w:rsidRPr="00F116E4" w:rsidRDefault="003E58E6" w:rsidP="007C3E34">
            <w:pPr>
              <w:jc w:val="left"/>
              <w:rPr>
                <w:rFonts w:ascii="Arial" w:hAnsi="Arial" w:cs="Arial"/>
                <w:iCs/>
                <w:sz w:val="20"/>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Quality Control</w:t>
            </w:r>
          </w:p>
        </w:tc>
        <w:tc>
          <w:tcPr>
            <w:tcW w:w="9360" w:type="dxa"/>
            <w:tcBorders>
              <w:bottom w:val="single" w:sz="6" w:space="0" w:color="auto"/>
              <w:right w:val="nil"/>
            </w:tcBorders>
          </w:tcPr>
          <w:p w:rsidR="003E58E6" w:rsidRPr="00F116E4" w:rsidRDefault="003E58E6" w:rsidP="00B328EF">
            <w:pPr>
              <w:rPr>
                <w:rFonts w:ascii="Arial" w:hAnsi="Arial" w:cs="Arial"/>
                <w:b/>
                <w:bCs/>
                <w:color w:val="5F497A"/>
                <w:szCs w:val="22"/>
              </w:rPr>
            </w:pPr>
            <w:r w:rsidRPr="00F116E4">
              <w:rPr>
                <w:rFonts w:ascii="Arial" w:hAnsi="Arial" w:cs="Arial"/>
                <w:color w:val="000000"/>
                <w:szCs w:val="22"/>
              </w:rPr>
              <w:t>BioRad Liquichek Whole Blood Immunosuppres</w:t>
            </w:r>
            <w:r w:rsidR="00D32F0A">
              <w:rPr>
                <w:rFonts w:ascii="Arial" w:hAnsi="Arial" w:cs="Arial"/>
                <w:color w:val="000000"/>
                <w:szCs w:val="22"/>
              </w:rPr>
              <w:t>s</w:t>
            </w:r>
            <w:r w:rsidRPr="00F116E4">
              <w:rPr>
                <w:rFonts w:ascii="Arial" w:hAnsi="Arial" w:cs="Arial"/>
                <w:color w:val="000000"/>
                <w:szCs w:val="22"/>
              </w:rPr>
              <w:t>ant QC</w:t>
            </w:r>
            <w:r w:rsidR="00DB6413">
              <w:rPr>
                <w:rFonts w:ascii="Arial" w:hAnsi="Arial" w:cs="Arial"/>
                <w:color w:val="000000"/>
                <w:szCs w:val="22"/>
              </w:rPr>
              <w:t xml:space="preserve"> Levels 1,2,3 (WBIS)</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 xml:space="preserve">Frequency: </w:t>
            </w:r>
            <w:r w:rsidR="00DD3005">
              <w:rPr>
                <w:rFonts w:ascii="Arial" w:hAnsi="Arial" w:cs="Arial"/>
                <w:szCs w:val="22"/>
              </w:rPr>
              <w:t>Three levels with each Tacrolimus run</w:t>
            </w:r>
            <w:r w:rsidRPr="00F116E4">
              <w:rPr>
                <w:rFonts w:ascii="Arial" w:hAnsi="Arial" w:cs="Arial"/>
                <w:szCs w:val="22"/>
              </w:rPr>
              <w:t>.</w:t>
            </w:r>
          </w:p>
          <w:p w:rsidR="003E58E6" w:rsidRPr="00F116E4" w:rsidRDefault="003E58E6" w:rsidP="00B328EF">
            <w:pPr>
              <w:autoSpaceDE w:val="0"/>
              <w:autoSpaceDN w:val="0"/>
              <w:adjustRightInd w:val="0"/>
              <w:rPr>
                <w:rFonts w:ascii="Arial" w:hAnsi="Arial" w:cs="Arial"/>
                <w:szCs w:val="22"/>
              </w:rPr>
            </w:pPr>
          </w:p>
          <w:p w:rsidR="003E58E6" w:rsidRPr="00D32F0A" w:rsidRDefault="00D32F0A" w:rsidP="00B328EF">
            <w:pPr>
              <w:autoSpaceDE w:val="0"/>
              <w:autoSpaceDN w:val="0"/>
              <w:adjustRightInd w:val="0"/>
              <w:rPr>
                <w:rStyle w:val="tgc"/>
                <w:rFonts w:ascii="Arial" w:hAnsi="Arial" w:cs="Arial"/>
                <w:b/>
                <w:bCs/>
                <w:szCs w:val="22"/>
              </w:rPr>
            </w:pPr>
            <w:r>
              <w:rPr>
                <w:rFonts w:ascii="Arial" w:hAnsi="Arial" w:cs="Arial"/>
                <w:b/>
                <w:bCs/>
                <w:szCs w:val="22"/>
              </w:rPr>
              <w:t xml:space="preserve">Stability </w:t>
            </w:r>
            <w:r w:rsidR="003E58E6" w:rsidRPr="00F116E4">
              <w:rPr>
                <w:rFonts w:ascii="Arial" w:hAnsi="Arial" w:cs="Arial"/>
                <w:b/>
                <w:bCs/>
                <w:szCs w:val="22"/>
              </w:rPr>
              <w:t xml:space="preserve">Unopened: </w:t>
            </w:r>
            <w:r w:rsidR="003E58E6" w:rsidRPr="00F116E4">
              <w:rPr>
                <w:rFonts w:ascii="Arial" w:hAnsi="Arial" w:cs="Arial"/>
                <w:bCs/>
                <w:szCs w:val="22"/>
              </w:rPr>
              <w:t xml:space="preserve">Until expiration date @ </w:t>
            </w:r>
            <w:r w:rsidR="003E58E6">
              <w:rPr>
                <w:rFonts w:ascii="Arial" w:hAnsi="Arial" w:cs="Arial"/>
                <w:szCs w:val="20"/>
              </w:rPr>
              <w:t>&lt;-20</w:t>
            </w:r>
            <w:r w:rsidR="003E58E6" w:rsidRPr="00F116E4">
              <w:rPr>
                <w:rStyle w:val="tgc"/>
                <w:rFonts w:ascii="Arial" w:hAnsi="Arial" w:cs="Arial"/>
                <w:color w:val="222222"/>
                <w:szCs w:val="20"/>
              </w:rPr>
              <w:t>°C</w:t>
            </w:r>
          </w:p>
          <w:p w:rsidR="003E58E6" w:rsidRPr="00F116E4" w:rsidRDefault="00D32F0A" w:rsidP="00B328EF">
            <w:pPr>
              <w:autoSpaceDE w:val="0"/>
              <w:autoSpaceDN w:val="0"/>
              <w:adjustRightInd w:val="0"/>
              <w:rPr>
                <w:rFonts w:ascii="Arial" w:hAnsi="Arial" w:cs="Arial"/>
                <w:b/>
                <w:szCs w:val="22"/>
              </w:rPr>
            </w:pPr>
            <w:r>
              <w:rPr>
                <w:rStyle w:val="tgc"/>
                <w:rFonts w:ascii="Arial" w:hAnsi="Arial" w:cs="Arial"/>
                <w:b/>
                <w:color w:val="222222"/>
                <w:szCs w:val="22"/>
              </w:rPr>
              <w:t xml:space="preserve">Stability </w:t>
            </w:r>
            <w:r w:rsidR="003E58E6" w:rsidRPr="00F116E4">
              <w:rPr>
                <w:rStyle w:val="tgc"/>
                <w:rFonts w:ascii="Arial" w:hAnsi="Arial" w:cs="Arial"/>
                <w:b/>
                <w:color w:val="222222"/>
                <w:szCs w:val="22"/>
              </w:rPr>
              <w:t xml:space="preserve">After Opening: </w:t>
            </w:r>
            <w:r w:rsidR="003E58E6">
              <w:rPr>
                <w:rStyle w:val="tgc"/>
                <w:rFonts w:ascii="Arial" w:hAnsi="Arial" w:cs="Arial"/>
                <w:color w:val="222222"/>
                <w:szCs w:val="22"/>
              </w:rPr>
              <w:t>10</w:t>
            </w:r>
            <w:r w:rsidR="003E58E6" w:rsidRPr="00F116E4">
              <w:rPr>
                <w:rStyle w:val="tgc"/>
                <w:rFonts w:ascii="Arial" w:hAnsi="Arial" w:cs="Arial"/>
                <w:color w:val="222222"/>
                <w:szCs w:val="22"/>
              </w:rPr>
              <w:t xml:space="preserve"> days </w:t>
            </w:r>
            <w:r w:rsidR="003E58E6" w:rsidRPr="00F116E4">
              <w:rPr>
                <w:rFonts w:ascii="Arial" w:hAnsi="Arial" w:cs="Arial"/>
                <w:bCs/>
                <w:szCs w:val="22"/>
              </w:rPr>
              <w:t>@ 2-8</w:t>
            </w:r>
            <w:r w:rsidR="003E58E6" w:rsidRPr="00F116E4">
              <w:rPr>
                <w:rStyle w:val="tgc"/>
                <w:rFonts w:ascii="Arial" w:hAnsi="Arial" w:cs="Arial"/>
                <w:color w:val="222222"/>
                <w:szCs w:val="22"/>
              </w:rPr>
              <w:t>°C.</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Preparation</w:t>
            </w:r>
            <w:r w:rsidRPr="00F116E4">
              <w:rPr>
                <w:rFonts w:ascii="Arial" w:hAnsi="Arial" w:cs="Arial"/>
                <w:szCs w:val="22"/>
              </w:rPr>
              <w:t>: Control materials are ready for use.  Thaw one bottle of each</w:t>
            </w:r>
            <w:r w:rsidR="00DB6413">
              <w:rPr>
                <w:rFonts w:ascii="Arial" w:hAnsi="Arial" w:cs="Arial"/>
                <w:szCs w:val="22"/>
              </w:rPr>
              <w:t xml:space="preserve"> level at room temperature for 3</w:t>
            </w:r>
            <w:r w:rsidRPr="00F116E4">
              <w:rPr>
                <w:rFonts w:ascii="Arial" w:hAnsi="Arial" w:cs="Arial"/>
                <w:szCs w:val="22"/>
              </w:rPr>
              <w:t>0 minutes prior to use.  Mix well by gentle inversion at least 10 times immediately prior to pipetting.</w:t>
            </w:r>
          </w:p>
          <w:p w:rsidR="003E58E6" w:rsidRPr="00F116E4" w:rsidRDefault="003E58E6" w:rsidP="00B328EF">
            <w:pPr>
              <w:rPr>
                <w:rFonts w:ascii="Arial" w:hAnsi="Arial" w:cs="Arial"/>
                <w:b/>
                <w:bCs/>
                <w:szCs w:val="22"/>
              </w:rPr>
            </w:pPr>
          </w:p>
          <w:p w:rsidR="003E58E6" w:rsidRPr="00F116E4" w:rsidRDefault="003E58E6" w:rsidP="00B328EF">
            <w:pPr>
              <w:rPr>
                <w:rFonts w:ascii="Arial" w:hAnsi="Arial" w:cs="Arial"/>
                <w:szCs w:val="22"/>
              </w:rPr>
            </w:pPr>
            <w:r w:rsidRPr="00F116E4">
              <w:rPr>
                <w:rFonts w:ascii="Arial" w:hAnsi="Arial" w:cs="Arial"/>
                <w:b/>
                <w:bCs/>
                <w:szCs w:val="22"/>
              </w:rPr>
              <w:t>Acceptable ranges:</w:t>
            </w:r>
            <w:r w:rsidRPr="00F116E4">
              <w:rPr>
                <w:rFonts w:ascii="Arial" w:hAnsi="Arial" w:cs="Arial"/>
                <w:szCs w:val="22"/>
              </w:rPr>
              <w:t xml:space="preserve"> </w:t>
            </w:r>
          </w:p>
          <w:p w:rsidR="003E58E6" w:rsidRPr="00F116E4" w:rsidRDefault="003E58E6" w:rsidP="00B328EF">
            <w:pPr>
              <w:numPr>
                <w:ilvl w:val="0"/>
                <w:numId w:val="37"/>
              </w:numPr>
              <w:autoSpaceDE w:val="0"/>
              <w:autoSpaceDN w:val="0"/>
              <w:adjustRightInd w:val="0"/>
              <w:rPr>
                <w:rFonts w:ascii="Arial" w:hAnsi="Arial" w:cs="Arial"/>
                <w:szCs w:val="22"/>
              </w:rPr>
            </w:pPr>
            <w:r w:rsidRPr="00F116E4">
              <w:rPr>
                <w:rFonts w:ascii="Arial" w:hAnsi="Arial" w:cs="Arial"/>
                <w:szCs w:val="22"/>
              </w:rPr>
              <w:t xml:space="preserve">Ranges are current in </w:t>
            </w:r>
            <w:r w:rsidR="00DB6413">
              <w:rPr>
                <w:rFonts w:ascii="Arial" w:hAnsi="Arial" w:cs="Arial"/>
                <w:szCs w:val="22"/>
              </w:rPr>
              <w:t>Unity Real Time only.</w:t>
            </w:r>
            <w:r w:rsidRPr="00F116E4">
              <w:rPr>
                <w:rFonts w:ascii="Arial" w:hAnsi="Arial" w:cs="Arial"/>
                <w:szCs w:val="22"/>
              </w:rPr>
              <w:t xml:space="preserve"> </w:t>
            </w:r>
          </w:p>
          <w:p w:rsidR="003E58E6" w:rsidRPr="00F116E4" w:rsidRDefault="003E58E6" w:rsidP="00B328EF">
            <w:pPr>
              <w:numPr>
                <w:ilvl w:val="0"/>
                <w:numId w:val="37"/>
              </w:numPr>
              <w:autoSpaceDE w:val="0"/>
              <w:autoSpaceDN w:val="0"/>
              <w:adjustRightInd w:val="0"/>
              <w:rPr>
                <w:rFonts w:ascii="Arial" w:hAnsi="Arial" w:cs="Arial"/>
                <w:color w:val="000000"/>
                <w:szCs w:val="22"/>
              </w:rPr>
            </w:pPr>
            <w:r w:rsidRPr="00F116E4">
              <w:rPr>
                <w:rFonts w:ascii="Arial" w:hAnsi="Arial" w:cs="Arial"/>
                <w:szCs w:val="22"/>
              </w:rPr>
              <w:t>If a control value is outside the confidence interval, the determination must be repeated. If the repeat determination confirms the deviation, a new reference curve should be established.</w:t>
            </w:r>
          </w:p>
          <w:p w:rsidR="003E58E6" w:rsidRPr="00DB6413" w:rsidRDefault="003E58E6" w:rsidP="00B328EF">
            <w:pPr>
              <w:numPr>
                <w:ilvl w:val="0"/>
                <w:numId w:val="37"/>
              </w:numPr>
              <w:autoSpaceDE w:val="0"/>
              <w:autoSpaceDN w:val="0"/>
              <w:adjustRightInd w:val="0"/>
              <w:rPr>
                <w:rFonts w:ascii="Arial" w:hAnsi="Arial" w:cs="Arial"/>
                <w:color w:val="000000"/>
                <w:szCs w:val="22"/>
              </w:rPr>
            </w:pPr>
            <w:r w:rsidRPr="00F116E4">
              <w:rPr>
                <w:rFonts w:ascii="Arial" w:hAnsi="Arial" w:cs="Arial"/>
                <w:szCs w:val="22"/>
              </w:rPr>
              <w:t>Do not release patient results unt</w:t>
            </w:r>
            <w:r w:rsidR="00DB6413">
              <w:rPr>
                <w:rFonts w:ascii="Arial" w:hAnsi="Arial" w:cs="Arial"/>
                <w:szCs w:val="22"/>
              </w:rPr>
              <w:t xml:space="preserve">il QC is reviewed in Unity </w:t>
            </w:r>
            <w:proofErr w:type="spellStart"/>
            <w:r w:rsidR="00DB6413">
              <w:rPr>
                <w:rFonts w:ascii="Arial" w:hAnsi="Arial" w:cs="Arial"/>
                <w:szCs w:val="22"/>
              </w:rPr>
              <w:t>RealTime</w:t>
            </w:r>
            <w:proofErr w:type="spellEnd"/>
            <w:r w:rsidR="00DB6413">
              <w:rPr>
                <w:rFonts w:ascii="Arial" w:hAnsi="Arial" w:cs="Arial"/>
                <w:szCs w:val="22"/>
              </w:rPr>
              <w:t xml:space="preserve"> and the</w:t>
            </w:r>
            <w:r w:rsidRPr="00F116E4">
              <w:rPr>
                <w:rFonts w:ascii="Arial" w:hAnsi="Arial" w:cs="Arial"/>
                <w:szCs w:val="22"/>
              </w:rPr>
              <w:t xml:space="preserve"> cause of</w:t>
            </w:r>
            <w:r w:rsidR="00DB6413">
              <w:rPr>
                <w:rFonts w:ascii="Arial" w:hAnsi="Arial" w:cs="Arial"/>
                <w:szCs w:val="22"/>
              </w:rPr>
              <w:t xml:space="preserve"> any </w:t>
            </w:r>
            <w:r w:rsidRPr="00F116E4">
              <w:rPr>
                <w:rFonts w:ascii="Arial" w:hAnsi="Arial" w:cs="Arial"/>
                <w:szCs w:val="22"/>
              </w:rPr>
              <w:t xml:space="preserve"> deviation</w:t>
            </w:r>
            <w:r w:rsidR="00DB6413">
              <w:rPr>
                <w:rFonts w:ascii="Arial" w:hAnsi="Arial" w:cs="Arial"/>
                <w:szCs w:val="22"/>
              </w:rPr>
              <w:t>s have been identified,</w:t>
            </w:r>
            <w:r w:rsidRPr="00F116E4">
              <w:rPr>
                <w:rFonts w:ascii="Arial" w:hAnsi="Arial" w:cs="Arial"/>
                <w:szCs w:val="22"/>
              </w:rPr>
              <w:t xml:space="preserve"> corrected</w:t>
            </w:r>
            <w:r w:rsidR="00DB6413">
              <w:rPr>
                <w:rFonts w:ascii="Arial" w:hAnsi="Arial" w:cs="Arial"/>
                <w:szCs w:val="22"/>
              </w:rPr>
              <w:t>, documented, and acceptable QC results are generated</w:t>
            </w:r>
          </w:p>
          <w:p w:rsidR="003E58E6" w:rsidRPr="00F116E4" w:rsidRDefault="003E58E6" w:rsidP="00B328EF">
            <w:pPr>
              <w:numPr>
                <w:ilvl w:val="0"/>
                <w:numId w:val="37"/>
              </w:numPr>
              <w:autoSpaceDE w:val="0"/>
              <w:autoSpaceDN w:val="0"/>
              <w:adjustRightInd w:val="0"/>
              <w:rPr>
                <w:rFonts w:ascii="Arial" w:hAnsi="Arial" w:cs="Arial"/>
                <w:color w:val="000000"/>
                <w:szCs w:val="22"/>
              </w:rPr>
            </w:pPr>
            <w:r w:rsidRPr="00F116E4">
              <w:rPr>
                <w:rFonts w:ascii="Arial" w:hAnsi="Arial" w:cs="Arial"/>
                <w:szCs w:val="22"/>
              </w:rPr>
              <w:t>When a new lot of assayed control is received, validate the manufacturer’s insert range by running the new lot in parallel with the current lot, and confirming that the results obtained are within the stated range</w:t>
            </w:r>
          </w:p>
          <w:p w:rsidR="003E58E6" w:rsidRPr="00F116E4" w:rsidRDefault="003E58E6" w:rsidP="00DB6413">
            <w:pPr>
              <w:jc w:val="left"/>
              <w:rPr>
                <w:rFonts w:ascii="Arial" w:hAnsi="Arial" w:cs="Arial"/>
                <w:iCs/>
                <w:sz w:val="20"/>
              </w:rPr>
            </w:pPr>
            <w:r w:rsidRPr="00F116E4">
              <w:rPr>
                <w:rFonts w:ascii="Arial" w:hAnsi="Arial" w:cs="Arial"/>
                <w:szCs w:val="22"/>
              </w:rPr>
              <w:t>When a new lot of unassayed control is received, verify new ranges by running the new lot in parallel with the current lot for 20 cons</w:t>
            </w:r>
            <w:r w:rsidR="00DB6413">
              <w:rPr>
                <w:rFonts w:ascii="Arial" w:hAnsi="Arial" w:cs="Arial"/>
                <w:szCs w:val="22"/>
              </w:rPr>
              <w:t xml:space="preserve">ecutive days whenever possible.  Ranges will be developed by comparing to peers by the Technical Specialist.  </w:t>
            </w: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Interferences</w:t>
            </w:r>
          </w:p>
          <w:p w:rsidR="003E58E6" w:rsidRPr="00F116E4" w:rsidRDefault="003E58E6"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3E58E6" w:rsidRDefault="003E58E6" w:rsidP="00C86E54">
            <w:pPr>
              <w:autoSpaceDE w:val="0"/>
              <w:autoSpaceDN w:val="0"/>
              <w:adjustRightInd w:val="0"/>
              <w:rPr>
                <w:rFonts w:ascii="Arial" w:eastAsia="HelenPro-Regular" w:hAnsi="Arial" w:cs="Arial"/>
                <w:szCs w:val="22"/>
              </w:rPr>
            </w:pPr>
          </w:p>
          <w:p w:rsidR="00372EC4" w:rsidRPr="00C86E54" w:rsidRDefault="00372EC4" w:rsidP="00372EC4">
            <w:pPr>
              <w:pStyle w:val="ListParagraph"/>
              <w:numPr>
                <w:ilvl w:val="0"/>
                <w:numId w:val="38"/>
              </w:numPr>
              <w:autoSpaceDE w:val="0"/>
              <w:autoSpaceDN w:val="0"/>
              <w:adjustRightInd w:val="0"/>
              <w:rPr>
                <w:rFonts w:eastAsia="HelenPro-Regular"/>
                <w:sz w:val="22"/>
                <w:szCs w:val="22"/>
              </w:rPr>
            </w:pPr>
            <w:r w:rsidRPr="00C86E54">
              <w:rPr>
                <w:rFonts w:eastAsia="HelenPro-Regular"/>
                <w:sz w:val="22"/>
                <w:szCs w:val="22"/>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372EC4" w:rsidRPr="00C86E54" w:rsidRDefault="00372EC4" w:rsidP="00372EC4">
            <w:pPr>
              <w:pStyle w:val="ListParagraph"/>
              <w:numPr>
                <w:ilvl w:val="0"/>
                <w:numId w:val="38"/>
              </w:numPr>
              <w:autoSpaceDE w:val="0"/>
              <w:autoSpaceDN w:val="0"/>
              <w:adjustRightInd w:val="0"/>
              <w:rPr>
                <w:rFonts w:eastAsia="HelenPro-Regular" w:cs="Arial"/>
                <w:sz w:val="22"/>
                <w:szCs w:val="22"/>
              </w:rPr>
            </w:pPr>
            <w:r w:rsidRPr="00C86E54">
              <w:rPr>
                <w:rFonts w:eastAsia="HelenPro-Regular" w:cs="Arial"/>
                <w:sz w:val="22"/>
                <w:szCs w:val="22"/>
              </w:rPr>
              <w:t xml:space="preserve">Heterophilic antibodies in human serum can react with reagent immunoglobulins, interfering with </w:t>
            </w:r>
            <w:r w:rsidRPr="00C86E54">
              <w:rPr>
                <w:rFonts w:eastAsia="HelenPro-Bold" w:cs="Arial"/>
                <w:i/>
                <w:iCs/>
                <w:sz w:val="22"/>
                <w:szCs w:val="22"/>
              </w:rPr>
              <w:t xml:space="preserve">in vitro </w:t>
            </w:r>
            <w:r w:rsidRPr="00C86E54">
              <w:rPr>
                <w:rFonts w:eastAsia="HelenPro-Regular" w:cs="Arial"/>
                <w:sz w:val="22"/>
                <w:szCs w:val="22"/>
              </w:rPr>
              <w:t>immunoassays. Patients routinely exposed to animals or to animal serum products can be prone to this interference and anomalous results may be observed. Additional information may be required for diagnosis. Immunoassays are nonspecific and cross react with metabolites.</w:t>
            </w:r>
          </w:p>
          <w:p w:rsidR="00372EC4" w:rsidRPr="00372EC4" w:rsidRDefault="00372EC4" w:rsidP="00372EC4">
            <w:pPr>
              <w:pStyle w:val="ListParagraph"/>
              <w:autoSpaceDE w:val="0"/>
              <w:autoSpaceDN w:val="0"/>
              <w:adjustRightInd w:val="0"/>
              <w:ind w:left="360"/>
              <w:rPr>
                <w:rFonts w:eastAsia="HelenPro-Regular" w:cs="Arial"/>
                <w:szCs w:val="22"/>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br w:type="page"/>
            </w: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Reference Range</w:t>
            </w:r>
          </w:p>
        </w:tc>
        <w:tc>
          <w:tcPr>
            <w:tcW w:w="9360" w:type="dxa"/>
            <w:tcBorders>
              <w:top w:val="single" w:sz="4" w:space="0" w:color="auto"/>
              <w:left w:val="nil"/>
              <w:bottom w:val="nil"/>
              <w:right w:val="nil"/>
            </w:tcBorders>
          </w:tcPr>
          <w:p w:rsidR="003E58E6" w:rsidRPr="00F116E4" w:rsidRDefault="003E58E6" w:rsidP="007C3E34">
            <w:pPr>
              <w:jc w:val="left"/>
              <w:rPr>
                <w:rFonts w:ascii="Arial" w:hAnsi="Arial" w:cs="Arial"/>
                <w:iCs/>
                <w:sz w:val="20"/>
              </w:rPr>
            </w:pPr>
          </w:p>
          <w:p w:rsidR="003E58E6" w:rsidRPr="00E5309C" w:rsidRDefault="003E58E6" w:rsidP="007C3E34">
            <w:pPr>
              <w:jc w:val="left"/>
              <w:rPr>
                <w:rFonts w:ascii="Arial" w:hAnsi="Arial" w:cs="Arial"/>
                <w:szCs w:val="22"/>
              </w:rPr>
            </w:pPr>
            <w:r w:rsidRPr="00E5309C">
              <w:rPr>
                <w:rFonts w:ascii="Arial" w:hAnsi="Arial" w:cs="Arial"/>
                <w:szCs w:val="22"/>
              </w:rPr>
              <w:t>None Specified</w:t>
            </w:r>
            <w:proofErr w:type="gramStart"/>
            <w:r w:rsidR="00DB6413">
              <w:rPr>
                <w:rFonts w:ascii="Arial" w:hAnsi="Arial" w:cs="Arial"/>
                <w:szCs w:val="22"/>
              </w:rPr>
              <w:t>-  Acceptable</w:t>
            </w:r>
            <w:proofErr w:type="gramEnd"/>
            <w:r w:rsidR="00DB6413">
              <w:rPr>
                <w:rFonts w:ascii="Arial" w:hAnsi="Arial" w:cs="Arial"/>
                <w:szCs w:val="22"/>
              </w:rPr>
              <w:t xml:space="preserve"> tacrolimus results are patient-specific.</w:t>
            </w: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Critical Values</w:t>
            </w:r>
          </w:p>
        </w:tc>
        <w:tc>
          <w:tcPr>
            <w:tcW w:w="9360" w:type="dxa"/>
            <w:tcBorders>
              <w:top w:val="single" w:sz="4" w:space="0" w:color="auto"/>
              <w:left w:val="nil"/>
              <w:bottom w:val="single" w:sz="4" w:space="0" w:color="auto"/>
              <w:right w:val="nil"/>
            </w:tcBorders>
          </w:tcPr>
          <w:p w:rsidR="003E58E6" w:rsidRPr="00F116E4" w:rsidRDefault="003E58E6" w:rsidP="007C3E34">
            <w:pPr>
              <w:jc w:val="left"/>
              <w:rPr>
                <w:rFonts w:ascii="Arial" w:hAnsi="Arial" w:cs="Arial"/>
                <w:iCs/>
                <w:kern w:val="32"/>
                <w:sz w:val="20"/>
                <w:szCs w:val="32"/>
              </w:rPr>
            </w:pPr>
          </w:p>
          <w:p w:rsidR="003E58E6" w:rsidRPr="00F116E4" w:rsidRDefault="003E58E6" w:rsidP="007C3E34">
            <w:pPr>
              <w:jc w:val="left"/>
              <w:rPr>
                <w:rFonts w:ascii="Arial" w:hAnsi="Arial" w:cs="Arial"/>
              </w:rPr>
            </w:pPr>
            <w:r w:rsidRPr="00F116E4">
              <w:rPr>
                <w:rFonts w:ascii="Arial" w:hAnsi="Arial" w:cs="Arial"/>
              </w:rPr>
              <w:t>None Specified</w:t>
            </w:r>
          </w:p>
        </w:tc>
      </w:tr>
      <w:tr w:rsidR="003E58E6" w:rsidRPr="00F116E4">
        <w:trPr>
          <w:cantSplit/>
          <w:trHeight w:val="998"/>
        </w:trPr>
        <w:tc>
          <w:tcPr>
            <w:tcW w:w="1800" w:type="dxa"/>
            <w:tcBorders>
              <w:top w:val="nil"/>
              <w:left w:val="nil"/>
              <w:bottom w:val="nil"/>
              <w:right w:val="nil"/>
            </w:tcBorders>
          </w:tcPr>
          <w:p w:rsidR="003E58E6" w:rsidRPr="00F116E4" w:rsidRDefault="003E58E6" w:rsidP="007C3E34">
            <w:pPr>
              <w:jc w:val="left"/>
              <w:rPr>
                <w:rFonts w:ascii="Arial" w:hAnsi="Arial" w:cs="Arial"/>
                <w:b/>
                <w:color w:val="0000FF"/>
                <w:sz w:val="20"/>
              </w:rPr>
            </w:pPr>
          </w:p>
          <w:p w:rsidR="003E58E6" w:rsidRPr="00F116E4" w:rsidRDefault="003E58E6" w:rsidP="007C3E34">
            <w:pPr>
              <w:jc w:val="left"/>
              <w:rPr>
                <w:rFonts w:ascii="Arial" w:hAnsi="Arial" w:cs="Arial"/>
                <w:b/>
                <w:sz w:val="20"/>
              </w:rPr>
            </w:pPr>
            <w:r w:rsidRPr="00F116E4">
              <w:rPr>
                <w:rFonts w:ascii="Arial" w:hAnsi="Arial" w:cs="Arial"/>
                <w:b/>
                <w:color w:val="0000FF"/>
                <w:sz w:val="20"/>
              </w:rPr>
              <w:t>Limitations</w:t>
            </w:r>
          </w:p>
          <w:p w:rsidR="003E58E6" w:rsidRPr="00F116E4" w:rsidRDefault="003E58E6" w:rsidP="007C3E34">
            <w:pPr>
              <w:jc w:val="left"/>
              <w:rPr>
                <w:rFonts w:ascii="Arial" w:hAnsi="Arial" w:cs="Arial"/>
                <w:b/>
                <w:sz w:val="20"/>
              </w:rPr>
            </w:pPr>
          </w:p>
        </w:tc>
        <w:tc>
          <w:tcPr>
            <w:tcW w:w="9360" w:type="dxa"/>
            <w:tcBorders>
              <w:top w:val="single" w:sz="4" w:space="0" w:color="auto"/>
              <w:left w:val="nil"/>
              <w:bottom w:val="single" w:sz="4" w:space="0" w:color="auto"/>
              <w:right w:val="nil"/>
            </w:tcBorders>
          </w:tcPr>
          <w:p w:rsidR="003E58E6" w:rsidRPr="00F116E4" w:rsidRDefault="003E58E6" w:rsidP="000E622D">
            <w:pPr>
              <w:rPr>
                <w:rFonts w:ascii="Arial" w:hAnsi="Arial" w:cs="Arial"/>
              </w:rPr>
            </w:pPr>
          </w:p>
          <w:p w:rsidR="003E58E6" w:rsidRPr="00C86E54" w:rsidRDefault="003E58E6" w:rsidP="00C86E54">
            <w:pPr>
              <w:pStyle w:val="ListParagraph"/>
              <w:numPr>
                <w:ilvl w:val="0"/>
                <w:numId w:val="38"/>
              </w:numPr>
              <w:rPr>
                <w:rFonts w:cs="Arial"/>
              </w:rPr>
            </w:pPr>
            <w:r w:rsidRPr="00C86E54">
              <w:rPr>
                <w:rFonts w:eastAsia="HelenPro-Bold"/>
                <w:bCs/>
                <w:sz w:val="22"/>
                <w:szCs w:val="22"/>
              </w:rPr>
              <w:t>Immunoassays are nonspecific and cross react with metabolites. When elimination of tacrolimus is impaired (e.g. during cholestasis), tacrolimus metabolites may accumulate. The immunoassay may overestimate the concentration of tacrolimus. In such cases, the use of a specific assay (e.g. Liquid Chromatography Mass Spectrometry/Mass Spectrometry [LC/MS/MS]) could be considered.</w:t>
            </w: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sz w:val="20"/>
              </w:rPr>
            </w:pPr>
          </w:p>
          <w:p w:rsidR="003E58E6" w:rsidRPr="00F116E4" w:rsidRDefault="003E58E6" w:rsidP="007C3E34">
            <w:pPr>
              <w:pStyle w:val="BodyText3"/>
              <w:jc w:val="left"/>
              <w:rPr>
                <w:rFonts w:ascii="Arial" w:hAnsi="Arial" w:cs="Arial"/>
                <w:sz w:val="20"/>
              </w:rPr>
            </w:pPr>
            <w:r w:rsidRPr="00F116E4">
              <w:rPr>
                <w:rFonts w:ascii="Arial" w:hAnsi="Arial" w:cs="Arial"/>
                <w:sz w:val="20"/>
              </w:rPr>
              <w:t>Dilutions</w:t>
            </w:r>
          </w:p>
          <w:p w:rsidR="003E58E6" w:rsidRPr="00F116E4" w:rsidRDefault="003E58E6" w:rsidP="007C3E34">
            <w:pPr>
              <w:jc w:val="left"/>
              <w:rPr>
                <w:rFonts w:ascii="Arial" w:hAnsi="Arial" w:cs="Arial"/>
                <w:sz w:val="20"/>
              </w:rPr>
            </w:pPr>
          </w:p>
        </w:tc>
        <w:tc>
          <w:tcPr>
            <w:tcW w:w="9360" w:type="dxa"/>
            <w:tcBorders>
              <w:top w:val="single" w:sz="4" w:space="0" w:color="auto"/>
              <w:left w:val="nil"/>
              <w:bottom w:val="single" w:sz="4" w:space="0" w:color="auto"/>
              <w:right w:val="nil"/>
            </w:tcBorders>
          </w:tcPr>
          <w:p w:rsidR="003E58E6" w:rsidRPr="00980F46" w:rsidRDefault="003E58E6" w:rsidP="007C3E34">
            <w:pPr>
              <w:pStyle w:val="Heading"/>
              <w:jc w:val="left"/>
              <w:rPr>
                <w:rFonts w:ascii="Arial" w:hAnsi="Arial"/>
                <w:b w:val="0"/>
                <w:bCs w:val="0"/>
                <w:iCs/>
                <w:sz w:val="22"/>
                <w:szCs w:val="22"/>
              </w:rPr>
            </w:pPr>
          </w:p>
          <w:p w:rsidR="003E58E6" w:rsidRPr="00980F46" w:rsidRDefault="003E58E6" w:rsidP="007C3E34">
            <w:pPr>
              <w:jc w:val="left"/>
              <w:rPr>
                <w:rFonts w:ascii="Arial" w:hAnsi="Arial" w:cs="Arial"/>
                <w:szCs w:val="22"/>
              </w:rPr>
            </w:pPr>
            <w:r w:rsidRPr="00980F46">
              <w:rPr>
                <w:rFonts w:ascii="Arial" w:hAnsi="Arial" w:cs="Arial"/>
                <w:szCs w:val="22"/>
              </w:rPr>
              <w:t>Do not dilute.</w:t>
            </w:r>
          </w:p>
          <w:p w:rsidR="003E58E6" w:rsidRPr="00980F46" w:rsidRDefault="003E58E6" w:rsidP="007C3E34">
            <w:pPr>
              <w:jc w:val="left"/>
              <w:rPr>
                <w:rFonts w:ascii="Arial" w:hAnsi="Arial" w:cs="Arial"/>
                <w:szCs w:val="22"/>
              </w:rPr>
            </w:pP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Result Reporting</w:t>
            </w:r>
          </w:p>
          <w:p w:rsidR="003E58E6" w:rsidRPr="00F116E4" w:rsidRDefault="003E58E6" w:rsidP="007C3E34">
            <w:pPr>
              <w:jc w:val="left"/>
              <w:rPr>
                <w:rFonts w:ascii="Arial" w:hAnsi="Arial" w:cs="Arial"/>
                <w:b/>
                <w:bCs/>
                <w:sz w:val="20"/>
              </w:rPr>
            </w:pPr>
          </w:p>
        </w:tc>
        <w:tc>
          <w:tcPr>
            <w:tcW w:w="9360" w:type="dxa"/>
            <w:tcBorders>
              <w:left w:val="nil"/>
              <w:right w:val="nil"/>
            </w:tcBorders>
          </w:tcPr>
          <w:p w:rsidR="003E58E6" w:rsidRPr="00980F46" w:rsidRDefault="003E58E6" w:rsidP="00980F46">
            <w:pPr>
              <w:pStyle w:val="ListParagraph"/>
              <w:numPr>
                <w:ilvl w:val="0"/>
                <w:numId w:val="48"/>
              </w:numPr>
              <w:rPr>
                <w:rFonts w:cs="Arial"/>
                <w:iCs/>
                <w:sz w:val="22"/>
                <w:szCs w:val="22"/>
              </w:rPr>
            </w:pPr>
            <w:r w:rsidRPr="00980F46">
              <w:rPr>
                <w:rFonts w:cs="Arial"/>
                <w:iCs/>
                <w:sz w:val="22"/>
                <w:szCs w:val="22"/>
              </w:rPr>
              <w:t>Results &lt;2.0 ng/mL will be reported as &lt;2.0 ng/mL</w:t>
            </w:r>
          </w:p>
          <w:p w:rsidR="003E58E6" w:rsidRDefault="003E58E6" w:rsidP="00E5309C">
            <w:pPr>
              <w:pStyle w:val="ListParagraph"/>
              <w:numPr>
                <w:ilvl w:val="0"/>
                <w:numId w:val="48"/>
              </w:numPr>
              <w:rPr>
                <w:rFonts w:cs="Arial"/>
                <w:iCs/>
                <w:sz w:val="22"/>
                <w:szCs w:val="22"/>
              </w:rPr>
            </w:pPr>
            <w:r w:rsidRPr="00980F46">
              <w:rPr>
                <w:rFonts w:cs="Arial"/>
                <w:iCs/>
                <w:sz w:val="22"/>
                <w:szCs w:val="22"/>
              </w:rPr>
              <w:t>Results &gt;30.0 ng/</w:t>
            </w:r>
            <w:r w:rsidR="008F4C6F">
              <w:rPr>
                <w:rFonts w:cs="Arial"/>
                <w:iCs/>
                <w:sz w:val="22"/>
                <w:szCs w:val="22"/>
              </w:rPr>
              <w:t>mL will be flagged and reported</w:t>
            </w:r>
            <w:r w:rsidRPr="00980F46">
              <w:rPr>
                <w:rFonts w:cs="Arial"/>
                <w:iCs/>
                <w:sz w:val="22"/>
                <w:szCs w:val="22"/>
              </w:rPr>
              <w:t xml:space="preserve"> as &gt;30.0 ng/mL.  Do not dilute.</w:t>
            </w:r>
          </w:p>
          <w:p w:rsidR="005853E5" w:rsidRDefault="005853E5" w:rsidP="00E5309C">
            <w:pPr>
              <w:pStyle w:val="ListParagraph"/>
              <w:numPr>
                <w:ilvl w:val="0"/>
                <w:numId w:val="48"/>
              </w:numPr>
              <w:rPr>
                <w:rFonts w:cs="Arial"/>
                <w:iCs/>
                <w:sz w:val="22"/>
                <w:szCs w:val="22"/>
              </w:rPr>
            </w:pPr>
            <w:r>
              <w:rPr>
                <w:rFonts w:cs="Arial"/>
                <w:iCs/>
                <w:sz w:val="22"/>
                <w:szCs w:val="22"/>
              </w:rPr>
              <w:t>Occ</w:t>
            </w:r>
            <w:r w:rsidR="00D32F0A">
              <w:rPr>
                <w:rFonts w:cs="Arial"/>
                <w:iCs/>
                <w:sz w:val="22"/>
                <w:szCs w:val="22"/>
              </w:rPr>
              <w:t>asionally, the provider may request</w:t>
            </w:r>
            <w:r>
              <w:rPr>
                <w:rFonts w:cs="Arial"/>
                <w:iCs/>
                <w:sz w:val="22"/>
                <w:szCs w:val="22"/>
              </w:rPr>
              <w:t xml:space="preserve"> results between 1.0 and 2.0 ng/mL.</w:t>
            </w:r>
            <w:r w:rsidR="00D32F0A">
              <w:rPr>
                <w:rFonts w:cs="Arial"/>
                <w:iCs/>
                <w:sz w:val="22"/>
                <w:szCs w:val="22"/>
              </w:rPr>
              <w:t xml:space="preserve">  In this case, </w:t>
            </w:r>
            <w:r>
              <w:rPr>
                <w:rFonts w:cs="Arial"/>
                <w:iCs/>
                <w:sz w:val="22"/>
                <w:szCs w:val="22"/>
              </w:rPr>
              <w:t>reorder the test with Mayo test code TACR and send for analysis by Mass Spectrometry</w:t>
            </w:r>
            <w:r w:rsidR="00D32F0A">
              <w:rPr>
                <w:rFonts w:cs="Arial"/>
                <w:iCs/>
                <w:sz w:val="22"/>
                <w:szCs w:val="22"/>
              </w:rPr>
              <w:t xml:space="preserve"> to Mayo Medical Laboratories</w:t>
            </w:r>
            <w:r>
              <w:rPr>
                <w:rFonts w:cs="Arial"/>
                <w:iCs/>
                <w:sz w:val="22"/>
                <w:szCs w:val="22"/>
              </w:rPr>
              <w:t>.</w:t>
            </w:r>
          </w:p>
          <w:p w:rsidR="005853E5" w:rsidRPr="00980F46" w:rsidRDefault="005853E5" w:rsidP="005853E5">
            <w:pPr>
              <w:pStyle w:val="ListParagraph"/>
              <w:ind w:left="360"/>
              <w:rPr>
                <w:rFonts w:cs="Arial"/>
                <w:iCs/>
                <w:sz w:val="22"/>
                <w:szCs w:val="22"/>
              </w:rPr>
            </w:pP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Specimen Storage</w:t>
            </w:r>
          </w:p>
        </w:tc>
        <w:tc>
          <w:tcPr>
            <w:tcW w:w="9360" w:type="dxa"/>
            <w:tcBorders>
              <w:left w:val="nil"/>
              <w:bottom w:val="single" w:sz="4" w:space="0" w:color="auto"/>
              <w:right w:val="nil"/>
            </w:tcBorders>
          </w:tcPr>
          <w:p w:rsidR="003E58E6" w:rsidRPr="00E5309C" w:rsidRDefault="003E58E6" w:rsidP="00D32F0A">
            <w:pPr>
              <w:jc w:val="left"/>
              <w:rPr>
                <w:rFonts w:ascii="Arial" w:hAnsi="Arial" w:cs="Arial"/>
                <w:szCs w:val="22"/>
              </w:rPr>
            </w:pPr>
            <w:r w:rsidRPr="00E5309C">
              <w:rPr>
                <w:rFonts w:ascii="Arial" w:hAnsi="Arial" w:cs="Arial"/>
                <w:szCs w:val="22"/>
              </w:rPr>
              <w:t>Pretreated samples will be discarded once the samples are resulted.</w:t>
            </w:r>
            <w:r w:rsidR="00D32F0A">
              <w:rPr>
                <w:rFonts w:ascii="Arial" w:hAnsi="Arial" w:cs="Arial"/>
                <w:szCs w:val="22"/>
              </w:rPr>
              <w:t xml:space="preserve">  </w:t>
            </w:r>
            <w:r w:rsidRPr="00E5309C">
              <w:rPr>
                <w:rFonts w:ascii="Arial" w:hAnsi="Arial" w:cs="Arial"/>
                <w:szCs w:val="22"/>
              </w:rPr>
              <w:t>To repeat tes</w:t>
            </w:r>
            <w:r w:rsidR="00D32F0A">
              <w:rPr>
                <w:rFonts w:ascii="Arial" w:hAnsi="Arial" w:cs="Arial"/>
                <w:szCs w:val="22"/>
              </w:rPr>
              <w:t>ting,</w:t>
            </w:r>
            <w:r w:rsidR="00396550">
              <w:rPr>
                <w:rFonts w:ascii="Arial" w:hAnsi="Arial" w:cs="Arial"/>
                <w:szCs w:val="22"/>
              </w:rPr>
              <w:t xml:space="preserve"> or in event quality controls fail,</w:t>
            </w:r>
            <w:r w:rsidR="00D32F0A">
              <w:rPr>
                <w:rFonts w:ascii="Arial" w:hAnsi="Arial" w:cs="Arial"/>
                <w:szCs w:val="22"/>
              </w:rPr>
              <w:t xml:space="preserve"> sample must be undergo the entire precipitation process</w:t>
            </w:r>
            <w:r w:rsidRPr="00E5309C">
              <w:rPr>
                <w:rFonts w:ascii="Arial" w:hAnsi="Arial" w:cs="Arial"/>
                <w:szCs w:val="22"/>
              </w:rPr>
              <w:t xml:space="preserve">. </w:t>
            </w:r>
            <w:r w:rsidR="00D32F0A">
              <w:rPr>
                <w:rFonts w:ascii="Arial" w:hAnsi="Arial" w:cs="Arial"/>
                <w:szCs w:val="22"/>
              </w:rPr>
              <w:t>The original w</w:t>
            </w:r>
            <w:r w:rsidRPr="00E5309C">
              <w:rPr>
                <w:rFonts w:ascii="Arial" w:hAnsi="Arial" w:cs="Arial"/>
                <w:szCs w:val="22"/>
              </w:rPr>
              <w:t>hole blood samples will be stored in the freezer for 7 days.</w:t>
            </w:r>
            <w:bookmarkStart w:id="0" w:name="_GoBack"/>
            <w:bookmarkEnd w:id="0"/>
          </w:p>
        </w:tc>
      </w:tr>
      <w:tr w:rsidR="003E58E6" w:rsidRPr="00F116E4" w:rsidTr="00D32F0A">
        <w:trPr>
          <w:cantSplit/>
          <w:trHeight w:val="1592"/>
        </w:trPr>
        <w:tc>
          <w:tcPr>
            <w:tcW w:w="1800" w:type="dxa"/>
            <w:tcBorders>
              <w:left w:val="nil"/>
            </w:tcBorders>
          </w:tcPr>
          <w:p w:rsidR="003E58E6" w:rsidRPr="00F116E4" w:rsidRDefault="003E58E6" w:rsidP="007C3E34">
            <w:pPr>
              <w:jc w:val="left"/>
              <w:rPr>
                <w:rFonts w:ascii="Arial" w:hAnsi="Arial" w:cs="Arial"/>
                <w:b/>
                <w:bCs/>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References</w:t>
            </w:r>
          </w:p>
        </w:tc>
        <w:tc>
          <w:tcPr>
            <w:tcW w:w="9360" w:type="dxa"/>
            <w:tcBorders>
              <w:top w:val="single" w:sz="4" w:space="0" w:color="auto"/>
              <w:bottom w:val="single" w:sz="4" w:space="0" w:color="auto"/>
              <w:right w:val="nil"/>
            </w:tcBorders>
          </w:tcPr>
          <w:p w:rsidR="003E58E6" w:rsidRPr="007B5716" w:rsidRDefault="003E58E6" w:rsidP="007C3E34">
            <w:pPr>
              <w:jc w:val="left"/>
              <w:rPr>
                <w:rFonts w:ascii="Arial" w:hAnsi="Arial" w:cs="Arial"/>
                <w:iCs/>
                <w:szCs w:val="22"/>
              </w:rPr>
            </w:pPr>
          </w:p>
          <w:p w:rsidR="003E58E6" w:rsidRPr="007B5716" w:rsidRDefault="003E58E6" w:rsidP="00BD2F58">
            <w:pPr>
              <w:pStyle w:val="ListParagraph"/>
              <w:numPr>
                <w:ilvl w:val="0"/>
                <w:numId w:val="46"/>
              </w:numPr>
              <w:rPr>
                <w:rFonts w:cs="Arial"/>
                <w:sz w:val="22"/>
                <w:szCs w:val="22"/>
              </w:rPr>
            </w:pPr>
            <w:r w:rsidRPr="007B5716">
              <w:rPr>
                <w:rFonts w:cs="Arial"/>
                <w:sz w:val="22"/>
                <w:szCs w:val="22"/>
              </w:rPr>
              <w:t>ABBOTT ARCHITECT Tacrolimus package insert. Abbott Laboratories Diagnostics Division Abbott Park, IL  60064. Revised September 2015.</w:t>
            </w:r>
          </w:p>
          <w:p w:rsidR="003E58E6" w:rsidRDefault="003E58E6" w:rsidP="00BD2F58">
            <w:pPr>
              <w:pStyle w:val="ListParagraph"/>
              <w:numPr>
                <w:ilvl w:val="0"/>
                <w:numId w:val="46"/>
              </w:numPr>
              <w:rPr>
                <w:rFonts w:cs="Arial"/>
                <w:sz w:val="22"/>
                <w:szCs w:val="22"/>
              </w:rPr>
            </w:pPr>
            <w:r w:rsidRPr="007B5716">
              <w:rPr>
                <w:rFonts w:cs="Arial"/>
                <w:sz w:val="22"/>
                <w:szCs w:val="22"/>
              </w:rPr>
              <w:t>ABBOTT ARCHITECT Tacrolimus Calibrator package insert. Abbott Laboratories Diagnostics Division Abbott Park, IL  60064. Revised October 2014.</w:t>
            </w:r>
          </w:p>
          <w:p w:rsidR="00DB6413" w:rsidRPr="00DB6413" w:rsidRDefault="00DB6413" w:rsidP="00DB6413">
            <w:pPr>
              <w:pStyle w:val="ListParagraph"/>
              <w:numPr>
                <w:ilvl w:val="0"/>
                <w:numId w:val="46"/>
              </w:numPr>
              <w:rPr>
                <w:rFonts w:cs="Arial"/>
                <w:sz w:val="22"/>
                <w:szCs w:val="22"/>
              </w:rPr>
            </w:pPr>
            <w:r w:rsidRPr="00DB6413">
              <w:rPr>
                <w:rFonts w:cs="Arial"/>
                <w:sz w:val="22"/>
                <w:szCs w:val="22"/>
              </w:rPr>
              <w:t xml:space="preserve">ABBOTT Alinity i Tacrolimus package insert. Abbott Laboratories Diagnostics Division Abbott Park, IL  60064. Revised </w:t>
            </w:r>
            <w:r>
              <w:rPr>
                <w:rFonts w:cs="Arial"/>
                <w:sz w:val="22"/>
                <w:szCs w:val="22"/>
              </w:rPr>
              <w:t>August 2019</w:t>
            </w:r>
          </w:p>
          <w:p w:rsidR="00DB6413" w:rsidRPr="00DB6413" w:rsidRDefault="00DB6413" w:rsidP="00DB6413">
            <w:pPr>
              <w:pStyle w:val="ListParagraph"/>
              <w:numPr>
                <w:ilvl w:val="0"/>
                <w:numId w:val="46"/>
              </w:numPr>
              <w:rPr>
                <w:rFonts w:cs="Arial"/>
                <w:sz w:val="22"/>
                <w:szCs w:val="22"/>
              </w:rPr>
            </w:pPr>
            <w:r>
              <w:rPr>
                <w:rFonts w:cs="Arial"/>
                <w:sz w:val="22"/>
                <w:szCs w:val="22"/>
              </w:rPr>
              <w:t xml:space="preserve">ABBOTT Alinity i </w:t>
            </w:r>
            <w:r w:rsidRPr="00DB6413">
              <w:rPr>
                <w:rFonts w:cs="Arial"/>
                <w:sz w:val="22"/>
                <w:szCs w:val="22"/>
              </w:rPr>
              <w:t xml:space="preserve">Tacrolimus </w:t>
            </w:r>
            <w:r>
              <w:rPr>
                <w:rFonts w:cs="Arial"/>
                <w:sz w:val="22"/>
                <w:szCs w:val="22"/>
              </w:rPr>
              <w:t xml:space="preserve">Calibrators </w:t>
            </w:r>
            <w:r w:rsidRPr="00DB6413">
              <w:rPr>
                <w:rFonts w:cs="Arial"/>
                <w:sz w:val="22"/>
                <w:szCs w:val="22"/>
              </w:rPr>
              <w:t xml:space="preserve">package insert. Abbott Laboratories Diagnostics Division Abbott Park, IL  60064. Revised </w:t>
            </w:r>
            <w:r>
              <w:rPr>
                <w:rFonts w:cs="Arial"/>
                <w:sz w:val="22"/>
                <w:szCs w:val="22"/>
              </w:rPr>
              <w:t>May 2019</w:t>
            </w:r>
          </w:p>
          <w:p w:rsidR="003E58E6" w:rsidRPr="007B5716" w:rsidRDefault="003E58E6" w:rsidP="00980F46">
            <w:pPr>
              <w:pStyle w:val="ListParagraph"/>
              <w:numPr>
                <w:ilvl w:val="0"/>
                <w:numId w:val="46"/>
              </w:numPr>
              <w:rPr>
                <w:rFonts w:cs="Arial"/>
                <w:sz w:val="22"/>
                <w:szCs w:val="22"/>
              </w:rPr>
            </w:pPr>
            <w:r w:rsidRPr="007B5716">
              <w:rPr>
                <w:sz w:val="22"/>
                <w:szCs w:val="22"/>
              </w:rPr>
              <w:t>Bio-Rad Liqui</w:t>
            </w:r>
            <w:r w:rsidR="00D32F0A">
              <w:rPr>
                <w:sz w:val="22"/>
                <w:szCs w:val="22"/>
              </w:rPr>
              <w:t>chek Whole Blood Immunosuppressa</w:t>
            </w:r>
            <w:r w:rsidRPr="007B5716">
              <w:rPr>
                <w:sz w:val="22"/>
                <w:szCs w:val="22"/>
              </w:rPr>
              <w:t>nt Control Product Insert, Bio-Rad Laboratories, Irvine, CA 92618. Revised August 2018.</w:t>
            </w:r>
          </w:p>
        </w:tc>
      </w:tr>
      <w:tr w:rsidR="007B5716" w:rsidRPr="00F116E4" w:rsidTr="008F4C6F">
        <w:trPr>
          <w:cantSplit/>
          <w:trHeight w:val="2476"/>
        </w:trPr>
        <w:tc>
          <w:tcPr>
            <w:tcW w:w="1800" w:type="dxa"/>
            <w:tcBorders>
              <w:left w:val="nil"/>
              <w:right w:val="single" w:sz="4" w:space="0" w:color="auto"/>
            </w:tcBorders>
          </w:tcPr>
          <w:p w:rsidR="007B5716" w:rsidRPr="00F116E4" w:rsidRDefault="007B5716" w:rsidP="007C3E34">
            <w:pPr>
              <w:jc w:val="left"/>
              <w:rPr>
                <w:rFonts w:ascii="Arial" w:hAnsi="Arial" w:cs="Arial"/>
                <w:b/>
                <w:bCs/>
                <w:color w:val="3366FF"/>
                <w:sz w:val="20"/>
              </w:rPr>
            </w:pPr>
            <w:r w:rsidRPr="00F116E4">
              <w:rPr>
                <w:rFonts w:ascii="Arial" w:hAnsi="Arial" w:cs="Arial"/>
                <w:b/>
                <w:bCs/>
                <w:color w:val="0000FF"/>
                <w:sz w:val="20"/>
              </w:rPr>
              <w:t>Historical Record</w:t>
            </w:r>
          </w:p>
        </w:tc>
        <w:tc>
          <w:tcPr>
            <w:tcW w:w="9360" w:type="dxa"/>
            <w:tcBorders>
              <w:top w:val="single" w:sz="4" w:space="0" w:color="auto"/>
              <w:left w:val="single" w:sz="4" w:space="0" w:color="auto"/>
              <w:right w:val="single" w:sz="4" w:space="0" w:color="auto"/>
            </w:tcBorders>
          </w:tcPr>
          <w:p w:rsidR="007B5716" w:rsidRPr="007B5716" w:rsidRDefault="007B5716" w:rsidP="007C3E34">
            <w:pPr>
              <w:jc w:val="left"/>
              <w:rPr>
                <w:rFonts w:ascii="Arial" w:hAnsi="Arial" w:cs="Arial"/>
                <w:b/>
                <w:bCs/>
                <w:szCs w:val="22"/>
              </w:rPr>
            </w:pPr>
          </w:p>
          <w:tbl>
            <w:tblPr>
              <w:tblStyle w:val="TableGrid"/>
              <w:tblW w:w="0" w:type="auto"/>
              <w:tblLayout w:type="fixed"/>
              <w:tblLook w:val="04A0" w:firstRow="1" w:lastRow="0" w:firstColumn="1" w:lastColumn="0" w:noHBand="0" w:noVBand="1"/>
            </w:tblPr>
            <w:tblGrid>
              <w:gridCol w:w="1327"/>
              <w:gridCol w:w="2520"/>
              <w:gridCol w:w="2070"/>
              <w:gridCol w:w="3212"/>
            </w:tblGrid>
            <w:tr w:rsidR="007B5716" w:rsidRPr="007B5716" w:rsidTr="007B5716">
              <w:tc>
                <w:tcPr>
                  <w:tcW w:w="1327" w:type="dxa"/>
                </w:tcPr>
                <w:p w:rsidR="007B5716" w:rsidRPr="007B5716" w:rsidRDefault="007B5716" w:rsidP="007B5716">
                  <w:pPr>
                    <w:jc w:val="center"/>
                    <w:rPr>
                      <w:rFonts w:ascii="Arial" w:hAnsi="Arial" w:cs="Arial"/>
                      <w:b/>
                      <w:bCs/>
                      <w:szCs w:val="22"/>
                    </w:rPr>
                  </w:pPr>
                  <w:r w:rsidRPr="007B5716">
                    <w:rPr>
                      <w:rFonts w:ascii="Arial" w:hAnsi="Arial" w:cs="Arial"/>
                      <w:b/>
                      <w:bCs/>
                      <w:szCs w:val="22"/>
                    </w:rPr>
                    <w:t>Version</w:t>
                  </w:r>
                </w:p>
              </w:tc>
              <w:tc>
                <w:tcPr>
                  <w:tcW w:w="2520" w:type="dxa"/>
                </w:tcPr>
                <w:p w:rsidR="007B5716" w:rsidRPr="007B5716" w:rsidRDefault="007B5716" w:rsidP="007B5716">
                  <w:pPr>
                    <w:jc w:val="center"/>
                    <w:rPr>
                      <w:rFonts w:ascii="Arial" w:hAnsi="Arial" w:cs="Arial"/>
                      <w:b/>
                      <w:bCs/>
                      <w:szCs w:val="22"/>
                    </w:rPr>
                  </w:pPr>
                  <w:r w:rsidRPr="007B5716">
                    <w:rPr>
                      <w:rFonts w:ascii="Arial" w:hAnsi="Arial" w:cs="Arial"/>
                      <w:b/>
                      <w:bCs/>
                      <w:szCs w:val="22"/>
                    </w:rPr>
                    <w:t>Written/Reviewed by:</w:t>
                  </w:r>
                </w:p>
              </w:tc>
              <w:tc>
                <w:tcPr>
                  <w:tcW w:w="2070" w:type="dxa"/>
                </w:tcPr>
                <w:p w:rsidR="007B5716" w:rsidRPr="007B5716" w:rsidRDefault="007B5716" w:rsidP="007B5716">
                  <w:pPr>
                    <w:jc w:val="center"/>
                    <w:rPr>
                      <w:rFonts w:ascii="Arial" w:hAnsi="Arial" w:cs="Arial"/>
                      <w:b/>
                      <w:bCs/>
                      <w:szCs w:val="22"/>
                    </w:rPr>
                  </w:pPr>
                  <w:r w:rsidRPr="007B5716">
                    <w:rPr>
                      <w:rFonts w:ascii="Arial" w:hAnsi="Arial" w:cs="Arial"/>
                      <w:b/>
                      <w:bCs/>
                      <w:szCs w:val="22"/>
                    </w:rPr>
                    <w:t>Effective date</w:t>
                  </w:r>
                </w:p>
              </w:tc>
              <w:tc>
                <w:tcPr>
                  <w:tcW w:w="3212" w:type="dxa"/>
                </w:tcPr>
                <w:p w:rsidR="007B5716" w:rsidRPr="007B5716" w:rsidRDefault="007B5716" w:rsidP="007B5716">
                  <w:pPr>
                    <w:jc w:val="center"/>
                    <w:rPr>
                      <w:rFonts w:ascii="Arial" w:hAnsi="Arial" w:cs="Arial"/>
                      <w:b/>
                      <w:bCs/>
                      <w:szCs w:val="22"/>
                    </w:rPr>
                  </w:pPr>
                  <w:r w:rsidRPr="007B5716">
                    <w:rPr>
                      <w:rFonts w:ascii="Arial" w:hAnsi="Arial" w:cs="Arial"/>
                      <w:b/>
                      <w:bCs/>
                      <w:szCs w:val="22"/>
                    </w:rPr>
                    <w:t>Summary of Revisions</w:t>
                  </w:r>
                </w:p>
              </w:tc>
            </w:tr>
            <w:tr w:rsidR="007B5716" w:rsidRPr="007B5716" w:rsidTr="007B5716">
              <w:tc>
                <w:tcPr>
                  <w:tcW w:w="1327" w:type="dxa"/>
                </w:tcPr>
                <w:p w:rsidR="007B5716" w:rsidRPr="007B5716" w:rsidRDefault="007B5716" w:rsidP="007C3E34">
                  <w:pPr>
                    <w:jc w:val="left"/>
                    <w:rPr>
                      <w:rFonts w:ascii="Arial" w:hAnsi="Arial" w:cs="Arial"/>
                      <w:bCs/>
                      <w:szCs w:val="22"/>
                    </w:rPr>
                  </w:pPr>
                  <w:r w:rsidRPr="007B5716">
                    <w:rPr>
                      <w:rFonts w:ascii="Arial" w:hAnsi="Arial" w:cs="Arial"/>
                      <w:bCs/>
                      <w:szCs w:val="22"/>
                    </w:rPr>
                    <w:t>1</w:t>
                  </w:r>
                </w:p>
              </w:tc>
              <w:tc>
                <w:tcPr>
                  <w:tcW w:w="2520" w:type="dxa"/>
                </w:tcPr>
                <w:p w:rsidR="007B5716" w:rsidRPr="007B5716" w:rsidRDefault="007B5716" w:rsidP="007C3E34">
                  <w:pPr>
                    <w:jc w:val="left"/>
                    <w:rPr>
                      <w:rFonts w:ascii="Arial" w:hAnsi="Arial" w:cs="Arial"/>
                      <w:bCs/>
                      <w:szCs w:val="22"/>
                    </w:rPr>
                  </w:pPr>
                  <w:r w:rsidRPr="007B5716">
                    <w:rPr>
                      <w:rFonts w:ascii="Arial" w:hAnsi="Arial" w:cs="Arial"/>
                      <w:bCs/>
                      <w:szCs w:val="22"/>
                    </w:rPr>
                    <w:t>E. Bartos, K. Brown, S. Gripentrog</w:t>
                  </w:r>
                </w:p>
              </w:tc>
              <w:tc>
                <w:tcPr>
                  <w:tcW w:w="2070" w:type="dxa"/>
                </w:tcPr>
                <w:p w:rsidR="007B5716" w:rsidRPr="007B5716" w:rsidRDefault="00D32F0A" w:rsidP="007C3E34">
                  <w:pPr>
                    <w:jc w:val="left"/>
                    <w:rPr>
                      <w:rFonts w:ascii="Arial" w:hAnsi="Arial" w:cs="Arial"/>
                      <w:bCs/>
                      <w:szCs w:val="22"/>
                    </w:rPr>
                  </w:pPr>
                  <w:r>
                    <w:rPr>
                      <w:rFonts w:ascii="Arial" w:hAnsi="Arial" w:cs="Arial"/>
                      <w:bCs/>
                      <w:szCs w:val="22"/>
                    </w:rPr>
                    <w:t>12/17/2018</w:t>
                  </w:r>
                </w:p>
              </w:tc>
              <w:tc>
                <w:tcPr>
                  <w:tcW w:w="3212" w:type="dxa"/>
                </w:tcPr>
                <w:p w:rsidR="007B5716" w:rsidRPr="007B5716" w:rsidRDefault="007B5716" w:rsidP="007C3E34">
                  <w:pPr>
                    <w:jc w:val="left"/>
                    <w:rPr>
                      <w:rFonts w:ascii="Arial" w:hAnsi="Arial" w:cs="Arial"/>
                      <w:bCs/>
                      <w:szCs w:val="22"/>
                    </w:rPr>
                  </w:pPr>
                  <w:r w:rsidRPr="007B5716">
                    <w:rPr>
                      <w:rFonts w:ascii="Arial" w:hAnsi="Arial" w:cs="Arial"/>
                      <w:bCs/>
                      <w:szCs w:val="22"/>
                    </w:rPr>
                    <w:t>New Procedure</w:t>
                  </w:r>
                </w:p>
              </w:tc>
            </w:tr>
            <w:tr w:rsidR="007B5716" w:rsidRPr="007B5716" w:rsidTr="007B5716">
              <w:tc>
                <w:tcPr>
                  <w:tcW w:w="1327" w:type="dxa"/>
                </w:tcPr>
                <w:p w:rsidR="007B5716" w:rsidRPr="007B5716" w:rsidRDefault="0080713A" w:rsidP="007C3E34">
                  <w:pPr>
                    <w:jc w:val="left"/>
                    <w:rPr>
                      <w:rFonts w:ascii="Arial" w:hAnsi="Arial" w:cs="Arial"/>
                      <w:bCs/>
                      <w:szCs w:val="22"/>
                    </w:rPr>
                  </w:pPr>
                  <w:r>
                    <w:rPr>
                      <w:rFonts w:ascii="Arial" w:hAnsi="Arial" w:cs="Arial"/>
                      <w:bCs/>
                      <w:szCs w:val="22"/>
                    </w:rPr>
                    <w:t>2</w:t>
                  </w:r>
                </w:p>
              </w:tc>
              <w:tc>
                <w:tcPr>
                  <w:tcW w:w="2520" w:type="dxa"/>
                </w:tcPr>
                <w:p w:rsidR="007B5716" w:rsidRPr="007B5716" w:rsidRDefault="00DB6413" w:rsidP="007C3E34">
                  <w:pPr>
                    <w:jc w:val="left"/>
                    <w:rPr>
                      <w:rFonts w:ascii="Arial" w:hAnsi="Arial" w:cs="Arial"/>
                      <w:bCs/>
                      <w:szCs w:val="22"/>
                    </w:rPr>
                  </w:pPr>
                  <w:r>
                    <w:rPr>
                      <w:rFonts w:ascii="Arial" w:hAnsi="Arial" w:cs="Arial"/>
                      <w:bCs/>
                      <w:szCs w:val="22"/>
                    </w:rPr>
                    <w:t>Erin Bartos</w:t>
                  </w:r>
                </w:p>
              </w:tc>
              <w:tc>
                <w:tcPr>
                  <w:tcW w:w="2070" w:type="dxa"/>
                </w:tcPr>
                <w:p w:rsidR="007B5716" w:rsidRPr="007B5716" w:rsidRDefault="00DB6413" w:rsidP="007C3E34">
                  <w:pPr>
                    <w:jc w:val="left"/>
                    <w:rPr>
                      <w:rFonts w:ascii="Arial" w:hAnsi="Arial" w:cs="Arial"/>
                      <w:bCs/>
                      <w:szCs w:val="22"/>
                    </w:rPr>
                  </w:pPr>
                  <w:r>
                    <w:rPr>
                      <w:rFonts w:ascii="Arial" w:hAnsi="Arial" w:cs="Arial"/>
                      <w:bCs/>
                      <w:szCs w:val="22"/>
                    </w:rPr>
                    <w:t>October 28, 2020</w:t>
                  </w:r>
                </w:p>
              </w:tc>
              <w:tc>
                <w:tcPr>
                  <w:tcW w:w="3212" w:type="dxa"/>
                </w:tcPr>
                <w:p w:rsidR="007B5716" w:rsidRPr="007B5716" w:rsidRDefault="00DB6413" w:rsidP="007C3E34">
                  <w:pPr>
                    <w:jc w:val="left"/>
                    <w:rPr>
                      <w:rFonts w:ascii="Arial" w:hAnsi="Arial" w:cs="Arial"/>
                      <w:bCs/>
                      <w:szCs w:val="22"/>
                    </w:rPr>
                  </w:pPr>
                  <w:r>
                    <w:rPr>
                      <w:rFonts w:ascii="Arial" w:hAnsi="Arial" w:cs="Arial"/>
                      <w:bCs/>
                      <w:szCs w:val="22"/>
                    </w:rPr>
                    <w:t>Added Alinity i</w:t>
                  </w:r>
                </w:p>
              </w:tc>
            </w:tr>
            <w:tr w:rsidR="007B5716" w:rsidRPr="007B5716" w:rsidTr="007B5716">
              <w:tc>
                <w:tcPr>
                  <w:tcW w:w="1327" w:type="dxa"/>
                </w:tcPr>
                <w:p w:rsidR="007B5716" w:rsidRPr="007B5716" w:rsidRDefault="007B5716" w:rsidP="007C3E34">
                  <w:pPr>
                    <w:jc w:val="left"/>
                    <w:rPr>
                      <w:rFonts w:ascii="Arial" w:hAnsi="Arial" w:cs="Arial"/>
                      <w:bCs/>
                      <w:szCs w:val="22"/>
                    </w:rPr>
                  </w:pPr>
                </w:p>
              </w:tc>
              <w:tc>
                <w:tcPr>
                  <w:tcW w:w="2520" w:type="dxa"/>
                </w:tcPr>
                <w:p w:rsidR="007B5716" w:rsidRPr="007B5716" w:rsidRDefault="007B5716" w:rsidP="007C3E34">
                  <w:pPr>
                    <w:jc w:val="left"/>
                    <w:rPr>
                      <w:rFonts w:ascii="Arial" w:hAnsi="Arial" w:cs="Arial"/>
                      <w:bCs/>
                      <w:szCs w:val="22"/>
                    </w:rPr>
                  </w:pPr>
                </w:p>
              </w:tc>
              <w:tc>
                <w:tcPr>
                  <w:tcW w:w="2070" w:type="dxa"/>
                </w:tcPr>
                <w:p w:rsidR="007B5716" w:rsidRPr="007B5716" w:rsidRDefault="007B5716" w:rsidP="007C3E34">
                  <w:pPr>
                    <w:jc w:val="left"/>
                    <w:rPr>
                      <w:rFonts w:ascii="Arial" w:hAnsi="Arial" w:cs="Arial"/>
                      <w:bCs/>
                      <w:szCs w:val="22"/>
                    </w:rPr>
                  </w:pPr>
                </w:p>
              </w:tc>
              <w:tc>
                <w:tcPr>
                  <w:tcW w:w="3212" w:type="dxa"/>
                </w:tcPr>
                <w:p w:rsidR="007B5716" w:rsidRPr="007B5716" w:rsidRDefault="007B5716" w:rsidP="007C3E34">
                  <w:pPr>
                    <w:jc w:val="left"/>
                    <w:rPr>
                      <w:rFonts w:ascii="Arial" w:hAnsi="Arial" w:cs="Arial"/>
                      <w:bCs/>
                      <w:szCs w:val="22"/>
                    </w:rPr>
                  </w:pPr>
                </w:p>
              </w:tc>
            </w:tr>
          </w:tbl>
          <w:p w:rsidR="007B5716" w:rsidRPr="007B5716" w:rsidRDefault="007B5716" w:rsidP="007C3E34">
            <w:pPr>
              <w:jc w:val="left"/>
              <w:rPr>
                <w:rFonts w:ascii="Arial" w:hAnsi="Arial" w:cs="Arial"/>
                <w:bCs/>
                <w:szCs w:val="22"/>
              </w:rPr>
            </w:pPr>
          </w:p>
        </w:tc>
      </w:tr>
    </w:tbl>
    <w:p w:rsidR="009C5880" w:rsidRPr="00F116E4" w:rsidRDefault="009C5880" w:rsidP="007C3E34">
      <w:pPr>
        <w:jc w:val="left"/>
        <w:rPr>
          <w:rFonts w:ascii="Arial" w:hAnsi="Arial" w:cs="Arial"/>
        </w:rPr>
      </w:pPr>
    </w:p>
    <w:sectPr w:rsidR="009C5880" w:rsidRPr="00F116E4" w:rsidSect="006477E3">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05" w:rsidRDefault="00DD3005">
      <w:r>
        <w:separator/>
      </w:r>
    </w:p>
  </w:endnote>
  <w:endnote w:type="continuationSeparator" w:id="0">
    <w:p w:rsidR="00DD3005" w:rsidRDefault="00DD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en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05" w:rsidRDefault="00DD3005">
    <w:pPr>
      <w:ind w:left="-1260" w:right="-1260"/>
      <w:rPr>
        <w:rFonts w:ascii="Arial" w:hAnsi="Arial" w:cs="Arial"/>
        <w:sz w:val="16"/>
      </w:rPr>
    </w:pPr>
    <w:r>
      <w:rPr>
        <w:rFonts w:ascii="Arial" w:hAnsi="Arial" w:cs="Arial"/>
        <w:sz w:val="16"/>
      </w:rPr>
      <w:t>Laboratory, Children’s Hospitals and Clinics of Minnesota, Minneapolis/St. Paul, MN</w:t>
    </w:r>
  </w:p>
  <w:p w:rsidR="00DD3005" w:rsidRDefault="00DD3005">
    <w:pPr>
      <w:ind w:left="-1260" w:right="-1260"/>
      <w:rPr>
        <w:rFonts w:ascii="Arial" w:hAnsi="Arial" w:cs="Arial"/>
        <w:sz w:val="16"/>
      </w:rPr>
    </w:pPr>
    <w:r>
      <w:rPr>
        <w:rFonts w:ascii="Arial" w:hAnsi="Arial" w:cs="Arial"/>
        <w:sz w:val="16"/>
      </w:rPr>
      <w:t xml:space="preserve">Page </w:t>
    </w:r>
    <w:r w:rsidR="00D42203">
      <w:rPr>
        <w:rFonts w:ascii="Arial" w:hAnsi="Arial" w:cs="Arial"/>
        <w:sz w:val="16"/>
      </w:rPr>
      <w:fldChar w:fldCharType="begin"/>
    </w:r>
    <w:r>
      <w:rPr>
        <w:rFonts w:ascii="Arial" w:hAnsi="Arial" w:cs="Arial"/>
        <w:sz w:val="16"/>
      </w:rPr>
      <w:instrText xml:space="preserve"> PAGE </w:instrText>
    </w:r>
    <w:r w:rsidR="00D42203">
      <w:rPr>
        <w:rFonts w:ascii="Arial" w:hAnsi="Arial" w:cs="Arial"/>
        <w:sz w:val="16"/>
      </w:rPr>
      <w:fldChar w:fldCharType="separate"/>
    </w:r>
    <w:r w:rsidR="00396550">
      <w:rPr>
        <w:rFonts w:ascii="Arial" w:hAnsi="Arial" w:cs="Arial"/>
        <w:noProof/>
        <w:sz w:val="16"/>
      </w:rPr>
      <w:t>7</w:t>
    </w:r>
    <w:r w:rsidR="00D42203">
      <w:rPr>
        <w:rFonts w:ascii="Arial" w:hAnsi="Arial" w:cs="Arial"/>
        <w:sz w:val="16"/>
      </w:rPr>
      <w:fldChar w:fldCharType="end"/>
    </w:r>
    <w:r>
      <w:rPr>
        <w:rFonts w:ascii="Arial" w:hAnsi="Arial" w:cs="Arial"/>
        <w:sz w:val="16"/>
      </w:rPr>
      <w:t xml:space="preserve"> of </w:t>
    </w:r>
    <w:r w:rsidR="00D42203">
      <w:rPr>
        <w:rFonts w:ascii="Arial" w:hAnsi="Arial" w:cs="Arial"/>
        <w:sz w:val="16"/>
      </w:rPr>
      <w:fldChar w:fldCharType="begin"/>
    </w:r>
    <w:r>
      <w:rPr>
        <w:rFonts w:ascii="Arial" w:hAnsi="Arial" w:cs="Arial"/>
        <w:sz w:val="16"/>
      </w:rPr>
      <w:instrText xml:space="preserve"> NUMPAGES </w:instrText>
    </w:r>
    <w:r w:rsidR="00D42203">
      <w:rPr>
        <w:rFonts w:ascii="Arial" w:hAnsi="Arial" w:cs="Arial"/>
        <w:sz w:val="16"/>
      </w:rPr>
      <w:fldChar w:fldCharType="separate"/>
    </w:r>
    <w:r w:rsidR="00396550">
      <w:rPr>
        <w:rFonts w:ascii="Arial" w:hAnsi="Arial" w:cs="Arial"/>
        <w:noProof/>
        <w:sz w:val="16"/>
      </w:rPr>
      <w:t>7</w:t>
    </w:r>
    <w:r w:rsidR="00D4220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05" w:rsidRDefault="00DD3005">
      <w:r>
        <w:separator/>
      </w:r>
    </w:p>
  </w:footnote>
  <w:footnote w:type="continuationSeparator" w:id="0">
    <w:p w:rsidR="00DD3005" w:rsidRDefault="00DD3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05" w:rsidRDefault="00DD3005" w:rsidP="00CD44C9">
    <w:pPr>
      <w:tabs>
        <w:tab w:val="left" w:pos="5790"/>
      </w:tabs>
      <w:ind w:left="-1260" w:right="-1260"/>
      <w:rPr>
        <w:snapToGrid w:val="0"/>
        <w:color w:val="000000"/>
        <w:w w:val="0"/>
        <w:sz w:val="0"/>
        <w:szCs w:val="0"/>
        <w:u w:color="000000"/>
        <w:bdr w:val="none" w:sz="0" w:space="0" w:color="000000"/>
        <w:shd w:val="clear" w:color="000000" w:fill="000000"/>
      </w:rPr>
    </w:pPr>
    <w:r>
      <w:rPr>
        <w:noProof/>
      </w:rPr>
      <w:drawing>
        <wp:anchor distT="0" distB="0" distL="114300" distR="114300" simplePos="0" relativeHeight="251660288" behindDoc="0" locked="0" layoutInCell="1" allowOverlap="1">
          <wp:simplePos x="0" y="0"/>
          <wp:positionH relativeFrom="column">
            <wp:posOffset>5076190</wp:posOffset>
          </wp:positionH>
          <wp:positionV relativeFrom="paragraph">
            <wp:posOffset>-149225</wp:posOffset>
          </wp:positionV>
          <wp:extent cx="1264285" cy="407035"/>
          <wp:effectExtent l="1905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srcRect/>
                  <a:stretch>
                    <a:fillRect/>
                  </a:stretch>
                </pic:blipFill>
                <pic:spPr bwMode="auto">
                  <a:xfrm>
                    <a:off x="0" y="0"/>
                    <a:ext cx="1264285" cy="407035"/>
                  </a:xfrm>
                  <a:prstGeom prst="rect">
                    <a:avLst/>
                  </a:prstGeom>
                  <a:noFill/>
                </pic:spPr>
              </pic:pic>
            </a:graphicData>
          </a:graphic>
        </wp:anchor>
      </w:drawing>
    </w:r>
    <w:r>
      <w:rPr>
        <w:rFonts w:ascii="Arial" w:hAnsi="Arial" w:cs="Arial"/>
        <w:sz w:val="18"/>
      </w:rPr>
      <w:t>CH 6.781 Tacrolimus</w:t>
    </w:r>
    <w:r>
      <w:rPr>
        <w:rFonts w:ascii="Arial" w:hAnsi="Arial" w:cs="Arial"/>
        <w:sz w:val="18"/>
      </w:rPr>
      <w:tab/>
    </w:r>
  </w:p>
  <w:p w:rsidR="00DD3005" w:rsidRDefault="00DB6413" w:rsidP="00CD44C9">
    <w:pPr>
      <w:tabs>
        <w:tab w:val="left" w:pos="5790"/>
      </w:tabs>
      <w:ind w:left="-1260" w:right="-1260"/>
      <w:rPr>
        <w:rFonts w:ascii="Arial" w:hAnsi="Arial" w:cs="Arial"/>
        <w:sz w:val="18"/>
      </w:rPr>
    </w:pPr>
    <w:r>
      <w:rPr>
        <w:rFonts w:ascii="Arial" w:hAnsi="Arial" w:cs="Arial"/>
        <w:sz w:val="18"/>
      </w:rPr>
      <w:t>Version 2</w:t>
    </w:r>
    <w:r w:rsidR="00DD3005">
      <w:rPr>
        <w:rFonts w:ascii="Arial" w:hAnsi="Arial" w:cs="Arial"/>
        <w:sz w:val="18"/>
      </w:rPr>
      <w:tab/>
    </w:r>
  </w:p>
  <w:p w:rsidR="00DD3005" w:rsidRDefault="00D32F0A">
    <w:pPr>
      <w:ind w:left="-1260" w:right="-1260"/>
      <w:rPr>
        <w:rFonts w:ascii="Arial" w:hAnsi="Arial" w:cs="Arial"/>
        <w:sz w:val="18"/>
      </w:rPr>
    </w:pPr>
    <w:r>
      <w:rPr>
        <w:rFonts w:ascii="Arial" w:hAnsi="Arial" w:cs="Arial"/>
        <w:sz w:val="18"/>
      </w:rPr>
      <w:t xml:space="preserve">Effective Date: </w:t>
    </w:r>
    <w:r w:rsidR="00DB6413">
      <w:rPr>
        <w:rFonts w:ascii="Arial" w:hAnsi="Arial" w:cs="Arial"/>
        <w:sz w:val="18"/>
      </w:rPr>
      <w:t>October 28, 2020</w:t>
    </w:r>
  </w:p>
  <w:p w:rsidR="00DD3005" w:rsidRDefault="00DD3005">
    <w:pPr>
      <w:pStyle w:val="Header"/>
      <w:tabs>
        <w:tab w:val="clear" w:pos="8640"/>
        <w:tab w:val="right" w:pos="9900"/>
      </w:tabs>
      <w:ind w:left="-1260"/>
      <w:jc w:val="center"/>
      <w:rPr>
        <w:b/>
        <w:sz w:val="2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565DD"/>
    <w:multiLevelType w:val="hybridMultilevel"/>
    <w:tmpl w:val="2F1E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D5AB2"/>
    <w:multiLevelType w:val="hybridMultilevel"/>
    <w:tmpl w:val="2F1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82112"/>
    <w:multiLevelType w:val="hybridMultilevel"/>
    <w:tmpl w:val="D4323A5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549C2"/>
    <w:multiLevelType w:val="hybridMultilevel"/>
    <w:tmpl w:val="B9EADC3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D962D6"/>
    <w:multiLevelType w:val="hybridMultilevel"/>
    <w:tmpl w:val="057C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00406"/>
    <w:multiLevelType w:val="hybridMultilevel"/>
    <w:tmpl w:val="EFAA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11FF7"/>
    <w:multiLevelType w:val="hybridMultilevel"/>
    <w:tmpl w:val="1328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229B8"/>
    <w:multiLevelType w:val="hybridMultilevel"/>
    <w:tmpl w:val="507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54AF1"/>
    <w:multiLevelType w:val="hybridMultilevel"/>
    <w:tmpl w:val="A89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95696"/>
    <w:multiLevelType w:val="hybridMultilevel"/>
    <w:tmpl w:val="EA3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13872"/>
    <w:multiLevelType w:val="hybridMultilevel"/>
    <w:tmpl w:val="57F48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F910AB"/>
    <w:multiLevelType w:val="hybridMultilevel"/>
    <w:tmpl w:val="50A09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317EAD"/>
    <w:multiLevelType w:val="hybridMultilevel"/>
    <w:tmpl w:val="C5EC8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EC79EF"/>
    <w:multiLevelType w:val="hybridMultilevel"/>
    <w:tmpl w:val="450C4F7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D7A48"/>
    <w:multiLevelType w:val="hybridMultilevel"/>
    <w:tmpl w:val="01D4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8358B6"/>
    <w:multiLevelType w:val="hybridMultilevel"/>
    <w:tmpl w:val="13586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CAE27D0"/>
    <w:multiLevelType w:val="hybridMultilevel"/>
    <w:tmpl w:val="2506A464"/>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D034DE5"/>
    <w:multiLevelType w:val="hybridMultilevel"/>
    <w:tmpl w:val="2300F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C24961"/>
    <w:multiLevelType w:val="hybridMultilevel"/>
    <w:tmpl w:val="C36C8454"/>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697851"/>
    <w:multiLevelType w:val="hybridMultilevel"/>
    <w:tmpl w:val="15326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EB1BD2"/>
    <w:multiLevelType w:val="hybridMultilevel"/>
    <w:tmpl w:val="FF46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A251A4"/>
    <w:multiLevelType w:val="hybridMultilevel"/>
    <w:tmpl w:val="A2ECD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F7277F"/>
    <w:multiLevelType w:val="hybridMultilevel"/>
    <w:tmpl w:val="EFB0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6DE246C0"/>
    <w:multiLevelType w:val="hybridMultilevel"/>
    <w:tmpl w:val="2506A464"/>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E486CA3"/>
    <w:multiLevelType w:val="hybridMultilevel"/>
    <w:tmpl w:val="F244C8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32"/>
  </w:num>
  <w:num w:numId="3">
    <w:abstractNumId w:val="46"/>
  </w:num>
  <w:num w:numId="4">
    <w:abstractNumId w:val="3"/>
  </w:num>
  <w:num w:numId="5">
    <w:abstractNumId w:val="0"/>
  </w:num>
  <w:num w:numId="6">
    <w:abstractNumId w:val="38"/>
  </w:num>
  <w:num w:numId="7">
    <w:abstractNumId w:val="12"/>
  </w:num>
  <w:num w:numId="8">
    <w:abstractNumId w:val="26"/>
  </w:num>
  <w:num w:numId="9">
    <w:abstractNumId w:val="40"/>
  </w:num>
  <w:num w:numId="10">
    <w:abstractNumId w:val="24"/>
  </w:num>
  <w:num w:numId="11">
    <w:abstractNumId w:val="2"/>
  </w:num>
  <w:num w:numId="12">
    <w:abstractNumId w:val="25"/>
  </w:num>
  <w:num w:numId="13">
    <w:abstractNumId w:val="35"/>
  </w:num>
  <w:num w:numId="14">
    <w:abstractNumId w:val="7"/>
  </w:num>
  <w:num w:numId="15">
    <w:abstractNumId w:val="6"/>
  </w:num>
  <w:num w:numId="16">
    <w:abstractNumId w:val="8"/>
  </w:num>
  <w:num w:numId="17">
    <w:abstractNumId w:val="28"/>
  </w:num>
  <w:num w:numId="18">
    <w:abstractNumId w:val="43"/>
  </w:num>
  <w:num w:numId="19">
    <w:abstractNumId w:val="1"/>
  </w:num>
  <w:num w:numId="20">
    <w:abstractNumId w:val="9"/>
  </w:num>
  <w:num w:numId="21">
    <w:abstractNumId w:val="39"/>
  </w:num>
  <w:num w:numId="22">
    <w:abstractNumId w:val="44"/>
  </w:num>
  <w:num w:numId="23">
    <w:abstractNumId w:val="48"/>
  </w:num>
  <w:num w:numId="24">
    <w:abstractNumId w:val="33"/>
  </w:num>
  <w:num w:numId="25">
    <w:abstractNumId w:val="10"/>
  </w:num>
  <w:num w:numId="26">
    <w:abstractNumId w:val="34"/>
  </w:num>
  <w:num w:numId="27">
    <w:abstractNumId w:val="22"/>
  </w:num>
  <w:num w:numId="28">
    <w:abstractNumId w:val="11"/>
  </w:num>
  <w:num w:numId="29">
    <w:abstractNumId w:val="37"/>
  </w:num>
  <w:num w:numId="30">
    <w:abstractNumId w:val="29"/>
  </w:num>
  <w:num w:numId="31">
    <w:abstractNumId w:val="20"/>
  </w:num>
  <w:num w:numId="32">
    <w:abstractNumId w:val="23"/>
  </w:num>
  <w:num w:numId="33">
    <w:abstractNumId w:val="49"/>
  </w:num>
  <w:num w:numId="34">
    <w:abstractNumId w:val="42"/>
  </w:num>
  <w:num w:numId="35">
    <w:abstractNumId w:val="31"/>
  </w:num>
  <w:num w:numId="36">
    <w:abstractNumId w:val="47"/>
  </w:num>
  <w:num w:numId="37">
    <w:abstractNumId w:val="21"/>
  </w:num>
  <w:num w:numId="38">
    <w:abstractNumId w:val="19"/>
  </w:num>
  <w:num w:numId="39">
    <w:abstractNumId w:val="13"/>
  </w:num>
  <w:num w:numId="40">
    <w:abstractNumId w:val="16"/>
  </w:num>
  <w:num w:numId="41">
    <w:abstractNumId w:val="15"/>
  </w:num>
  <w:num w:numId="42">
    <w:abstractNumId w:val="14"/>
  </w:num>
  <w:num w:numId="43">
    <w:abstractNumId w:val="5"/>
  </w:num>
  <w:num w:numId="44">
    <w:abstractNumId w:val="27"/>
  </w:num>
  <w:num w:numId="45">
    <w:abstractNumId w:val="17"/>
  </w:num>
  <w:num w:numId="46">
    <w:abstractNumId w:val="30"/>
  </w:num>
  <w:num w:numId="47">
    <w:abstractNumId w:val="45"/>
  </w:num>
  <w:num w:numId="48">
    <w:abstractNumId w:val="4"/>
  </w:num>
  <w:num w:numId="49">
    <w:abstractNumId w:val="1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80"/>
    <w:rsid w:val="000042BE"/>
    <w:rsid w:val="00024D01"/>
    <w:rsid w:val="0003397D"/>
    <w:rsid w:val="00085551"/>
    <w:rsid w:val="000D14E5"/>
    <w:rsid w:val="000E04CF"/>
    <w:rsid w:val="000E622D"/>
    <w:rsid w:val="001675E1"/>
    <w:rsid w:val="001C0229"/>
    <w:rsid w:val="001F1DBE"/>
    <w:rsid w:val="00263A5C"/>
    <w:rsid w:val="00372EC4"/>
    <w:rsid w:val="00396550"/>
    <w:rsid w:val="003E58E6"/>
    <w:rsid w:val="0045000E"/>
    <w:rsid w:val="004A10CF"/>
    <w:rsid w:val="00501F4E"/>
    <w:rsid w:val="005145C8"/>
    <w:rsid w:val="005853E5"/>
    <w:rsid w:val="005D15C6"/>
    <w:rsid w:val="005D59CF"/>
    <w:rsid w:val="006054F6"/>
    <w:rsid w:val="006477E3"/>
    <w:rsid w:val="006A620A"/>
    <w:rsid w:val="0070528C"/>
    <w:rsid w:val="007256B6"/>
    <w:rsid w:val="007B5716"/>
    <w:rsid w:val="007B746C"/>
    <w:rsid w:val="007C3E34"/>
    <w:rsid w:val="007F2BE8"/>
    <w:rsid w:val="0080713A"/>
    <w:rsid w:val="008C716A"/>
    <w:rsid w:val="008E0204"/>
    <w:rsid w:val="008F4C6F"/>
    <w:rsid w:val="008F7CC3"/>
    <w:rsid w:val="00910450"/>
    <w:rsid w:val="00980F46"/>
    <w:rsid w:val="009C5880"/>
    <w:rsid w:val="009E0A07"/>
    <w:rsid w:val="009F578D"/>
    <w:rsid w:val="009F71C9"/>
    <w:rsid w:val="00A1096A"/>
    <w:rsid w:val="00A11DD5"/>
    <w:rsid w:val="00A94BFC"/>
    <w:rsid w:val="00AD4BE3"/>
    <w:rsid w:val="00B328EF"/>
    <w:rsid w:val="00BD2F58"/>
    <w:rsid w:val="00C31017"/>
    <w:rsid w:val="00C379C1"/>
    <w:rsid w:val="00C67320"/>
    <w:rsid w:val="00C7061A"/>
    <w:rsid w:val="00C86E54"/>
    <w:rsid w:val="00CD44C9"/>
    <w:rsid w:val="00D32F0A"/>
    <w:rsid w:val="00D42203"/>
    <w:rsid w:val="00D527BF"/>
    <w:rsid w:val="00D85A11"/>
    <w:rsid w:val="00D936FB"/>
    <w:rsid w:val="00DB6413"/>
    <w:rsid w:val="00DD3005"/>
    <w:rsid w:val="00DD6B61"/>
    <w:rsid w:val="00DF4313"/>
    <w:rsid w:val="00E5309C"/>
    <w:rsid w:val="00E86557"/>
    <w:rsid w:val="00F0162E"/>
    <w:rsid w:val="00F116E4"/>
    <w:rsid w:val="00F8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AC103A9-2202-4B38-8DDC-106A47E8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E3"/>
    <w:pPr>
      <w:jc w:val="both"/>
    </w:pPr>
    <w:rPr>
      <w:sz w:val="22"/>
      <w:szCs w:val="24"/>
    </w:rPr>
  </w:style>
  <w:style w:type="paragraph" w:styleId="Heading1">
    <w:name w:val="heading 1"/>
    <w:basedOn w:val="Normal"/>
    <w:next w:val="Normal"/>
    <w:qFormat/>
    <w:rsid w:val="006477E3"/>
    <w:pPr>
      <w:keepNext/>
      <w:numPr>
        <w:numId w:val="5"/>
      </w:numPr>
      <w:outlineLvl w:val="0"/>
    </w:pPr>
    <w:rPr>
      <w:rFonts w:cs="Arial"/>
      <w:b/>
      <w:bCs/>
      <w:kern w:val="32"/>
      <w:sz w:val="26"/>
      <w:szCs w:val="32"/>
    </w:rPr>
  </w:style>
  <w:style w:type="paragraph" w:styleId="Heading2">
    <w:name w:val="heading 2"/>
    <w:basedOn w:val="Normal"/>
    <w:next w:val="Normal"/>
    <w:qFormat/>
    <w:rsid w:val="006477E3"/>
    <w:pPr>
      <w:keepNext/>
      <w:numPr>
        <w:ilvl w:val="1"/>
        <w:numId w:val="5"/>
      </w:numPr>
      <w:outlineLvl w:val="1"/>
    </w:pPr>
    <w:rPr>
      <w:rFonts w:cs="Arial"/>
      <w:b/>
      <w:bCs/>
      <w:iCs/>
      <w:sz w:val="24"/>
      <w:szCs w:val="28"/>
    </w:rPr>
  </w:style>
  <w:style w:type="paragraph" w:styleId="Heading3">
    <w:name w:val="heading 3"/>
    <w:basedOn w:val="Normal"/>
    <w:next w:val="Normal"/>
    <w:qFormat/>
    <w:rsid w:val="006477E3"/>
    <w:pPr>
      <w:keepNext/>
      <w:numPr>
        <w:ilvl w:val="2"/>
        <w:numId w:val="5"/>
      </w:numPr>
      <w:outlineLvl w:val="2"/>
    </w:pPr>
    <w:rPr>
      <w:rFonts w:cs="Arial"/>
      <w:b/>
      <w:bCs/>
      <w:szCs w:val="26"/>
    </w:rPr>
  </w:style>
  <w:style w:type="paragraph" w:styleId="Heading4">
    <w:name w:val="heading 4"/>
    <w:aliases w:val="Map Title"/>
    <w:basedOn w:val="Normal"/>
    <w:next w:val="Normal"/>
    <w:qFormat/>
    <w:rsid w:val="006477E3"/>
    <w:pPr>
      <w:keepNext/>
      <w:numPr>
        <w:ilvl w:val="3"/>
        <w:numId w:val="5"/>
      </w:numPr>
      <w:outlineLvl w:val="3"/>
    </w:pPr>
    <w:rPr>
      <w:bCs/>
      <w:szCs w:val="28"/>
    </w:rPr>
  </w:style>
  <w:style w:type="paragraph" w:styleId="Heading5">
    <w:name w:val="heading 5"/>
    <w:aliases w:val="Block Label"/>
    <w:basedOn w:val="Normal"/>
    <w:next w:val="Normal"/>
    <w:qFormat/>
    <w:rsid w:val="006477E3"/>
    <w:pPr>
      <w:keepNext/>
      <w:numPr>
        <w:ilvl w:val="4"/>
        <w:numId w:val="5"/>
      </w:numPr>
      <w:spacing w:before="20"/>
      <w:outlineLvl w:val="4"/>
    </w:pPr>
  </w:style>
  <w:style w:type="paragraph" w:styleId="Heading6">
    <w:name w:val="heading 6"/>
    <w:basedOn w:val="Normal"/>
    <w:next w:val="Normal"/>
    <w:qFormat/>
    <w:rsid w:val="006477E3"/>
    <w:pPr>
      <w:keepNext/>
      <w:numPr>
        <w:ilvl w:val="5"/>
        <w:numId w:val="5"/>
      </w:numPr>
      <w:outlineLvl w:val="5"/>
    </w:pPr>
    <w:rPr>
      <w:b/>
      <w:bCs/>
      <w:sz w:val="18"/>
    </w:rPr>
  </w:style>
  <w:style w:type="paragraph" w:styleId="Heading7">
    <w:name w:val="heading 7"/>
    <w:basedOn w:val="Normal"/>
    <w:next w:val="Normal"/>
    <w:qFormat/>
    <w:rsid w:val="006477E3"/>
    <w:pPr>
      <w:keepNext/>
      <w:numPr>
        <w:ilvl w:val="6"/>
        <w:numId w:val="5"/>
      </w:numPr>
      <w:outlineLvl w:val="6"/>
    </w:pPr>
    <w:rPr>
      <w:sz w:val="28"/>
    </w:rPr>
  </w:style>
  <w:style w:type="paragraph" w:styleId="Heading8">
    <w:name w:val="heading 8"/>
    <w:basedOn w:val="Normal"/>
    <w:next w:val="Normal"/>
    <w:qFormat/>
    <w:rsid w:val="006477E3"/>
    <w:pPr>
      <w:keepNext/>
      <w:numPr>
        <w:ilvl w:val="7"/>
        <w:numId w:val="5"/>
      </w:numPr>
      <w:jc w:val="center"/>
      <w:outlineLvl w:val="7"/>
    </w:pPr>
    <w:rPr>
      <w:b/>
      <w:bCs/>
    </w:rPr>
  </w:style>
  <w:style w:type="paragraph" w:styleId="Heading9">
    <w:name w:val="heading 9"/>
    <w:basedOn w:val="Normal"/>
    <w:next w:val="Normal"/>
    <w:qFormat/>
    <w:rsid w:val="006477E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77E3"/>
    <w:rPr>
      <w:bCs/>
      <w:iCs/>
      <w:color w:val="000000"/>
    </w:rPr>
  </w:style>
  <w:style w:type="paragraph" w:styleId="Header">
    <w:name w:val="header"/>
    <w:basedOn w:val="Normal"/>
    <w:semiHidden/>
    <w:rsid w:val="006477E3"/>
    <w:pPr>
      <w:tabs>
        <w:tab w:val="center" w:pos="4320"/>
        <w:tab w:val="right" w:pos="8640"/>
      </w:tabs>
    </w:pPr>
  </w:style>
  <w:style w:type="paragraph" w:styleId="List">
    <w:name w:val="List"/>
    <w:basedOn w:val="Normal"/>
    <w:semiHidden/>
    <w:rsid w:val="006477E3"/>
    <w:pPr>
      <w:ind w:left="360" w:hanging="360"/>
    </w:pPr>
  </w:style>
  <w:style w:type="paragraph" w:styleId="Title">
    <w:name w:val="Title"/>
    <w:basedOn w:val="Normal"/>
    <w:qFormat/>
    <w:rsid w:val="006477E3"/>
    <w:pPr>
      <w:spacing w:before="240" w:after="60"/>
      <w:jc w:val="center"/>
    </w:pPr>
    <w:rPr>
      <w:rFonts w:cs="Arial"/>
      <w:b/>
      <w:bCs/>
      <w:kern w:val="28"/>
      <w:sz w:val="28"/>
      <w:szCs w:val="32"/>
    </w:rPr>
  </w:style>
  <w:style w:type="paragraph" w:styleId="BodyText2">
    <w:name w:val="Body Text 2"/>
    <w:basedOn w:val="Normal"/>
    <w:semiHidden/>
    <w:rsid w:val="006477E3"/>
    <w:pPr>
      <w:jc w:val="left"/>
    </w:pPr>
    <w:rPr>
      <w:b/>
      <w:bCs/>
      <w:color w:val="0000FF"/>
    </w:rPr>
  </w:style>
  <w:style w:type="paragraph" w:styleId="Footer">
    <w:name w:val="footer"/>
    <w:basedOn w:val="Normal"/>
    <w:semiHidden/>
    <w:rsid w:val="006477E3"/>
    <w:pPr>
      <w:tabs>
        <w:tab w:val="center" w:pos="4320"/>
        <w:tab w:val="right" w:pos="8640"/>
      </w:tabs>
    </w:pPr>
  </w:style>
  <w:style w:type="character" w:styleId="FootnoteReference">
    <w:name w:val="footnote reference"/>
    <w:basedOn w:val="DefaultParagraphFont"/>
    <w:semiHidden/>
    <w:rsid w:val="006477E3"/>
    <w:rPr>
      <w:rFonts w:ascii="Times New Roman" w:hAnsi="Times New Roman"/>
      <w:sz w:val="18"/>
      <w:vertAlign w:val="superscript"/>
    </w:rPr>
  </w:style>
  <w:style w:type="paragraph" w:customStyle="1" w:styleId="Heading">
    <w:name w:val="Heading"/>
    <w:basedOn w:val="Heading1"/>
    <w:next w:val="Normal"/>
    <w:rsid w:val="006477E3"/>
    <w:pPr>
      <w:numPr>
        <w:numId w:val="0"/>
      </w:numPr>
    </w:pPr>
  </w:style>
  <w:style w:type="paragraph" w:customStyle="1" w:styleId="TableText">
    <w:name w:val="Table Text"/>
    <w:basedOn w:val="Normal"/>
    <w:rsid w:val="006477E3"/>
    <w:pPr>
      <w:autoSpaceDE w:val="0"/>
      <w:autoSpaceDN w:val="0"/>
      <w:jc w:val="left"/>
    </w:pPr>
    <w:rPr>
      <w:sz w:val="20"/>
    </w:rPr>
  </w:style>
  <w:style w:type="paragraph" w:customStyle="1" w:styleId="TableHeaderText">
    <w:name w:val="Table Header Text"/>
    <w:basedOn w:val="TableText"/>
    <w:rsid w:val="006477E3"/>
    <w:pPr>
      <w:jc w:val="center"/>
    </w:pPr>
    <w:rPr>
      <w:b/>
      <w:bCs/>
    </w:rPr>
  </w:style>
  <w:style w:type="paragraph" w:styleId="BodyText3">
    <w:name w:val="Body Text 3"/>
    <w:basedOn w:val="Normal"/>
    <w:semiHidden/>
    <w:rsid w:val="006477E3"/>
    <w:rPr>
      <w:b/>
      <w:color w:val="0000FF"/>
    </w:rPr>
  </w:style>
  <w:style w:type="paragraph" w:styleId="ListParagraph">
    <w:name w:val="List Paragraph"/>
    <w:basedOn w:val="Normal"/>
    <w:uiPriority w:val="34"/>
    <w:qFormat/>
    <w:rsid w:val="007C3E34"/>
    <w:pPr>
      <w:ind w:left="720"/>
      <w:contextualSpacing/>
      <w:jc w:val="left"/>
    </w:pPr>
    <w:rPr>
      <w:rFonts w:ascii="Arial" w:hAnsi="Arial"/>
      <w:sz w:val="20"/>
    </w:rPr>
  </w:style>
  <w:style w:type="paragraph" w:customStyle="1" w:styleId="CalVerTable">
    <w:name w:val="CalVerTable"/>
    <w:basedOn w:val="BodyText"/>
    <w:rsid w:val="007C3E34"/>
    <w:pPr>
      <w:spacing w:after="40" w:line="160" w:lineRule="atLeast"/>
      <w:ind w:left="3240" w:hanging="3240"/>
      <w:jc w:val="left"/>
    </w:pPr>
    <w:rPr>
      <w:bCs w:val="0"/>
      <w:iCs w:val="0"/>
      <w:color w:val="auto"/>
      <w:sz w:val="20"/>
      <w:szCs w:val="20"/>
    </w:rPr>
  </w:style>
  <w:style w:type="paragraph" w:customStyle="1" w:styleId="Pa10">
    <w:name w:val="Pa10"/>
    <w:basedOn w:val="Normal"/>
    <w:next w:val="Normal"/>
    <w:rsid w:val="007C3E34"/>
    <w:pPr>
      <w:autoSpaceDE w:val="0"/>
      <w:autoSpaceDN w:val="0"/>
      <w:adjustRightInd w:val="0"/>
      <w:spacing w:line="141" w:lineRule="atLeast"/>
      <w:jc w:val="left"/>
    </w:pPr>
    <w:rPr>
      <w:rFonts w:ascii="Helen Pro Cond" w:hAnsi="Helen Pro Cond"/>
      <w:sz w:val="24"/>
    </w:rPr>
  </w:style>
  <w:style w:type="character" w:customStyle="1" w:styleId="tgc">
    <w:name w:val="_tgc"/>
    <w:basedOn w:val="DefaultParagraphFont"/>
    <w:rsid w:val="00B328EF"/>
  </w:style>
  <w:style w:type="paragraph" w:customStyle="1" w:styleId="Reagents">
    <w:name w:val="Reagents"/>
    <w:basedOn w:val="Normal"/>
    <w:rsid w:val="00F116E4"/>
    <w:pPr>
      <w:tabs>
        <w:tab w:val="center" w:pos="720"/>
        <w:tab w:val="center" w:pos="2160"/>
        <w:tab w:val="left" w:pos="3600"/>
        <w:tab w:val="center" w:pos="6480"/>
        <w:tab w:val="center" w:pos="8640"/>
      </w:tabs>
      <w:spacing w:after="40" w:line="160" w:lineRule="atLeast"/>
      <w:jc w:val="left"/>
    </w:pPr>
    <w:rPr>
      <w:sz w:val="20"/>
      <w:szCs w:val="20"/>
    </w:rPr>
  </w:style>
  <w:style w:type="table" w:styleId="TableGrid">
    <w:name w:val="Table Grid"/>
    <w:basedOn w:val="TableNormal"/>
    <w:uiPriority w:val="59"/>
    <w:rsid w:val="003E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49495d3ea6f74607e2c4d48e538cca21">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a50a3c33372d28fc2b63365aa03a383"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2019-10-31T05:00:00+00:00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6.02 ACTH</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F6TN54CWY5RS-50183619-32632</_dlc_DocId>
    <_dlc_DocIdUrl xmlns="199f0838-75a6-4f0c-9be1-f2c07140bccc">
      <Url>http://vcpsharepoint2/references/_layouts/15/DocIdRedir.aspx?ID=F6TN54CWY5RS-50183619-32632</Url>
      <Description>F6TN54CWY5RS-50183619-32632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D19C-118B-4220-92F9-19CA2168621D}">
  <ds:schemaRefs>
    <ds:schemaRef ds:uri="http://schemas.microsoft.com/sharepoint/v3/contenttype/forms"/>
  </ds:schemaRefs>
</ds:datastoreItem>
</file>

<file path=customXml/itemProps2.xml><?xml version="1.0" encoding="utf-8"?>
<ds:datastoreItem xmlns:ds="http://schemas.openxmlformats.org/officeDocument/2006/customXml" ds:itemID="{B3C22319-4D25-48CD-850D-AE835DFB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830A9-9AA8-434E-A9ED-30E83B6EF8FA}">
  <ds:schemaRefs>
    <ds:schemaRef ds:uri="199f0838-75a6-4f0c-9be1-f2c07140bccc"/>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1848e11-9cf6-4ce4-877e-6837d2c2fa23"/>
    <ds:schemaRef ds:uri="http://schemas.microsoft.com/sharepoint.v3"/>
    <ds:schemaRef ds:uri="http://www.w3.org/XML/1998/namespace"/>
    <ds:schemaRef ds:uri="http://schemas.microsoft.com/sharepoint/v3/field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0CF679C-4A4E-45A6-A9CA-AB9A7740B7EE}">
  <ds:schemaRefs>
    <ds:schemaRef ds:uri="http://schemas.microsoft.com/sharepoint/events"/>
  </ds:schemaRefs>
</ds:datastoreItem>
</file>

<file path=customXml/itemProps5.xml><?xml version="1.0" encoding="utf-8"?>
<ds:datastoreItem xmlns:ds="http://schemas.openxmlformats.org/officeDocument/2006/customXml" ds:itemID="{AECDD4BE-DCD2-473E-B3CC-D26E337E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1919</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 6.02 ACTH</vt:lpstr>
    </vt:vector>
  </TitlesOfParts>
  <Company>***</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6.02 ACTH</dc:title>
  <dc:creator>CE155291</dc:creator>
  <dc:description>Wording Changes and More details regarding STATs.  ERB 4/6/18_x000d_
Updated operating days/times.  Added specimen processing for STAT specimens. 10/31/17 KB_x000d_
Updated IFU, biennial review, updated hours of operation/testing.  ERB 6/30/2017</dc:description>
  <cp:lastModifiedBy>Erin Bartos</cp:lastModifiedBy>
  <cp:revision>3</cp:revision>
  <cp:lastPrinted>2010-07-11T22:00:00Z</cp:lastPrinted>
  <dcterms:created xsi:type="dcterms:W3CDTF">2020-10-27T12:47:00Z</dcterms:created>
  <dcterms:modified xsi:type="dcterms:W3CDTF">2021-01-18T18:54:00Z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278cd3ef-48fa-4dac-bb65-366b13c2b1f5</vt:lpwstr>
  </property>
</Properties>
</file>