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rsidRPr="009B3099" w14:paraId="5CCFFF73" w14:textId="77777777" w:rsidTr="007132A9">
        <w:trPr>
          <w:tblHeader/>
        </w:trPr>
        <w:tc>
          <w:tcPr>
            <w:tcW w:w="11160" w:type="dxa"/>
            <w:gridSpan w:val="5"/>
            <w:tcBorders>
              <w:top w:val="nil"/>
              <w:left w:val="nil"/>
              <w:bottom w:val="nil"/>
              <w:right w:val="nil"/>
            </w:tcBorders>
          </w:tcPr>
          <w:p w14:paraId="5CCFFF72" w14:textId="72C17E43" w:rsidR="006C5661" w:rsidRPr="009B3099" w:rsidRDefault="00905476">
            <w:pPr>
              <w:rPr>
                <w:rFonts w:cs="Arial"/>
                <w:b/>
                <w:bCs/>
                <w:color w:val="0000FF"/>
              </w:rPr>
            </w:pPr>
            <w:r w:rsidRPr="009B3099">
              <w:rPr>
                <w:rFonts w:cs="Arial"/>
                <w:b/>
                <w:bCs/>
                <w:color w:val="0000FF"/>
                <w:sz w:val="36"/>
              </w:rPr>
              <w:t>Luteinizing Hormone (LH)</w:t>
            </w:r>
          </w:p>
        </w:tc>
      </w:tr>
      <w:tr w:rsidR="00E3253B" w:rsidRPr="009B3099" w14:paraId="5CCFFF77" w14:textId="77777777" w:rsidTr="007132A9">
        <w:trPr>
          <w:tblHeader/>
        </w:trPr>
        <w:tc>
          <w:tcPr>
            <w:tcW w:w="1800" w:type="dxa"/>
            <w:tcBorders>
              <w:top w:val="nil"/>
              <w:left w:val="nil"/>
              <w:bottom w:val="nil"/>
              <w:right w:val="nil"/>
            </w:tcBorders>
          </w:tcPr>
          <w:p w14:paraId="5CCFFF74" w14:textId="77777777" w:rsidR="00E3253B" w:rsidRPr="009B3099" w:rsidRDefault="00E3253B">
            <w:pPr>
              <w:rPr>
                <w:rFonts w:cs="Arial"/>
                <w:b/>
                <w:bCs/>
                <w:color w:val="0000FF"/>
                <w:szCs w:val="20"/>
              </w:rPr>
            </w:pPr>
            <w:r w:rsidRPr="009B3099">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21F053C0" w:rsidR="00E3253B" w:rsidRPr="009B3099" w:rsidRDefault="00A34EE2" w:rsidP="00905476">
            <w:pPr>
              <w:autoSpaceDE w:val="0"/>
              <w:autoSpaceDN w:val="0"/>
              <w:adjustRightInd w:val="0"/>
              <w:rPr>
                <w:rFonts w:cs="Arial"/>
                <w:color w:val="000000"/>
                <w:szCs w:val="20"/>
              </w:rPr>
            </w:pPr>
            <w:r w:rsidRPr="009B3099">
              <w:rPr>
                <w:rStyle w:val="A7"/>
                <w:rFonts w:cs="Arial"/>
                <w:b w:val="0"/>
                <w:bCs w:val="0"/>
                <w:sz w:val="20"/>
                <w:szCs w:val="20"/>
              </w:rPr>
              <w:t>This procedure provides instructions</w:t>
            </w:r>
            <w:r w:rsidR="00905476" w:rsidRPr="009B3099">
              <w:rPr>
                <w:rStyle w:val="A7"/>
                <w:rFonts w:cs="Arial"/>
                <w:b w:val="0"/>
                <w:bCs w:val="0"/>
                <w:sz w:val="20"/>
                <w:szCs w:val="20"/>
              </w:rPr>
              <w:t xml:space="preserve"> for performing</w:t>
            </w:r>
            <w:r w:rsidRPr="009B3099">
              <w:rPr>
                <w:rStyle w:val="A7"/>
                <w:rFonts w:cs="Arial"/>
                <w:b w:val="0"/>
                <w:bCs w:val="0"/>
                <w:sz w:val="20"/>
                <w:szCs w:val="20"/>
              </w:rPr>
              <w:t xml:space="preserve"> </w:t>
            </w:r>
            <w:r w:rsidR="00905476" w:rsidRPr="009B3099">
              <w:rPr>
                <w:rFonts w:cs="Arial"/>
                <w:bCs/>
                <w:color w:val="000000"/>
                <w:szCs w:val="20"/>
              </w:rPr>
              <w:t>LUTEINIZING HORMONE</w:t>
            </w:r>
            <w:r w:rsidR="00AF54F3" w:rsidRPr="009B3099">
              <w:rPr>
                <w:rFonts w:cs="Arial"/>
                <w:bCs/>
                <w:color w:val="000000"/>
                <w:szCs w:val="20"/>
              </w:rPr>
              <w:t xml:space="preserve"> (LH)</w:t>
            </w:r>
            <w:r w:rsidR="00DF6343" w:rsidRPr="009B3099">
              <w:rPr>
                <w:rStyle w:val="A7"/>
                <w:rFonts w:cs="Arial"/>
                <w:b w:val="0"/>
                <w:bCs w:val="0"/>
                <w:sz w:val="20"/>
                <w:szCs w:val="20"/>
              </w:rPr>
              <w:t xml:space="preserve"> </w:t>
            </w:r>
            <w:r w:rsidR="00905476" w:rsidRPr="009B3099">
              <w:rPr>
                <w:rStyle w:val="A7"/>
                <w:rFonts w:cs="Arial"/>
                <w:b w:val="0"/>
                <w:bCs w:val="0"/>
                <w:sz w:val="20"/>
                <w:szCs w:val="20"/>
              </w:rPr>
              <w:t>on</w:t>
            </w:r>
            <w:r w:rsidRPr="009B3099">
              <w:rPr>
                <w:rStyle w:val="A7"/>
                <w:rFonts w:cs="Arial"/>
                <w:b w:val="0"/>
                <w:bCs w:val="0"/>
                <w:sz w:val="20"/>
                <w:szCs w:val="20"/>
              </w:rPr>
              <w:t xml:space="preserve"> ABBOTT INSTRUMENTATION. </w:t>
            </w:r>
            <w:r w:rsidR="00905476" w:rsidRPr="009B3099">
              <w:rPr>
                <w:rStyle w:val="A7"/>
                <w:rFonts w:cs="Arial"/>
                <w:b w:val="0"/>
                <w:bCs w:val="0"/>
                <w:sz w:val="20"/>
                <w:szCs w:val="20"/>
              </w:rPr>
              <w:t xml:space="preserve"> The Alinity i LH assay is a chemiluminescent microparticle immunoassay (CMIA) used for the quantitative determination of human luteinizing hormone (LH) in human serum and plasma on the Alinity i analyzer.</w:t>
            </w:r>
          </w:p>
          <w:p w14:paraId="5CCFFF76" w14:textId="69B68757" w:rsidR="00CD06C7" w:rsidRPr="009B3099" w:rsidRDefault="00CD06C7" w:rsidP="00CD06C7">
            <w:pPr>
              <w:autoSpaceDE w:val="0"/>
              <w:autoSpaceDN w:val="0"/>
              <w:adjustRightInd w:val="0"/>
              <w:rPr>
                <w:rFonts w:cs="Arial"/>
                <w:color w:val="000000"/>
                <w:szCs w:val="20"/>
              </w:rPr>
            </w:pPr>
          </w:p>
        </w:tc>
      </w:tr>
      <w:tr w:rsidR="00E3253B" w:rsidRPr="009B3099" w14:paraId="5CCFFF7B" w14:textId="77777777" w:rsidTr="007132A9">
        <w:trPr>
          <w:tblHeader/>
        </w:trPr>
        <w:tc>
          <w:tcPr>
            <w:tcW w:w="1800" w:type="dxa"/>
            <w:tcBorders>
              <w:top w:val="nil"/>
              <w:left w:val="nil"/>
              <w:bottom w:val="nil"/>
              <w:right w:val="nil"/>
            </w:tcBorders>
          </w:tcPr>
          <w:p w14:paraId="5CCFFF78" w14:textId="77777777" w:rsidR="00E3253B" w:rsidRPr="009B3099" w:rsidRDefault="00E3253B">
            <w:pPr>
              <w:rPr>
                <w:rFonts w:cs="Arial"/>
                <w:b/>
                <w:bCs/>
                <w:color w:val="0000FF"/>
                <w:szCs w:val="20"/>
              </w:rPr>
            </w:pPr>
            <w:r w:rsidRPr="009B3099">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61B6DF0D" w:rsidR="001A1584" w:rsidRPr="009B3099" w:rsidRDefault="001A1584" w:rsidP="001A1584">
            <w:pPr>
              <w:rPr>
                <w:rFonts w:cs="Arial"/>
                <w:szCs w:val="20"/>
              </w:rPr>
            </w:pPr>
            <w:r w:rsidRPr="009B3099">
              <w:rPr>
                <w:rFonts w:cs="Arial"/>
                <w:szCs w:val="20"/>
              </w:rPr>
              <w:t>This procedure applies to all personnel res</w:t>
            </w:r>
            <w:r w:rsidR="009B3099">
              <w:rPr>
                <w:rFonts w:cs="Arial"/>
                <w:szCs w:val="20"/>
              </w:rPr>
              <w:t>ponsible for operating Alinity i</w:t>
            </w:r>
            <w:r w:rsidRPr="009B3099">
              <w:rPr>
                <w:rFonts w:cs="Arial"/>
                <w:szCs w:val="20"/>
              </w:rPr>
              <w:t xml:space="preserve"> at </w:t>
            </w:r>
            <w:r w:rsidR="009B3099">
              <w:rPr>
                <w:rFonts w:cs="Arial"/>
                <w:szCs w:val="20"/>
              </w:rPr>
              <w:t>Children’s Minnesota Laboratory in Minneapolis.</w:t>
            </w:r>
          </w:p>
          <w:p w14:paraId="5CCFFF7A" w14:textId="77777777" w:rsidR="00E3253B" w:rsidRPr="009B3099" w:rsidRDefault="00E3253B" w:rsidP="00DF6343">
            <w:pPr>
              <w:rPr>
                <w:rFonts w:cs="Arial"/>
                <w:szCs w:val="20"/>
              </w:rPr>
            </w:pPr>
          </w:p>
        </w:tc>
      </w:tr>
      <w:tr w:rsidR="00E3253B" w:rsidRPr="009B3099" w14:paraId="5CCFFF82" w14:textId="77777777" w:rsidTr="007132A9">
        <w:trPr>
          <w:tblHeader/>
        </w:trPr>
        <w:tc>
          <w:tcPr>
            <w:tcW w:w="1800" w:type="dxa"/>
            <w:tcBorders>
              <w:top w:val="nil"/>
              <w:left w:val="nil"/>
              <w:bottom w:val="nil"/>
              <w:right w:val="nil"/>
            </w:tcBorders>
          </w:tcPr>
          <w:p w14:paraId="5CCFFF7C" w14:textId="77777777" w:rsidR="00E3253B" w:rsidRPr="009B3099" w:rsidRDefault="00E3253B">
            <w:pPr>
              <w:rPr>
                <w:rFonts w:cs="Arial"/>
                <w:b/>
                <w:bCs/>
                <w:color w:val="0000FF"/>
                <w:szCs w:val="20"/>
              </w:rPr>
            </w:pPr>
            <w:r w:rsidRPr="009B3099">
              <w:rPr>
                <w:rFonts w:cs="Arial"/>
                <w:b/>
                <w:bCs/>
                <w:color w:val="0000FF"/>
                <w:szCs w:val="20"/>
              </w:rPr>
              <w:t>Principle</w:t>
            </w:r>
          </w:p>
          <w:p w14:paraId="5CCFFF7D" w14:textId="77777777" w:rsidR="00E3253B" w:rsidRPr="009B3099"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19494E4" w14:textId="26319073" w:rsidR="00AF54F3" w:rsidRPr="009B3099" w:rsidRDefault="00AF54F3" w:rsidP="00AF54F3">
            <w:pPr>
              <w:autoSpaceDE w:val="0"/>
              <w:autoSpaceDN w:val="0"/>
              <w:adjustRightInd w:val="0"/>
              <w:rPr>
                <w:rFonts w:eastAsia="HelenPro-Regular" w:cs="Arial"/>
                <w:szCs w:val="20"/>
              </w:rPr>
            </w:pPr>
            <w:r w:rsidRPr="009B3099">
              <w:rPr>
                <w:rFonts w:eastAsia="HelenPro-Regular" w:cs="Arial"/>
                <w:szCs w:val="20"/>
              </w:rPr>
              <w:t>This assay is a two-step immunoassay for the quantitative determination of luteinizing hormone (LH) in human serum and plasma using chemiluminescent microparticle immunoassay (CMIA) technology.</w:t>
            </w:r>
          </w:p>
          <w:p w14:paraId="298C9B45" w14:textId="77777777" w:rsidR="00AF54F3" w:rsidRPr="009B3099" w:rsidRDefault="00AF54F3" w:rsidP="00AF54F3">
            <w:pPr>
              <w:autoSpaceDE w:val="0"/>
              <w:autoSpaceDN w:val="0"/>
              <w:adjustRightInd w:val="0"/>
              <w:rPr>
                <w:rFonts w:eastAsia="HelenPro-Regular" w:cs="Arial"/>
                <w:szCs w:val="20"/>
              </w:rPr>
            </w:pPr>
          </w:p>
          <w:p w14:paraId="56F4BC31" w14:textId="60B40C9C" w:rsidR="00AF54F3" w:rsidRPr="009B3099" w:rsidRDefault="00AF54F3" w:rsidP="00AF54F3">
            <w:pPr>
              <w:autoSpaceDE w:val="0"/>
              <w:autoSpaceDN w:val="0"/>
              <w:adjustRightInd w:val="0"/>
              <w:rPr>
                <w:rFonts w:eastAsia="HelenPro-Regular" w:cs="Arial"/>
                <w:szCs w:val="20"/>
              </w:rPr>
            </w:pPr>
            <w:r w:rsidRPr="009B3099">
              <w:rPr>
                <w:rFonts w:eastAsia="HelenPro-Regular" w:cs="Arial"/>
                <w:szCs w:val="20"/>
              </w:rPr>
              <w:t>Sample and anti-β LH coated paramagnetic microparticles are combined and incubated. The LH present in the sample binds to the anti-β LH coated microparticles. The mixture is washed. Anti-α LH acridinium-labeled conjugate is added to create a reaction mixture and incubated. Following a wash cycle, Pre-Trigger and Trigger Solutions are added.</w:t>
            </w:r>
          </w:p>
          <w:p w14:paraId="122D63A9" w14:textId="77777777" w:rsidR="00AF54F3" w:rsidRPr="009B3099" w:rsidRDefault="00AF54F3" w:rsidP="00AF54F3">
            <w:pPr>
              <w:autoSpaceDE w:val="0"/>
              <w:autoSpaceDN w:val="0"/>
              <w:adjustRightInd w:val="0"/>
              <w:rPr>
                <w:rFonts w:eastAsia="HelenPro-Regular" w:cs="Arial"/>
                <w:szCs w:val="20"/>
              </w:rPr>
            </w:pPr>
          </w:p>
          <w:p w14:paraId="686CA81A" w14:textId="77777777" w:rsidR="009B3099" w:rsidRPr="009B3099" w:rsidRDefault="00AF54F3" w:rsidP="00AF54F3">
            <w:pPr>
              <w:autoSpaceDE w:val="0"/>
              <w:autoSpaceDN w:val="0"/>
              <w:adjustRightInd w:val="0"/>
              <w:rPr>
                <w:rFonts w:eastAsia="HelenPro-Regular" w:cs="Arial"/>
                <w:szCs w:val="20"/>
              </w:rPr>
            </w:pPr>
            <w:r w:rsidRPr="009B3099">
              <w:rPr>
                <w:rFonts w:eastAsia="HelenPro-Regular" w:cs="Arial"/>
                <w:szCs w:val="20"/>
              </w:rPr>
              <w:t xml:space="preserve">The resulting chemiluminescent reaction is measured as relative light units (RLUs). There is a direct relationship between the amount of LH in the sample and the RLUs detected by the system optics. </w:t>
            </w:r>
          </w:p>
          <w:p w14:paraId="7E79982A" w14:textId="77777777" w:rsidR="009B3099" w:rsidRPr="009B3099" w:rsidRDefault="009B3099" w:rsidP="00AF54F3">
            <w:pPr>
              <w:autoSpaceDE w:val="0"/>
              <w:autoSpaceDN w:val="0"/>
              <w:adjustRightInd w:val="0"/>
              <w:rPr>
                <w:rFonts w:eastAsia="HelenPro-Regular" w:cs="Arial"/>
                <w:szCs w:val="20"/>
              </w:rPr>
            </w:pPr>
          </w:p>
          <w:p w14:paraId="0DAAB19E" w14:textId="2B79E602" w:rsidR="006C5661" w:rsidRPr="009B3099" w:rsidRDefault="00AF54F3" w:rsidP="00AF54F3">
            <w:pPr>
              <w:autoSpaceDE w:val="0"/>
              <w:autoSpaceDN w:val="0"/>
              <w:adjustRightInd w:val="0"/>
              <w:rPr>
                <w:rFonts w:eastAsia="HelenPro-Regular" w:cs="Arial"/>
                <w:szCs w:val="20"/>
              </w:rPr>
            </w:pPr>
            <w:r w:rsidRPr="009B3099">
              <w:rPr>
                <w:rFonts w:eastAsia="HelenPro-Regular" w:cs="Arial"/>
                <w:szCs w:val="20"/>
              </w:rPr>
              <w:t>For additional information on system and assay technology, refer to the Alinity ci-series Operations Manual, Section 3.</w:t>
            </w:r>
          </w:p>
          <w:p w14:paraId="5CCFFF81" w14:textId="77CCEE12" w:rsidR="009B3099" w:rsidRPr="009B3099" w:rsidRDefault="009B3099" w:rsidP="00AF54F3">
            <w:pPr>
              <w:autoSpaceDE w:val="0"/>
              <w:autoSpaceDN w:val="0"/>
              <w:adjustRightInd w:val="0"/>
              <w:rPr>
                <w:rFonts w:eastAsia="HelenPro-Regular" w:cs="Arial"/>
                <w:szCs w:val="20"/>
              </w:rPr>
            </w:pPr>
          </w:p>
        </w:tc>
      </w:tr>
      <w:tr w:rsidR="00E3253B" w:rsidRPr="009B3099" w14:paraId="5CCFFF87" w14:textId="77777777" w:rsidTr="007132A9">
        <w:trPr>
          <w:tblHeader/>
        </w:trPr>
        <w:tc>
          <w:tcPr>
            <w:tcW w:w="1800" w:type="dxa"/>
            <w:tcBorders>
              <w:top w:val="nil"/>
              <w:left w:val="nil"/>
              <w:bottom w:val="nil"/>
              <w:right w:val="nil"/>
            </w:tcBorders>
          </w:tcPr>
          <w:p w14:paraId="5CCFFF83" w14:textId="77777777" w:rsidR="00E3253B" w:rsidRPr="009B3099" w:rsidRDefault="00E3253B">
            <w:pPr>
              <w:rPr>
                <w:rFonts w:cs="Arial"/>
                <w:b/>
                <w:bCs/>
                <w:color w:val="0000FF"/>
                <w:szCs w:val="20"/>
              </w:rPr>
            </w:pPr>
            <w:r w:rsidRPr="009B3099">
              <w:rPr>
                <w:rFonts w:cs="Arial"/>
                <w:b/>
                <w:bCs/>
                <w:color w:val="0000FF"/>
                <w:szCs w:val="20"/>
              </w:rPr>
              <w:lastRenderedPageBreak/>
              <w:t>Clinical Significance</w:t>
            </w:r>
          </w:p>
          <w:p w14:paraId="5CCFFF84" w14:textId="77777777" w:rsidR="00E3253B" w:rsidRPr="009B3099"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FFD7287" w14:textId="541CF682" w:rsidR="00AF54F3" w:rsidRPr="009B3099" w:rsidRDefault="00AF54F3" w:rsidP="00AF54F3">
            <w:r w:rsidRPr="009B3099">
              <w:t>Human luteinizing hormone (LH, lutropin) is a glycoprotein hormone with two dissimilar subunits (</w:t>
            </w:r>
            <w:r w:rsidRPr="009B3099">
              <w:rPr>
                <w:rFonts w:hint="eastAsia"/>
              </w:rPr>
              <w:t>α</w:t>
            </w:r>
            <w:r w:rsidRPr="009B3099">
              <w:t xml:space="preserve"> and </w:t>
            </w:r>
            <w:r w:rsidRPr="009B3099">
              <w:rPr>
                <w:rFonts w:hint="eastAsia"/>
              </w:rPr>
              <w:t>β</w:t>
            </w:r>
            <w:r w:rsidRPr="009B3099">
              <w:t xml:space="preserve">). The </w:t>
            </w:r>
            <w:r w:rsidRPr="009B3099">
              <w:rPr>
                <w:rFonts w:hint="eastAsia"/>
              </w:rPr>
              <w:t>α</w:t>
            </w:r>
            <w:r w:rsidRPr="009B3099">
              <w:t xml:space="preserve">-subunit is essentially identical to the </w:t>
            </w:r>
            <w:r w:rsidRPr="009B3099">
              <w:rPr>
                <w:rFonts w:hint="eastAsia"/>
              </w:rPr>
              <w:t>α</w:t>
            </w:r>
            <w:r w:rsidRPr="009B3099">
              <w:t xml:space="preserve">-subunits of follicle stimulating hormone (FSH, follitropin), thyroid stimulating hormone (TSH, thyrotropin), and human chorionic gonadotropin (hCG). The </w:t>
            </w:r>
            <w:r w:rsidRPr="009B3099">
              <w:rPr>
                <w:rFonts w:hint="eastAsia"/>
              </w:rPr>
              <w:t>β</w:t>
            </w:r>
            <w:r w:rsidRPr="009B3099">
              <w:t xml:space="preserve">-subunit is considerably different from that of FSH and TSH.However, the </w:t>
            </w:r>
            <w:r w:rsidRPr="009B3099">
              <w:rPr>
                <w:rFonts w:hint="eastAsia"/>
              </w:rPr>
              <w:t>β</w:t>
            </w:r>
            <w:r w:rsidRPr="009B3099">
              <w:t>-subunits of LH and hCG are very similar.</w:t>
            </w:r>
          </w:p>
          <w:p w14:paraId="710333C4" w14:textId="77777777" w:rsidR="00AF54F3" w:rsidRPr="009B3099" w:rsidRDefault="00AF54F3" w:rsidP="00AF54F3"/>
          <w:p w14:paraId="720F7DF3" w14:textId="7B7F305F" w:rsidR="00AF54F3" w:rsidRPr="009B3099" w:rsidRDefault="00AF54F3" w:rsidP="00AF54F3">
            <w:r w:rsidRPr="009B3099">
              <w:t xml:space="preserve">LH, together with FSH, is secreted by the gonadotroph cells in the pituitary in response to the secretion of the gonadotropin releasing hormone (LHRH, GnRH) from the medial basal hypothalamus. Ovarian steroids, principally estrogens, modulate the secretion of LH and FSH which in turn regulate the menstrual cycle in females. When the follicle and the ovum contained within it, reach maturity, a surge of LH causes the follicle to rupture releasing the ovum. The follicular remnant is transformed into a corpus luteum, which secretes progesterone and estradiol. During the follicular and luteal phases, LH concentrations are much lower than the levels observed at the time of the LH surge. During the follicular and luteal phases, the estrogens exert a negative feedback on the release of LH. Shortly before the mid-cycle surge in LH, ovarian steroids, specifically estradiol, exert a positive feedback on the release of LH. Determination of the concentration of LH is essential for the prediction of ovulation, in the evaluation of infertility, and the diagnosis of pituitary and gonadal disorders. Increasing concentrations of LH precede ovulation and in cases in which the period of optimal fertility needs to be defined for the timing of intercourse or artificial insemination, daily concentrations of LH are important for the prediction of ovulation. More frequent sampling is required if the precise time of follicular rupture is needed for egg aspiration for </w:t>
            </w:r>
            <w:r w:rsidRPr="009B3099">
              <w:rPr>
                <w:i/>
                <w:iCs/>
              </w:rPr>
              <w:t xml:space="preserve">in vitro </w:t>
            </w:r>
            <w:r w:rsidRPr="009B3099">
              <w:t>fertilization. At menopause, or following ovariectomy in women, concentrations of estrogens decline to low levels. The lowered concentrations of estrogens result in a loss of the negative feedback on gonadotropin release. The consequence is an increase in the concentrations of LH and FSH.</w:t>
            </w:r>
          </w:p>
          <w:p w14:paraId="7E1F774E" w14:textId="77777777" w:rsidR="00AF54F3" w:rsidRPr="009B3099" w:rsidRDefault="00AF54F3" w:rsidP="00AF54F3"/>
          <w:p w14:paraId="3ADE78E0" w14:textId="755D6ABE" w:rsidR="00AF54F3" w:rsidRPr="009B3099" w:rsidRDefault="00AF54F3" w:rsidP="00AF54F3">
            <w:r w:rsidRPr="009B3099">
              <w:t>The primary role of LH in the male is to stimulate the production of testosterone by the Leydig cells. LH, through the production of testosterone together with FSH, regulates spermatogenesis in the Sertoli cells of the seminiferous tubules of the testes. Testosterone exerts a negative feedback on the release of LH. In sexually mature adults, gonadotropin deficiency is usually an early indication of the development of panhypopituitarism. Low concentrations of LH, FSH, and steroids are observed with this disorder. In contrast, gonadotropin secreting tumors of the hypothalamus and pituitary result in elevated concentrations of LH and FSH.</w:t>
            </w:r>
          </w:p>
          <w:p w14:paraId="699DB26A" w14:textId="77777777" w:rsidR="00AF54F3" w:rsidRPr="009B3099" w:rsidRDefault="00AF54F3" w:rsidP="00AF54F3"/>
          <w:p w14:paraId="3F97D867" w14:textId="77777777" w:rsidR="002462C0" w:rsidRDefault="00AF54F3" w:rsidP="00AF54F3">
            <w:r w:rsidRPr="009B3099">
              <w:t>Gonadal failure, a cause of infertility, is indicated by elevated</w:t>
            </w:r>
            <w:r w:rsidR="00A610DE" w:rsidRPr="009B3099">
              <w:t xml:space="preserve"> </w:t>
            </w:r>
            <w:r w:rsidRPr="009B3099">
              <w:t xml:space="preserve">concentrations of LH and </w:t>
            </w:r>
            <w:r w:rsidR="00A610DE" w:rsidRPr="009B3099">
              <w:t xml:space="preserve">FSH </w:t>
            </w:r>
            <w:r w:rsidRPr="009B3099">
              <w:t>accompanied by low concentrations</w:t>
            </w:r>
            <w:r w:rsidR="00A610DE" w:rsidRPr="009B3099">
              <w:t xml:space="preserve"> </w:t>
            </w:r>
            <w:r w:rsidRPr="009B3099">
              <w:t>of gonadal steroids. In the female, elevated concentrations</w:t>
            </w:r>
            <w:r w:rsidR="00A610DE" w:rsidRPr="009B3099">
              <w:t xml:space="preserve"> </w:t>
            </w:r>
            <w:r w:rsidRPr="009B3099">
              <w:t>of LH can indicate primary amenorrhea, menopause,</w:t>
            </w:r>
            <w:r w:rsidR="00A610DE" w:rsidRPr="009B3099">
              <w:t xml:space="preserve"> </w:t>
            </w:r>
            <w:r w:rsidRPr="009B3099">
              <w:t>premature ovarian failure, polycystic ovarian syndrome,</w:t>
            </w:r>
            <w:r w:rsidR="00A610DE" w:rsidRPr="009B3099">
              <w:t xml:space="preserve"> </w:t>
            </w:r>
            <w:r w:rsidRPr="009B3099">
              <w:t xml:space="preserve">hypergonadotropic </w:t>
            </w:r>
            <w:r w:rsidR="009B3099" w:rsidRPr="009B3099">
              <w:t>hypogonadism, or</w:t>
            </w:r>
            <w:r w:rsidRPr="009B3099">
              <w:t xml:space="preserve"> ovulation. In the male,</w:t>
            </w:r>
            <w:r w:rsidR="00A610DE" w:rsidRPr="009B3099">
              <w:t xml:space="preserve"> </w:t>
            </w:r>
            <w:r w:rsidRPr="009B3099">
              <w:t>elevated concentrations of LH can result from primary testicular</w:t>
            </w:r>
            <w:r w:rsidR="00A610DE" w:rsidRPr="009B3099">
              <w:t xml:space="preserve"> </w:t>
            </w:r>
            <w:r w:rsidRPr="009B3099">
              <w:t>failure, seminiferous tubule dysgenesis (Klinefelter</w:t>
            </w:r>
            <w:r w:rsidRPr="009B3099">
              <w:rPr>
                <w:rFonts w:hint="eastAsia"/>
              </w:rPr>
              <w:t>’</w:t>
            </w:r>
            <w:r w:rsidRPr="009B3099">
              <w:t>s</w:t>
            </w:r>
            <w:r w:rsidR="00A610DE" w:rsidRPr="009B3099">
              <w:t xml:space="preserve"> syndrome), Sertoli cell </w:t>
            </w:r>
            <w:r w:rsidRPr="009B3099">
              <w:t>failure, anorchia, or hypergonadotropic</w:t>
            </w:r>
            <w:r w:rsidR="00A610DE" w:rsidRPr="009B3099">
              <w:t xml:space="preserve"> </w:t>
            </w:r>
            <w:r w:rsidRPr="009B3099">
              <w:t>hypogonadism.</w:t>
            </w:r>
          </w:p>
          <w:p w14:paraId="5CCFFF86" w14:textId="212A2D75" w:rsidR="009B3099" w:rsidRPr="009B3099" w:rsidRDefault="009B3099" w:rsidP="00AF54F3"/>
        </w:tc>
      </w:tr>
      <w:tr w:rsidR="00E3253B" w:rsidRPr="009B3099" w14:paraId="5CCFFF8A" w14:textId="77777777" w:rsidTr="00504F3B">
        <w:trPr>
          <w:trHeight w:val="450"/>
          <w:tblHeader/>
        </w:trPr>
        <w:tc>
          <w:tcPr>
            <w:tcW w:w="1800" w:type="dxa"/>
            <w:tcBorders>
              <w:top w:val="nil"/>
              <w:left w:val="nil"/>
              <w:bottom w:val="nil"/>
              <w:right w:val="nil"/>
            </w:tcBorders>
          </w:tcPr>
          <w:p w14:paraId="5CCFFF88" w14:textId="77777777" w:rsidR="00E3253B" w:rsidRPr="009B3099" w:rsidRDefault="00E3253B">
            <w:pPr>
              <w:rPr>
                <w:rFonts w:cs="Arial"/>
                <w:b/>
                <w:bCs/>
                <w:color w:val="0000FF"/>
                <w:szCs w:val="20"/>
              </w:rPr>
            </w:pPr>
            <w:r w:rsidRPr="009B3099">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67EAF8CD" w14:textId="77777777" w:rsidR="009B3099" w:rsidRPr="00DC7421" w:rsidRDefault="009B3099" w:rsidP="009B3099">
            <w:pPr>
              <w:autoSpaceDE w:val="0"/>
              <w:autoSpaceDN w:val="0"/>
              <w:adjustRightInd w:val="0"/>
              <w:rPr>
                <w:rFonts w:cs="Arial"/>
                <w:bCs/>
                <w:szCs w:val="20"/>
              </w:rPr>
            </w:pPr>
            <w:r>
              <w:rPr>
                <w:rFonts w:cs="Arial"/>
                <w:b/>
                <w:bCs/>
                <w:color w:val="7030A0"/>
                <w:szCs w:val="20"/>
              </w:rPr>
              <w:t>Minneapolis: Abbott Alinity i (Sunquest method code: MACI)</w:t>
            </w:r>
          </w:p>
          <w:p w14:paraId="3C57B447" w14:textId="77777777" w:rsidR="009B3099" w:rsidRDefault="009B3099" w:rsidP="009B3099">
            <w:pPr>
              <w:pStyle w:val="BodyText2"/>
              <w:spacing w:after="60" w:line="240" w:lineRule="auto"/>
              <w:rPr>
                <w:rFonts w:cs="Arial"/>
                <w:bCs/>
                <w:szCs w:val="20"/>
              </w:rPr>
            </w:pPr>
            <w:r w:rsidRPr="002C5F6A">
              <w:rPr>
                <w:rFonts w:cs="Arial"/>
                <w:b/>
                <w:bCs/>
                <w:szCs w:val="20"/>
              </w:rPr>
              <w:t xml:space="preserve">Backup: </w:t>
            </w:r>
            <w:r w:rsidRPr="002C5F6A">
              <w:rPr>
                <w:rFonts w:cs="Arial"/>
                <w:bCs/>
                <w:szCs w:val="20"/>
              </w:rPr>
              <w:t>Hold samples until instrument is back in service.  If urgent or directed by provider, send to</w:t>
            </w:r>
            <w:r>
              <w:rPr>
                <w:rFonts w:cs="Arial"/>
                <w:bCs/>
                <w:szCs w:val="20"/>
              </w:rPr>
              <w:t xml:space="preserve"> Mayo Medical Laboratories (FSH</w:t>
            </w:r>
            <w:r w:rsidRPr="002C5F6A">
              <w:rPr>
                <w:rFonts w:cs="Arial"/>
                <w:bCs/>
                <w:szCs w:val="20"/>
              </w:rPr>
              <w:t>)</w:t>
            </w:r>
          </w:p>
          <w:p w14:paraId="5CCFFF89" w14:textId="0729C158" w:rsidR="006200C0" w:rsidRPr="009B3099" w:rsidRDefault="006200C0" w:rsidP="006B78CE">
            <w:pPr>
              <w:pStyle w:val="BodyText2"/>
              <w:spacing w:after="60" w:line="240" w:lineRule="auto"/>
              <w:rPr>
                <w:rFonts w:cs="Arial"/>
                <w:b/>
                <w:bCs/>
                <w:color w:val="7030A0"/>
                <w:szCs w:val="20"/>
              </w:rPr>
            </w:pPr>
          </w:p>
        </w:tc>
      </w:tr>
      <w:tr w:rsidR="00E3253B" w:rsidRPr="009B3099" w14:paraId="5CCFFF8D" w14:textId="77777777" w:rsidTr="007132A9">
        <w:trPr>
          <w:trHeight w:val="692"/>
          <w:tblHeader/>
        </w:trPr>
        <w:tc>
          <w:tcPr>
            <w:tcW w:w="1800" w:type="dxa"/>
            <w:tcBorders>
              <w:top w:val="nil"/>
              <w:left w:val="nil"/>
              <w:bottom w:val="nil"/>
              <w:right w:val="nil"/>
            </w:tcBorders>
            <w:vAlign w:val="center"/>
          </w:tcPr>
          <w:p w14:paraId="5CCFFF8B" w14:textId="77777777" w:rsidR="00E3253B" w:rsidRPr="009B3099" w:rsidRDefault="00370B0F">
            <w:pPr>
              <w:rPr>
                <w:rFonts w:cs="Arial"/>
                <w:b/>
                <w:bCs/>
                <w:color w:val="0000FF"/>
                <w:szCs w:val="20"/>
              </w:rPr>
            </w:pPr>
            <w:r w:rsidRPr="009B3099">
              <w:rPr>
                <w:rFonts w:cs="Arial"/>
                <w:b/>
                <w:bCs/>
                <w:color w:val="0000FF"/>
                <w:szCs w:val="20"/>
              </w:rPr>
              <w:t>S</w:t>
            </w:r>
            <w:r w:rsidR="00E3253B" w:rsidRPr="009B3099">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BAB5925" w14:textId="4B1823A0" w:rsidR="00370B0F" w:rsidRDefault="00A610DE" w:rsidP="00504F3B">
            <w:r w:rsidRPr="009B3099">
              <w:rPr>
                <w:b/>
              </w:rPr>
              <w:t>LH</w:t>
            </w:r>
            <w:r w:rsidR="009B3099">
              <w:rPr>
                <w:b/>
              </w:rPr>
              <w:t xml:space="preserve">       </w:t>
            </w:r>
            <w:r w:rsidR="009B3099">
              <w:t>LH</w:t>
            </w:r>
          </w:p>
          <w:p w14:paraId="5CCFFF8C" w14:textId="781B7E99" w:rsidR="009B3099" w:rsidRPr="009B3099" w:rsidRDefault="009B3099" w:rsidP="00504F3B">
            <w:r w:rsidRPr="009B3099">
              <w:rPr>
                <w:b/>
              </w:rPr>
              <w:t>FSLH</w:t>
            </w:r>
            <w:r>
              <w:t xml:space="preserve">  FSH and LH</w:t>
            </w:r>
          </w:p>
        </w:tc>
      </w:tr>
      <w:tr w:rsidR="00E3253B" w:rsidRPr="009B3099" w14:paraId="5CCFFFA3" w14:textId="77777777" w:rsidTr="007132A9">
        <w:trPr>
          <w:tblHeader/>
        </w:trPr>
        <w:tc>
          <w:tcPr>
            <w:tcW w:w="1800" w:type="dxa"/>
            <w:tcBorders>
              <w:top w:val="nil"/>
              <w:left w:val="nil"/>
              <w:bottom w:val="nil"/>
              <w:right w:val="nil"/>
            </w:tcBorders>
          </w:tcPr>
          <w:p w14:paraId="5CCFFF8E" w14:textId="5787BA21" w:rsidR="00E3253B" w:rsidRPr="009B3099" w:rsidRDefault="00E3253B">
            <w:pPr>
              <w:rPr>
                <w:rFonts w:cs="Arial"/>
                <w:b/>
                <w:bCs/>
                <w:color w:val="0000FF"/>
                <w:szCs w:val="20"/>
              </w:rPr>
            </w:pPr>
            <w:r w:rsidRPr="009B3099">
              <w:rPr>
                <w:rFonts w:cs="Arial"/>
                <w:b/>
                <w:bCs/>
                <w:color w:val="0000FF"/>
                <w:szCs w:val="20"/>
              </w:rPr>
              <w:lastRenderedPageBreak/>
              <w:t>Specimen</w:t>
            </w:r>
          </w:p>
          <w:p w14:paraId="5CCFFF8F" w14:textId="77777777" w:rsidR="00E3253B" w:rsidRPr="009B3099" w:rsidRDefault="00E3253B">
            <w:pPr>
              <w:ind w:left="-108" w:right="-108"/>
              <w:jc w:val="right"/>
              <w:rPr>
                <w:rFonts w:cs="Arial"/>
                <w:b/>
                <w:bCs/>
                <w:color w:val="0000FF"/>
                <w:szCs w:val="20"/>
              </w:rPr>
            </w:pPr>
          </w:p>
          <w:p w14:paraId="5CCFFF90" w14:textId="77777777" w:rsidR="00E3253B" w:rsidRPr="009B3099" w:rsidRDefault="00E3253B">
            <w:pPr>
              <w:ind w:left="-108" w:right="-108"/>
              <w:jc w:val="right"/>
              <w:rPr>
                <w:rFonts w:cs="Arial"/>
                <w:b/>
                <w:bCs/>
                <w:color w:val="0000FF"/>
                <w:szCs w:val="20"/>
              </w:rPr>
            </w:pPr>
          </w:p>
          <w:p w14:paraId="5CCFFF91" w14:textId="77777777" w:rsidR="00E3253B" w:rsidRPr="009B3099" w:rsidRDefault="00E3253B">
            <w:pPr>
              <w:ind w:left="-108" w:right="-108"/>
              <w:jc w:val="right"/>
              <w:rPr>
                <w:rFonts w:cs="Arial"/>
                <w:b/>
                <w:bCs/>
                <w:color w:val="0000FF"/>
                <w:szCs w:val="20"/>
              </w:rPr>
            </w:pPr>
          </w:p>
          <w:p w14:paraId="5CCFFF92" w14:textId="77777777" w:rsidR="00E3253B" w:rsidRPr="009B3099"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006E0B42" w:rsidR="00E93074" w:rsidRPr="009B3099" w:rsidRDefault="00E93074">
            <w:pPr>
              <w:rPr>
                <w:rStyle w:val="BoldBodyText"/>
                <w:rFonts w:ascii="Arial" w:hAnsi="Arial" w:cs="Arial"/>
                <w:b w:val="0"/>
                <w:bCs w:val="0"/>
                <w:sz w:val="20"/>
                <w:szCs w:val="20"/>
              </w:rPr>
            </w:pPr>
            <w:r w:rsidRPr="009B3099">
              <w:rPr>
                <w:rStyle w:val="BoldBodyText"/>
                <w:rFonts w:ascii="Arial" w:hAnsi="Arial" w:cs="Arial"/>
                <w:bCs w:val="0"/>
                <w:sz w:val="20"/>
                <w:szCs w:val="20"/>
              </w:rPr>
              <w:t>Sample:</w:t>
            </w:r>
            <w:r w:rsidRPr="009B3099">
              <w:rPr>
                <w:rStyle w:val="BoldBodyText"/>
                <w:rFonts w:ascii="Arial" w:hAnsi="Arial" w:cs="Arial"/>
                <w:b w:val="0"/>
                <w:bCs w:val="0"/>
                <w:sz w:val="20"/>
                <w:szCs w:val="20"/>
              </w:rPr>
              <w:t xml:space="preserve"> </w:t>
            </w:r>
            <w:r w:rsidR="00A610DE" w:rsidRPr="009B3099">
              <w:rPr>
                <w:rStyle w:val="BoldBodyText"/>
                <w:rFonts w:ascii="Arial" w:hAnsi="Arial" w:cs="Arial"/>
                <w:b w:val="0"/>
                <w:bCs w:val="0"/>
                <w:sz w:val="20"/>
                <w:szCs w:val="20"/>
              </w:rPr>
              <w:t>Serum or Plasma (with or without gel barrier)</w:t>
            </w:r>
          </w:p>
          <w:p w14:paraId="34021B1C" w14:textId="18B2A285" w:rsidR="00981A4A" w:rsidRPr="009B3099" w:rsidRDefault="0017089C">
            <w:pPr>
              <w:rPr>
                <w:rFonts w:cs="Arial"/>
                <w:b/>
                <w:szCs w:val="20"/>
              </w:rPr>
            </w:pPr>
            <w:r w:rsidRPr="009B3099">
              <w:rPr>
                <w:rFonts w:cs="Arial"/>
                <w:b/>
                <w:szCs w:val="20"/>
              </w:rPr>
              <w:t>Preferred:</w:t>
            </w:r>
            <w:r w:rsidR="006C5661" w:rsidRPr="009B3099">
              <w:rPr>
                <w:rFonts w:cs="Arial"/>
                <w:b/>
                <w:szCs w:val="20"/>
              </w:rPr>
              <w:t xml:space="preserve"> </w:t>
            </w:r>
            <w:r w:rsidR="00A610DE" w:rsidRPr="009B3099">
              <w:rPr>
                <w:rFonts w:cs="Arial"/>
                <w:szCs w:val="20"/>
              </w:rPr>
              <w:t>Lithium Heparin</w:t>
            </w:r>
          </w:p>
          <w:p w14:paraId="60FE11B0" w14:textId="18117CFF" w:rsidR="0017089C" w:rsidRPr="009B3099" w:rsidRDefault="0017089C">
            <w:pPr>
              <w:rPr>
                <w:rFonts w:cs="Arial"/>
                <w:szCs w:val="20"/>
              </w:rPr>
            </w:pPr>
            <w:r w:rsidRPr="009B3099">
              <w:rPr>
                <w:rFonts w:cs="Arial"/>
                <w:b/>
                <w:szCs w:val="20"/>
              </w:rPr>
              <w:t>Alternative:</w:t>
            </w:r>
            <w:r w:rsidR="00A610DE" w:rsidRPr="009B3099">
              <w:rPr>
                <w:rFonts w:cs="Arial"/>
                <w:b/>
                <w:szCs w:val="20"/>
              </w:rPr>
              <w:t xml:space="preserve"> </w:t>
            </w:r>
            <w:r w:rsidR="00A610DE" w:rsidRPr="009B3099">
              <w:rPr>
                <w:rFonts w:cs="Arial"/>
                <w:szCs w:val="20"/>
              </w:rPr>
              <w:t>SST, EDTA</w:t>
            </w:r>
          </w:p>
          <w:p w14:paraId="34F12611" w14:textId="77777777" w:rsidR="0017089C" w:rsidRPr="009B3099" w:rsidRDefault="0017089C">
            <w:pPr>
              <w:rPr>
                <w:rFonts w:cs="Arial"/>
                <w:szCs w:val="20"/>
              </w:rPr>
            </w:pPr>
          </w:p>
          <w:p w14:paraId="5CCFFF96" w14:textId="30B018D7" w:rsidR="00E93074" w:rsidRPr="009B3099" w:rsidRDefault="00EE145B" w:rsidP="009F5F31">
            <w:pPr>
              <w:pStyle w:val="Pa10"/>
              <w:rPr>
                <w:rFonts w:ascii="Arial" w:hAnsi="Arial" w:cs="Arial"/>
                <w:sz w:val="20"/>
                <w:szCs w:val="20"/>
              </w:rPr>
            </w:pPr>
            <w:r w:rsidRPr="009B3099">
              <w:rPr>
                <w:rFonts w:ascii="Arial" w:hAnsi="Arial" w:cs="Arial"/>
                <w:b/>
                <w:bCs/>
                <w:sz w:val="20"/>
                <w:szCs w:val="20"/>
              </w:rPr>
              <w:t xml:space="preserve">Minimum </w:t>
            </w:r>
            <w:r w:rsidR="001102B2" w:rsidRPr="009B3099">
              <w:rPr>
                <w:rFonts w:ascii="Arial" w:hAnsi="Arial" w:cs="Arial"/>
                <w:b/>
                <w:bCs/>
                <w:sz w:val="20"/>
                <w:szCs w:val="20"/>
              </w:rPr>
              <w:t xml:space="preserve">sample </w:t>
            </w:r>
            <w:r w:rsidRPr="009B3099">
              <w:rPr>
                <w:rFonts w:ascii="Arial" w:hAnsi="Arial" w:cs="Arial"/>
                <w:b/>
                <w:bCs/>
                <w:sz w:val="20"/>
                <w:szCs w:val="20"/>
              </w:rPr>
              <w:t>volume</w:t>
            </w:r>
            <w:r w:rsidR="009475C8" w:rsidRPr="009B3099">
              <w:rPr>
                <w:rFonts w:ascii="Arial" w:hAnsi="Arial" w:cs="Arial"/>
                <w:b/>
                <w:bCs/>
                <w:sz w:val="20"/>
                <w:szCs w:val="20"/>
              </w:rPr>
              <w:t xml:space="preserve">: </w:t>
            </w:r>
            <w:r w:rsidR="009B3099">
              <w:rPr>
                <w:rFonts w:ascii="Arial" w:hAnsi="Arial" w:cs="Arial"/>
                <w:bCs/>
                <w:sz w:val="20"/>
                <w:szCs w:val="20"/>
              </w:rPr>
              <w:t>0.75</w:t>
            </w:r>
            <w:r w:rsidR="00A610DE" w:rsidRPr="009B3099">
              <w:rPr>
                <w:rFonts w:ascii="Arial" w:hAnsi="Arial" w:cs="Arial"/>
                <w:bCs/>
                <w:sz w:val="20"/>
                <w:szCs w:val="20"/>
              </w:rPr>
              <w:t xml:space="preserve"> </w:t>
            </w:r>
            <w:r w:rsidR="00AE2334" w:rsidRPr="009B3099">
              <w:rPr>
                <w:rFonts w:ascii="Arial" w:hAnsi="Arial" w:cs="Arial"/>
                <w:sz w:val="20"/>
                <w:szCs w:val="20"/>
              </w:rPr>
              <w:t xml:space="preserve">mL blood, </w:t>
            </w:r>
            <w:r w:rsidR="00A610DE" w:rsidRPr="009B3099">
              <w:rPr>
                <w:rFonts w:ascii="Arial" w:hAnsi="Arial" w:cs="Arial"/>
                <w:bCs/>
                <w:sz w:val="20"/>
                <w:szCs w:val="20"/>
              </w:rPr>
              <w:t>0.2</w:t>
            </w:r>
            <w:r w:rsidR="009B3099">
              <w:rPr>
                <w:rFonts w:ascii="Arial" w:hAnsi="Arial" w:cs="Arial"/>
                <w:bCs/>
                <w:sz w:val="20"/>
                <w:szCs w:val="20"/>
              </w:rPr>
              <w:t>5</w:t>
            </w:r>
            <w:r w:rsidR="00A610DE" w:rsidRPr="009B3099">
              <w:rPr>
                <w:rFonts w:ascii="Arial" w:hAnsi="Arial" w:cs="Arial"/>
                <w:bCs/>
                <w:sz w:val="20"/>
                <w:szCs w:val="20"/>
              </w:rPr>
              <w:t xml:space="preserve"> </w:t>
            </w:r>
            <w:r w:rsidR="009475C8" w:rsidRPr="009B3099">
              <w:rPr>
                <w:rFonts w:ascii="Arial" w:hAnsi="Arial" w:cs="Arial"/>
                <w:sz w:val="20"/>
                <w:szCs w:val="20"/>
              </w:rPr>
              <w:t>mL</w:t>
            </w:r>
            <w:r w:rsidR="00AE2334" w:rsidRPr="009B3099">
              <w:rPr>
                <w:rFonts w:ascii="Arial" w:hAnsi="Arial" w:cs="Arial"/>
                <w:sz w:val="20"/>
                <w:szCs w:val="20"/>
              </w:rPr>
              <w:t xml:space="preserve"> serum/plasma</w:t>
            </w:r>
          </w:p>
          <w:p w14:paraId="0D8E6F61" w14:textId="77777777" w:rsidR="00A610DE" w:rsidRPr="009B3099" w:rsidRDefault="00A610DE" w:rsidP="00A610DE">
            <w:pPr>
              <w:rPr>
                <w:rFonts w:cs="Arial"/>
                <w:szCs w:val="20"/>
              </w:rPr>
            </w:pPr>
          </w:p>
          <w:p w14:paraId="12893ABA" w14:textId="1CB1B1AC" w:rsidR="00A610DE" w:rsidRPr="009B3099" w:rsidRDefault="00A610DE" w:rsidP="00A610DE">
            <w:pPr>
              <w:rPr>
                <w:rFonts w:cs="Arial"/>
                <w:szCs w:val="20"/>
              </w:rPr>
            </w:pPr>
            <w:r w:rsidRPr="005F643B">
              <w:rPr>
                <w:rFonts w:cs="Arial"/>
                <w:szCs w:val="20"/>
              </w:rPr>
              <w:t>Maximum number of replicates sampled from the same sample cup</w:t>
            </w:r>
            <w:r w:rsidRPr="009B3099">
              <w:rPr>
                <w:rFonts w:cs="Arial"/>
                <w:szCs w:val="20"/>
              </w:rPr>
              <w:t>: 10</w:t>
            </w:r>
          </w:p>
          <w:p w14:paraId="0205D082" w14:textId="77777777" w:rsidR="00F045AB" w:rsidRPr="009B3099" w:rsidRDefault="00F045AB" w:rsidP="00A610DE">
            <w:pPr>
              <w:rPr>
                <w:rFonts w:cs="Arial"/>
                <w:szCs w:val="20"/>
              </w:rPr>
            </w:pPr>
          </w:p>
          <w:p w14:paraId="359EB382" w14:textId="6EB5BD5B" w:rsidR="00A610DE" w:rsidRPr="009B3099" w:rsidRDefault="00A610DE" w:rsidP="00A610DE">
            <w:pPr>
              <w:rPr>
                <w:rFonts w:cs="Arial"/>
                <w:szCs w:val="20"/>
              </w:rPr>
            </w:pPr>
            <w:r w:rsidRPr="009B3099">
              <w:rPr>
                <w:rFonts w:cs="Arial"/>
                <w:szCs w:val="20"/>
              </w:rPr>
              <w:t>Priority</w:t>
            </w:r>
            <w:r w:rsidR="009B3099">
              <w:rPr>
                <w:rFonts w:cs="Arial"/>
                <w:szCs w:val="20"/>
              </w:rPr>
              <w:t xml:space="preserve"> loaded</w:t>
            </w:r>
            <w:r w:rsidRPr="009B3099">
              <w:rPr>
                <w:rFonts w:cs="Arial"/>
                <w:szCs w:val="20"/>
              </w:rPr>
              <w:t>:</w:t>
            </w:r>
          </w:p>
          <w:p w14:paraId="50F01981" w14:textId="77777777" w:rsidR="00A610DE" w:rsidRPr="009B3099" w:rsidRDefault="00A610DE" w:rsidP="00A610DE">
            <w:pPr>
              <w:rPr>
                <w:rFonts w:cs="Arial"/>
                <w:szCs w:val="20"/>
              </w:rPr>
            </w:pPr>
            <w:r w:rsidRPr="009B3099">
              <w:rPr>
                <w:rFonts w:cs="Arial" w:hint="eastAsia"/>
                <w:szCs w:val="20"/>
              </w:rPr>
              <w:t xml:space="preserve">     </w:t>
            </w:r>
            <w:r w:rsidRPr="009B3099">
              <w:rPr>
                <w:rFonts w:cs="Arial"/>
                <w:szCs w:val="20"/>
              </w:rPr>
              <w:t xml:space="preserve">Sample volume for first test: 75 </w:t>
            </w:r>
            <w:r w:rsidRPr="009B3099">
              <w:rPr>
                <w:rFonts w:cs="Arial" w:hint="eastAsia"/>
                <w:szCs w:val="20"/>
              </w:rPr>
              <w:t>μ</w:t>
            </w:r>
            <w:r w:rsidRPr="009B3099">
              <w:rPr>
                <w:rFonts w:cs="Arial"/>
                <w:szCs w:val="20"/>
              </w:rPr>
              <w:t>L</w:t>
            </w:r>
          </w:p>
          <w:p w14:paraId="68A44BF7" w14:textId="3409CCF0" w:rsidR="00A610DE" w:rsidRPr="009B3099" w:rsidRDefault="00A610DE" w:rsidP="00A610DE">
            <w:pPr>
              <w:rPr>
                <w:rFonts w:cs="Arial"/>
                <w:szCs w:val="20"/>
              </w:rPr>
            </w:pPr>
            <w:r w:rsidRPr="009B3099">
              <w:rPr>
                <w:rFonts w:cs="Arial"/>
                <w:szCs w:val="20"/>
              </w:rPr>
              <w:t xml:space="preserve">     Sample volume for each additional test from same sample cup: 25 </w:t>
            </w:r>
            <w:r w:rsidRPr="009B3099">
              <w:rPr>
                <w:rFonts w:cs="Arial" w:hint="eastAsia"/>
                <w:szCs w:val="20"/>
              </w:rPr>
              <w:t>μ</w:t>
            </w:r>
            <w:r w:rsidRPr="009B3099">
              <w:rPr>
                <w:rFonts w:cs="Arial"/>
                <w:szCs w:val="20"/>
              </w:rPr>
              <w:t>L</w:t>
            </w:r>
          </w:p>
          <w:p w14:paraId="680D7DD4" w14:textId="77777777" w:rsidR="00A610DE" w:rsidRPr="009B3099" w:rsidRDefault="00A610DE" w:rsidP="00A610DE">
            <w:pPr>
              <w:rPr>
                <w:rFonts w:cs="Arial"/>
                <w:szCs w:val="20"/>
              </w:rPr>
            </w:pPr>
          </w:p>
          <w:p w14:paraId="02033FB7" w14:textId="585FFD53" w:rsidR="00A610DE" w:rsidRPr="005F643B" w:rsidRDefault="005F643B" w:rsidP="00A610DE">
            <w:pPr>
              <w:rPr>
                <w:rFonts w:cs="Arial"/>
                <w:szCs w:val="20"/>
              </w:rPr>
            </w:pPr>
            <w:r>
              <w:rPr>
                <w:rFonts w:cs="Arial"/>
                <w:szCs w:val="20"/>
              </w:rPr>
              <w:t>Loaded routinely:</w:t>
            </w:r>
          </w:p>
          <w:p w14:paraId="51B0020E" w14:textId="25A8063C" w:rsidR="00A610DE" w:rsidRPr="009B3099" w:rsidRDefault="00A610DE" w:rsidP="00A610DE">
            <w:pPr>
              <w:rPr>
                <w:rFonts w:cs="Arial"/>
                <w:szCs w:val="20"/>
              </w:rPr>
            </w:pPr>
            <w:r w:rsidRPr="009B3099">
              <w:rPr>
                <w:rFonts w:cs="Arial" w:hint="eastAsia"/>
                <w:szCs w:val="20"/>
              </w:rPr>
              <w:t xml:space="preserve">     </w:t>
            </w:r>
            <w:r w:rsidRPr="009B3099">
              <w:rPr>
                <w:rFonts w:cs="Arial"/>
                <w:szCs w:val="20"/>
              </w:rPr>
              <w:t xml:space="preserve">Sample volume for first test: 150 </w:t>
            </w:r>
            <w:r w:rsidRPr="009B3099">
              <w:rPr>
                <w:rFonts w:cs="Arial" w:hint="eastAsia"/>
                <w:szCs w:val="20"/>
              </w:rPr>
              <w:t>μ</w:t>
            </w:r>
            <w:r w:rsidRPr="009B3099">
              <w:rPr>
                <w:rFonts w:cs="Arial"/>
                <w:szCs w:val="20"/>
              </w:rPr>
              <w:t>L</w:t>
            </w:r>
          </w:p>
          <w:p w14:paraId="3DB3E08D" w14:textId="3726ED3C" w:rsidR="00A610DE" w:rsidRPr="009B3099" w:rsidRDefault="00A610DE" w:rsidP="00A610DE">
            <w:pPr>
              <w:rPr>
                <w:rFonts w:cs="Arial"/>
                <w:szCs w:val="20"/>
              </w:rPr>
            </w:pPr>
            <w:r w:rsidRPr="009B3099">
              <w:rPr>
                <w:rFonts w:cs="Arial" w:hint="eastAsia"/>
                <w:szCs w:val="20"/>
              </w:rPr>
              <w:t xml:space="preserve">     </w:t>
            </w:r>
            <w:r w:rsidRPr="009B3099">
              <w:rPr>
                <w:rFonts w:cs="Arial"/>
                <w:szCs w:val="20"/>
              </w:rPr>
              <w:t xml:space="preserve">Sample volume for each additional test from same sample cup: 25 </w:t>
            </w:r>
            <w:r w:rsidRPr="009B3099">
              <w:rPr>
                <w:rFonts w:cs="Arial" w:hint="eastAsia"/>
                <w:szCs w:val="20"/>
              </w:rPr>
              <w:t>μ</w:t>
            </w:r>
            <w:r w:rsidRPr="009B3099">
              <w:rPr>
                <w:rFonts w:cs="Arial"/>
                <w:szCs w:val="20"/>
              </w:rPr>
              <w:t>L</w:t>
            </w:r>
          </w:p>
          <w:p w14:paraId="5A423AEB" w14:textId="77777777" w:rsidR="00F045AB" w:rsidRPr="009B3099" w:rsidRDefault="00F045AB" w:rsidP="00A610DE">
            <w:pPr>
              <w:rPr>
                <w:rFonts w:cs="Arial"/>
                <w:szCs w:val="20"/>
              </w:rPr>
            </w:pPr>
          </w:p>
          <w:p w14:paraId="72645143" w14:textId="77777777" w:rsidR="00A610DE" w:rsidRPr="009B3099" w:rsidRDefault="00A610DE" w:rsidP="00A610DE">
            <w:pPr>
              <w:rPr>
                <w:rFonts w:cs="Arial"/>
                <w:szCs w:val="20"/>
              </w:rPr>
            </w:pPr>
          </w:p>
          <w:p w14:paraId="3DC60522" w14:textId="77777777" w:rsidR="00BD0AE4" w:rsidRPr="009B3099" w:rsidRDefault="009A1A3D">
            <w:pPr>
              <w:pStyle w:val="Header"/>
              <w:tabs>
                <w:tab w:val="clear" w:pos="4320"/>
                <w:tab w:val="clear" w:pos="8640"/>
              </w:tabs>
              <w:rPr>
                <w:rFonts w:cs="Arial"/>
                <w:szCs w:val="20"/>
              </w:rPr>
            </w:pPr>
            <w:r w:rsidRPr="009B3099">
              <w:rPr>
                <w:rFonts w:cs="Arial"/>
                <w:b/>
                <w:bCs/>
                <w:szCs w:val="20"/>
              </w:rPr>
              <w:t>Stability when separated from cells/gel:</w:t>
            </w:r>
            <w:r w:rsidR="00504F3B" w:rsidRPr="009B3099">
              <w:rPr>
                <w:rFonts w:cs="Arial"/>
                <w:szCs w:val="20"/>
              </w:rPr>
              <w:t xml:space="preserve"> </w:t>
            </w:r>
          </w:p>
          <w:p w14:paraId="10B93C4E" w14:textId="3A6FF426" w:rsidR="0017089C" w:rsidRPr="009B3099" w:rsidRDefault="0017089C">
            <w:pPr>
              <w:pStyle w:val="Header"/>
              <w:tabs>
                <w:tab w:val="clear" w:pos="4320"/>
                <w:tab w:val="clear" w:pos="8640"/>
              </w:tabs>
              <w:rPr>
                <w:rFonts w:cs="Arial"/>
                <w:b/>
                <w:szCs w:val="20"/>
              </w:rPr>
            </w:pPr>
            <w:r w:rsidRPr="009B3099">
              <w:rPr>
                <w:rFonts w:cs="Arial"/>
                <w:b/>
                <w:szCs w:val="20"/>
              </w:rPr>
              <w:t>20 to 25°C</w:t>
            </w:r>
            <w:r w:rsidR="00437425" w:rsidRPr="009B3099">
              <w:rPr>
                <w:rFonts w:cs="Arial"/>
                <w:b/>
                <w:szCs w:val="20"/>
              </w:rPr>
              <w:tab/>
            </w:r>
            <w:r w:rsidR="005F643B">
              <w:rPr>
                <w:rFonts w:cs="Arial"/>
                <w:szCs w:val="20"/>
              </w:rPr>
              <w:t>Not specified.  Remove to storage at least once per shift.</w:t>
            </w:r>
          </w:p>
          <w:p w14:paraId="5CCFFF99" w14:textId="5F01610A" w:rsidR="00E3253B" w:rsidRPr="009B3099" w:rsidRDefault="00BD0AE4">
            <w:pPr>
              <w:pStyle w:val="Header"/>
              <w:tabs>
                <w:tab w:val="clear" w:pos="4320"/>
                <w:tab w:val="clear" w:pos="8640"/>
              </w:tabs>
              <w:rPr>
                <w:rFonts w:cs="Arial"/>
                <w:szCs w:val="20"/>
              </w:rPr>
            </w:pPr>
            <w:r w:rsidRPr="009B3099">
              <w:rPr>
                <w:rFonts w:cs="Arial"/>
                <w:b/>
                <w:szCs w:val="20"/>
              </w:rPr>
              <w:t>2 to 8°C</w:t>
            </w:r>
            <w:r w:rsidR="00437425" w:rsidRPr="009B3099">
              <w:rPr>
                <w:rFonts w:cs="Arial"/>
                <w:b/>
                <w:szCs w:val="20"/>
              </w:rPr>
              <w:tab/>
            </w:r>
            <w:r w:rsidR="00A610DE" w:rsidRPr="009B3099">
              <w:rPr>
                <w:rFonts w:cs="Arial"/>
                <w:szCs w:val="20"/>
              </w:rPr>
              <w:t>7 days</w:t>
            </w:r>
          </w:p>
          <w:p w14:paraId="594E4A3A" w14:textId="6ECE2915" w:rsidR="00BD0AE4" w:rsidRPr="009B3099" w:rsidRDefault="00BD0AE4">
            <w:pPr>
              <w:pStyle w:val="Header"/>
              <w:tabs>
                <w:tab w:val="clear" w:pos="4320"/>
                <w:tab w:val="clear" w:pos="8640"/>
              </w:tabs>
              <w:rPr>
                <w:rFonts w:cs="Arial"/>
                <w:szCs w:val="20"/>
              </w:rPr>
            </w:pPr>
            <w:r w:rsidRPr="009B3099">
              <w:rPr>
                <w:rFonts w:cs="Arial"/>
                <w:b/>
                <w:szCs w:val="20"/>
              </w:rPr>
              <w:t>-20°C</w:t>
            </w:r>
            <w:r w:rsidR="00437425" w:rsidRPr="009B3099">
              <w:rPr>
                <w:rFonts w:cs="Arial"/>
                <w:szCs w:val="20"/>
              </w:rPr>
              <w:tab/>
            </w:r>
            <w:r w:rsidR="00437425" w:rsidRPr="009B3099">
              <w:rPr>
                <w:rFonts w:cs="Arial"/>
                <w:szCs w:val="20"/>
              </w:rPr>
              <w:tab/>
            </w:r>
            <w:r w:rsidR="005F643B">
              <w:rPr>
                <w:rFonts w:cs="Arial"/>
                <w:szCs w:val="20"/>
              </w:rPr>
              <w:t>14 days</w:t>
            </w:r>
          </w:p>
          <w:p w14:paraId="1787D068" w14:textId="77777777" w:rsidR="00BD0AE4" w:rsidRPr="009B3099" w:rsidRDefault="00BD0AE4">
            <w:pPr>
              <w:pStyle w:val="Header"/>
              <w:tabs>
                <w:tab w:val="clear" w:pos="4320"/>
                <w:tab w:val="clear" w:pos="8640"/>
              </w:tabs>
              <w:rPr>
                <w:rFonts w:cs="Arial"/>
                <w:szCs w:val="20"/>
              </w:rPr>
            </w:pPr>
          </w:p>
          <w:p w14:paraId="50AD946B" w14:textId="77777777" w:rsidR="00A610DE" w:rsidRPr="009B3099" w:rsidRDefault="00E3253B">
            <w:pPr>
              <w:rPr>
                <w:rFonts w:cs="Arial"/>
                <w:szCs w:val="20"/>
              </w:rPr>
            </w:pPr>
            <w:r w:rsidRPr="009B3099">
              <w:rPr>
                <w:rFonts w:cs="Arial"/>
                <w:b/>
                <w:bCs/>
                <w:szCs w:val="20"/>
              </w:rPr>
              <w:t>Rejection criteria:</w:t>
            </w:r>
            <w:r w:rsidRPr="009B3099">
              <w:rPr>
                <w:rFonts w:cs="Arial"/>
                <w:szCs w:val="20"/>
              </w:rPr>
              <w:t xml:space="preserve"> </w:t>
            </w:r>
          </w:p>
          <w:p w14:paraId="245DD7EA" w14:textId="7A703F7E" w:rsidR="00A610DE" w:rsidRPr="009B3099" w:rsidRDefault="00A610DE" w:rsidP="00A610DE">
            <w:pPr>
              <w:pStyle w:val="ListParagraph"/>
              <w:numPr>
                <w:ilvl w:val="0"/>
                <w:numId w:val="41"/>
              </w:numPr>
              <w:rPr>
                <w:rFonts w:cs="Arial"/>
                <w:szCs w:val="20"/>
              </w:rPr>
            </w:pPr>
            <w:r w:rsidRPr="009B3099">
              <w:rPr>
                <w:rFonts w:cs="Arial"/>
                <w:szCs w:val="20"/>
              </w:rPr>
              <w:t>Unlabeled tube</w:t>
            </w:r>
          </w:p>
          <w:p w14:paraId="5CCFFF9A" w14:textId="5DBEB3E4" w:rsidR="00E3253B" w:rsidRPr="009B3099" w:rsidRDefault="00A610DE" w:rsidP="00A610DE">
            <w:pPr>
              <w:pStyle w:val="ListParagraph"/>
              <w:numPr>
                <w:ilvl w:val="0"/>
                <w:numId w:val="41"/>
              </w:numPr>
              <w:rPr>
                <w:rFonts w:cs="Arial"/>
                <w:szCs w:val="20"/>
              </w:rPr>
            </w:pPr>
            <w:r w:rsidRPr="009B3099">
              <w:rPr>
                <w:rFonts w:cs="Arial"/>
                <w:szCs w:val="20"/>
              </w:rPr>
              <w:t>S</w:t>
            </w:r>
            <w:r w:rsidR="001102B2" w:rsidRPr="009B3099">
              <w:rPr>
                <w:rFonts w:cs="Arial"/>
                <w:szCs w:val="20"/>
              </w:rPr>
              <w:t xml:space="preserve">ample type other than serum or </w:t>
            </w:r>
            <w:r w:rsidR="00504F3B" w:rsidRPr="009B3099">
              <w:rPr>
                <w:rFonts w:cs="Arial"/>
                <w:szCs w:val="20"/>
              </w:rPr>
              <w:t>acceptable</w:t>
            </w:r>
            <w:r w:rsidR="009A1A3D" w:rsidRPr="009B3099">
              <w:rPr>
                <w:rFonts w:cs="Arial"/>
                <w:szCs w:val="20"/>
              </w:rPr>
              <w:t xml:space="preserve"> plasma</w:t>
            </w:r>
          </w:p>
          <w:p w14:paraId="6AC626E9" w14:textId="3B1B2B27" w:rsidR="00A610DE" w:rsidRPr="009B3099" w:rsidRDefault="00A610DE" w:rsidP="00A610DE">
            <w:pPr>
              <w:pStyle w:val="ListParagraph"/>
              <w:numPr>
                <w:ilvl w:val="0"/>
                <w:numId w:val="41"/>
              </w:numPr>
              <w:rPr>
                <w:rFonts w:cs="Arial"/>
                <w:szCs w:val="20"/>
              </w:rPr>
            </w:pPr>
            <w:r w:rsidRPr="009B3099">
              <w:rPr>
                <w:rFonts w:cs="Arial"/>
                <w:szCs w:val="20"/>
              </w:rPr>
              <w:t>Heat-inactivated specimens</w:t>
            </w:r>
          </w:p>
          <w:p w14:paraId="4ECF9FAC" w14:textId="4479DE56" w:rsidR="00A610DE" w:rsidRPr="009B3099" w:rsidRDefault="00A610DE" w:rsidP="00A610DE">
            <w:pPr>
              <w:pStyle w:val="ListParagraph"/>
              <w:numPr>
                <w:ilvl w:val="0"/>
                <w:numId w:val="41"/>
              </w:numPr>
              <w:rPr>
                <w:rFonts w:cs="Arial"/>
                <w:szCs w:val="20"/>
              </w:rPr>
            </w:pPr>
            <w:r w:rsidRPr="009B3099">
              <w:rPr>
                <w:rFonts w:cs="Arial"/>
                <w:szCs w:val="20"/>
              </w:rPr>
              <w:t>Pooled specimens</w:t>
            </w:r>
          </w:p>
          <w:p w14:paraId="0E2D5A09" w14:textId="17862B99" w:rsidR="00A610DE" w:rsidRPr="009B3099" w:rsidRDefault="00A610DE" w:rsidP="00A610DE">
            <w:pPr>
              <w:pStyle w:val="ListParagraph"/>
              <w:numPr>
                <w:ilvl w:val="0"/>
                <w:numId w:val="41"/>
              </w:numPr>
              <w:rPr>
                <w:rFonts w:cs="Arial"/>
                <w:szCs w:val="20"/>
              </w:rPr>
            </w:pPr>
            <w:r w:rsidRPr="009B3099">
              <w:rPr>
                <w:rFonts w:cs="Arial"/>
                <w:szCs w:val="20"/>
              </w:rPr>
              <w:t>Grossly hemolyzed specimens</w:t>
            </w:r>
            <w:r w:rsidR="005F643B">
              <w:rPr>
                <w:rFonts w:cs="Arial"/>
                <w:szCs w:val="20"/>
              </w:rPr>
              <w:t>: append –HP if samples are grossly hemolyzed.  See interferences and reporting instructions.</w:t>
            </w:r>
          </w:p>
          <w:p w14:paraId="72467F5C" w14:textId="67AFD168" w:rsidR="00A610DE" w:rsidRPr="009B3099" w:rsidRDefault="00A610DE" w:rsidP="00A610DE">
            <w:pPr>
              <w:pStyle w:val="ListParagraph"/>
              <w:numPr>
                <w:ilvl w:val="0"/>
                <w:numId w:val="41"/>
              </w:numPr>
              <w:rPr>
                <w:rFonts w:cs="Arial"/>
                <w:szCs w:val="20"/>
              </w:rPr>
            </w:pPr>
            <w:r w:rsidRPr="009B3099">
              <w:rPr>
                <w:rFonts w:cs="Arial"/>
                <w:szCs w:val="20"/>
              </w:rPr>
              <w:t>Specimens with obvious microbial contamination</w:t>
            </w:r>
          </w:p>
          <w:p w14:paraId="5CCFFF9B" w14:textId="77777777" w:rsidR="00B11633" w:rsidRPr="009B3099" w:rsidRDefault="00B11633" w:rsidP="00B11633">
            <w:pPr>
              <w:autoSpaceDE w:val="0"/>
              <w:autoSpaceDN w:val="0"/>
              <w:adjustRightInd w:val="0"/>
              <w:rPr>
                <w:rFonts w:eastAsia="HelenPro-Regular" w:cs="Arial"/>
                <w:szCs w:val="20"/>
              </w:rPr>
            </w:pPr>
          </w:p>
          <w:p w14:paraId="5CCFFF9C" w14:textId="77777777" w:rsidR="00E93074" w:rsidRPr="009B3099" w:rsidRDefault="00E93074" w:rsidP="00E93074">
            <w:pPr>
              <w:jc w:val="both"/>
              <w:rPr>
                <w:rFonts w:cs="Arial"/>
                <w:szCs w:val="20"/>
              </w:rPr>
            </w:pPr>
            <w:r w:rsidRPr="009B3099">
              <w:rPr>
                <w:rFonts w:cs="Arial"/>
                <w:b/>
                <w:bCs/>
                <w:szCs w:val="20"/>
              </w:rPr>
              <w:t>Preparation:</w:t>
            </w:r>
            <w:r w:rsidRPr="009B3099">
              <w:rPr>
                <w:rFonts w:cs="Arial"/>
                <w:szCs w:val="20"/>
              </w:rPr>
              <w:t xml:space="preserve"> </w:t>
            </w:r>
          </w:p>
          <w:p w14:paraId="21A0C586" w14:textId="77777777" w:rsidR="005F643B" w:rsidRPr="005F643B" w:rsidRDefault="005F643B" w:rsidP="005F643B">
            <w:pPr>
              <w:numPr>
                <w:ilvl w:val="0"/>
                <w:numId w:val="26"/>
              </w:numPr>
              <w:jc w:val="both"/>
              <w:rPr>
                <w:rFonts w:cs="Arial"/>
                <w:szCs w:val="20"/>
              </w:rPr>
            </w:pPr>
            <w:r w:rsidRPr="005F643B">
              <w:rPr>
                <w:rFonts w:cs="Arial"/>
                <w:szCs w:val="20"/>
              </w:rPr>
              <w:t>Whole blood specimens should be centrifuged following complete clot formation, according to Specimen Processing procedures prior to analysis.</w:t>
            </w:r>
          </w:p>
          <w:p w14:paraId="2FC6728F" w14:textId="77777777" w:rsidR="005F643B" w:rsidRPr="005F643B" w:rsidRDefault="005F643B" w:rsidP="005F643B">
            <w:pPr>
              <w:numPr>
                <w:ilvl w:val="0"/>
                <w:numId w:val="26"/>
              </w:numPr>
              <w:jc w:val="both"/>
              <w:rPr>
                <w:rFonts w:cs="Arial"/>
                <w:szCs w:val="20"/>
              </w:rPr>
            </w:pPr>
            <w:r w:rsidRPr="005F643B">
              <w:rPr>
                <w:rFonts w:cs="Arial"/>
                <w:szCs w:val="20"/>
              </w:rPr>
              <w:t>Serum or plasma should be physically separated from cells as soon as possible with a maximum limit of two hours from the time of collection.</w:t>
            </w:r>
          </w:p>
          <w:p w14:paraId="6B25995C" w14:textId="77777777" w:rsidR="005F643B" w:rsidRPr="005F643B" w:rsidRDefault="005F643B" w:rsidP="005F643B">
            <w:pPr>
              <w:numPr>
                <w:ilvl w:val="0"/>
                <w:numId w:val="26"/>
              </w:numPr>
              <w:jc w:val="both"/>
              <w:rPr>
                <w:rFonts w:cs="Arial"/>
                <w:szCs w:val="20"/>
              </w:rPr>
            </w:pPr>
            <w:r w:rsidRPr="005F643B">
              <w:rPr>
                <w:rFonts w:cs="Arial"/>
                <w:szCs w:val="20"/>
              </w:rPr>
              <w:t xml:space="preserve">Specimens should be free of particulate matter. </w:t>
            </w:r>
          </w:p>
          <w:p w14:paraId="1C794E38" w14:textId="77777777" w:rsidR="005F643B" w:rsidRPr="005F643B" w:rsidRDefault="005F643B" w:rsidP="005F643B">
            <w:pPr>
              <w:numPr>
                <w:ilvl w:val="0"/>
                <w:numId w:val="26"/>
              </w:numPr>
              <w:jc w:val="both"/>
              <w:rPr>
                <w:rFonts w:cs="Arial"/>
                <w:szCs w:val="20"/>
              </w:rPr>
            </w:pPr>
            <w:r w:rsidRPr="005F643B">
              <w:rPr>
                <w:rFonts w:cs="Arial"/>
                <w:szCs w:val="20"/>
              </w:rPr>
              <w:t xml:space="preserve">Transfer serum or plasma directly to a properly labeled pilot tube.  </w:t>
            </w:r>
          </w:p>
          <w:p w14:paraId="74BA6E1E" w14:textId="77777777" w:rsidR="005F643B" w:rsidRPr="005F643B" w:rsidRDefault="005F643B" w:rsidP="005F643B">
            <w:pPr>
              <w:numPr>
                <w:ilvl w:val="0"/>
                <w:numId w:val="26"/>
              </w:numPr>
              <w:jc w:val="both"/>
              <w:rPr>
                <w:rFonts w:cs="Arial"/>
                <w:szCs w:val="20"/>
              </w:rPr>
            </w:pPr>
            <w:r w:rsidRPr="005F643B">
              <w:rPr>
                <w:rFonts w:cs="Arial"/>
                <w:szCs w:val="20"/>
              </w:rPr>
              <w:t xml:space="preserve">Architect and Alinity systems utilize a specimen level detect mechanism, so special racks specific to tube-type are not required.  </w:t>
            </w:r>
          </w:p>
          <w:p w14:paraId="2F1F6272" w14:textId="77777777" w:rsidR="005F643B" w:rsidRPr="005F643B" w:rsidRDefault="005F643B" w:rsidP="005F643B">
            <w:pPr>
              <w:numPr>
                <w:ilvl w:val="0"/>
                <w:numId w:val="26"/>
              </w:numPr>
              <w:jc w:val="both"/>
              <w:rPr>
                <w:rFonts w:cs="Arial"/>
                <w:szCs w:val="20"/>
              </w:rPr>
            </w:pPr>
            <w:r w:rsidRPr="005F643B">
              <w:rPr>
                <w:rFonts w:cs="Arial"/>
                <w:szCs w:val="20"/>
              </w:rPr>
              <w:t>Minimum labeling includes sample accession ID, and/ or patient name, medical record number, collection date and time.</w:t>
            </w:r>
          </w:p>
          <w:p w14:paraId="5CCFFFA2" w14:textId="77777777" w:rsidR="00E3253B" w:rsidRPr="009B3099" w:rsidRDefault="00E3253B" w:rsidP="00F6060A">
            <w:pPr>
              <w:autoSpaceDE w:val="0"/>
              <w:autoSpaceDN w:val="0"/>
              <w:adjustRightInd w:val="0"/>
              <w:rPr>
                <w:rFonts w:cs="Arial"/>
                <w:szCs w:val="20"/>
              </w:rPr>
            </w:pPr>
          </w:p>
        </w:tc>
      </w:tr>
      <w:tr w:rsidR="00D955F6" w:rsidRPr="009B3099" w14:paraId="5CCFFFB0" w14:textId="77777777" w:rsidTr="007132A9">
        <w:trPr>
          <w:tblHeader/>
        </w:trPr>
        <w:tc>
          <w:tcPr>
            <w:tcW w:w="1800" w:type="dxa"/>
            <w:tcBorders>
              <w:top w:val="nil"/>
              <w:left w:val="nil"/>
              <w:bottom w:val="nil"/>
              <w:right w:val="nil"/>
            </w:tcBorders>
          </w:tcPr>
          <w:p w14:paraId="5CCFFFA4" w14:textId="174964E9" w:rsidR="00D955F6" w:rsidRPr="009B3099" w:rsidRDefault="00D955F6">
            <w:pPr>
              <w:rPr>
                <w:rFonts w:cs="Arial"/>
                <w:b/>
                <w:bCs/>
                <w:color w:val="0000FF"/>
                <w:szCs w:val="20"/>
              </w:rPr>
            </w:pPr>
            <w:r w:rsidRPr="009B3099">
              <w:rPr>
                <w:rFonts w:cs="Arial"/>
                <w:b/>
                <w:bCs/>
                <w:color w:val="0000FF"/>
                <w:szCs w:val="20"/>
              </w:rPr>
              <w:lastRenderedPageBreak/>
              <w:t>Reagents</w:t>
            </w:r>
          </w:p>
          <w:p w14:paraId="5CCFFFA5" w14:textId="77777777" w:rsidR="00D955F6" w:rsidRPr="009B3099"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37DF4468" w:rsidR="007B410A" w:rsidRPr="009B3099" w:rsidRDefault="00233AA0" w:rsidP="007B410A">
            <w:pPr>
              <w:autoSpaceDE w:val="0"/>
              <w:autoSpaceDN w:val="0"/>
              <w:adjustRightInd w:val="0"/>
              <w:rPr>
                <w:rFonts w:cs="Arial"/>
                <w:color w:val="000000"/>
                <w:szCs w:val="20"/>
              </w:rPr>
            </w:pPr>
            <w:r w:rsidRPr="009B3099">
              <w:rPr>
                <w:rFonts w:cs="Arial"/>
                <w:b/>
                <w:bCs/>
                <w:color w:val="000000"/>
                <w:szCs w:val="20"/>
              </w:rPr>
              <w:t xml:space="preserve">Reagent Handling </w:t>
            </w:r>
          </w:p>
          <w:p w14:paraId="118E8882" w14:textId="344848BD" w:rsidR="00A301C5" w:rsidRPr="009B3099" w:rsidRDefault="005F643B" w:rsidP="00A301C5">
            <w:pPr>
              <w:autoSpaceDE w:val="0"/>
              <w:autoSpaceDN w:val="0"/>
              <w:adjustRightInd w:val="0"/>
              <w:spacing w:after="208"/>
              <w:rPr>
                <w:rFonts w:cs="Arial"/>
                <w:color w:val="000000"/>
                <w:szCs w:val="20"/>
              </w:rPr>
            </w:pPr>
            <w:r w:rsidRPr="005F643B">
              <w:rPr>
                <w:rFonts w:cs="Arial"/>
                <w:color w:val="000000"/>
                <w:szCs w:val="20"/>
              </w:rPr>
              <w:t>Reagents are shipped on wet ice or frozen gel packs.</w:t>
            </w:r>
            <w:r>
              <w:rPr>
                <w:rFonts w:cs="Arial"/>
                <w:color w:val="000000"/>
                <w:szCs w:val="20"/>
              </w:rPr>
              <w:t xml:space="preserve">  </w:t>
            </w:r>
            <w:r w:rsidR="00A301C5" w:rsidRPr="009B3099">
              <w:rPr>
                <w:rFonts w:cs="Arial"/>
                <w:color w:val="000000"/>
                <w:szCs w:val="20"/>
              </w:rPr>
              <w:t>Upon receipt, gently invert the unopened reagent kit by rotating it over and back for a full 180 degrees, 5 times with green label stripe facing up and then 5 times with green label stripe facing down. This ensures that liquid covers all sides of the bottles within the cartridges. During reagent shipment, microparticles can settle on the reagent septum.</w:t>
            </w:r>
          </w:p>
          <w:p w14:paraId="3A982B0F" w14:textId="3F1DA1D7" w:rsidR="00A301C5" w:rsidRPr="005F643B" w:rsidRDefault="00A301C5" w:rsidP="00A301C5">
            <w:pPr>
              <w:autoSpaceDE w:val="0"/>
              <w:autoSpaceDN w:val="0"/>
              <w:adjustRightInd w:val="0"/>
              <w:spacing w:after="208"/>
              <w:rPr>
                <w:rFonts w:cs="Arial"/>
                <w:b/>
                <w:color w:val="000000"/>
                <w:szCs w:val="20"/>
              </w:rPr>
            </w:pPr>
            <w:r w:rsidRPr="005F643B">
              <w:rPr>
                <w:rFonts w:cs="Arial"/>
                <w:b/>
                <w:color w:val="000000"/>
                <w:szCs w:val="20"/>
              </w:rPr>
              <w:t>Place a check in the square on the reagent kit to indicate to others that the inversions have been completed.</w:t>
            </w:r>
          </w:p>
          <w:p w14:paraId="56135A7E" w14:textId="1FFDD4CF" w:rsidR="00A301C5" w:rsidRPr="009B3099" w:rsidRDefault="00A301C5" w:rsidP="00A301C5">
            <w:pPr>
              <w:autoSpaceDE w:val="0"/>
              <w:autoSpaceDN w:val="0"/>
              <w:adjustRightInd w:val="0"/>
              <w:spacing w:after="208"/>
              <w:rPr>
                <w:rFonts w:cs="Arial"/>
                <w:color w:val="000000"/>
                <w:szCs w:val="20"/>
              </w:rPr>
            </w:pPr>
            <w:r w:rsidRPr="009B3099">
              <w:rPr>
                <w:rFonts w:cs="Arial"/>
                <w:color w:val="000000"/>
                <w:szCs w:val="20"/>
              </w:rPr>
              <w:t>After mixing, place reagent cartridges in an upright position for 1 hour before use to allow bubbles that may have formed to dissipate.</w:t>
            </w:r>
          </w:p>
          <w:p w14:paraId="666CE016" w14:textId="30B1EA77" w:rsidR="00D955F6" w:rsidRPr="009B3099" w:rsidRDefault="007B410A" w:rsidP="0081197E">
            <w:pPr>
              <w:autoSpaceDE w:val="0"/>
              <w:autoSpaceDN w:val="0"/>
              <w:adjustRightInd w:val="0"/>
              <w:spacing w:after="208"/>
              <w:rPr>
                <w:rFonts w:cs="Arial"/>
                <w:color w:val="000000"/>
                <w:szCs w:val="20"/>
              </w:rPr>
            </w:pPr>
            <w:r w:rsidRPr="009B3099">
              <w:rPr>
                <w:rFonts w:cs="Arial"/>
                <w:color w:val="000000"/>
                <w:szCs w:val="20"/>
              </w:rPr>
              <w:t xml:space="preserve">If a reagent cartridge is dropped, place in an upright position for </w:t>
            </w:r>
            <w:r w:rsidR="00A301C5" w:rsidRPr="009B3099">
              <w:rPr>
                <w:rFonts w:cs="Arial"/>
                <w:color w:val="000000"/>
                <w:szCs w:val="20"/>
              </w:rPr>
              <w:t>1</w:t>
            </w:r>
            <w:r w:rsidRPr="009B3099">
              <w:rPr>
                <w:rFonts w:cs="Arial"/>
                <w:color w:val="000000"/>
                <w:szCs w:val="20"/>
              </w:rPr>
              <w:t xml:space="preserve"> hour before use to allow bubbles that may have formed to dissipate. </w:t>
            </w:r>
          </w:p>
          <w:p w14:paraId="79DDAA3E" w14:textId="77777777" w:rsidR="00A062E1" w:rsidRPr="009B3099" w:rsidRDefault="00A062E1" w:rsidP="00A062E1">
            <w:pPr>
              <w:autoSpaceDE w:val="0"/>
              <w:autoSpaceDN w:val="0"/>
              <w:adjustRightInd w:val="0"/>
              <w:rPr>
                <w:rFonts w:cs="Arial"/>
                <w:color w:val="000000"/>
                <w:szCs w:val="20"/>
              </w:rPr>
            </w:pPr>
            <w:r w:rsidRPr="009B3099">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9B3099" w:rsidRDefault="00A062E1" w:rsidP="00A062E1">
            <w:pPr>
              <w:autoSpaceDE w:val="0"/>
              <w:autoSpaceDN w:val="0"/>
              <w:adjustRightInd w:val="0"/>
              <w:rPr>
                <w:rFonts w:cs="Arial"/>
                <w:color w:val="000000"/>
                <w:szCs w:val="20"/>
              </w:rPr>
            </w:pPr>
          </w:p>
          <w:p w14:paraId="6D28E8F9" w14:textId="77777777" w:rsidR="00A062E1" w:rsidRPr="009B3099" w:rsidRDefault="00A062E1" w:rsidP="00A062E1">
            <w:pPr>
              <w:pStyle w:val="ListParagraph"/>
              <w:numPr>
                <w:ilvl w:val="0"/>
                <w:numId w:val="38"/>
              </w:numPr>
              <w:autoSpaceDE w:val="0"/>
              <w:autoSpaceDN w:val="0"/>
              <w:adjustRightInd w:val="0"/>
              <w:rPr>
                <w:rFonts w:eastAsia="HelenPro-Regular"/>
                <w:szCs w:val="20"/>
              </w:rPr>
            </w:pPr>
            <w:r w:rsidRPr="009B3099">
              <w:rPr>
                <w:rFonts w:eastAsia="HelenPro-Regular"/>
                <w:szCs w:val="20"/>
              </w:rPr>
              <w:t>Do not use reagents beyond the expiration date.</w:t>
            </w:r>
          </w:p>
          <w:p w14:paraId="557E834E" w14:textId="77777777" w:rsidR="00A062E1" w:rsidRPr="009B3099" w:rsidRDefault="00A062E1" w:rsidP="00A062E1">
            <w:pPr>
              <w:pStyle w:val="ListParagraph"/>
              <w:numPr>
                <w:ilvl w:val="0"/>
                <w:numId w:val="38"/>
              </w:numPr>
              <w:autoSpaceDE w:val="0"/>
              <w:autoSpaceDN w:val="0"/>
              <w:adjustRightInd w:val="0"/>
              <w:rPr>
                <w:rFonts w:eastAsia="HelenPro-Regular"/>
                <w:szCs w:val="20"/>
              </w:rPr>
            </w:pPr>
            <w:r w:rsidRPr="009B3099">
              <w:rPr>
                <w:rFonts w:eastAsia="HelenPro-Regular"/>
                <w:szCs w:val="20"/>
              </w:rPr>
              <w:t>Do not pool reagents within a kit or between kits.</w:t>
            </w:r>
          </w:p>
          <w:p w14:paraId="71802212" w14:textId="77777777" w:rsidR="00A062E1" w:rsidRPr="009B3099" w:rsidRDefault="00A062E1" w:rsidP="00A062E1">
            <w:pPr>
              <w:pStyle w:val="ListParagraph"/>
              <w:numPr>
                <w:ilvl w:val="0"/>
                <w:numId w:val="38"/>
              </w:numPr>
              <w:autoSpaceDE w:val="0"/>
              <w:autoSpaceDN w:val="0"/>
              <w:adjustRightInd w:val="0"/>
              <w:rPr>
                <w:rFonts w:eastAsia="HelenPro-Regular"/>
                <w:szCs w:val="20"/>
              </w:rPr>
            </w:pPr>
            <w:r w:rsidRPr="009B3099">
              <w:rPr>
                <w:rFonts w:eastAsia="HelenPro-Regular"/>
                <w:szCs w:val="20"/>
              </w:rPr>
              <w:t>Do not use components from one lot with components from another lot.</w:t>
            </w:r>
          </w:p>
          <w:p w14:paraId="5CCFFFAF" w14:textId="1C22C754" w:rsidR="007F5B07" w:rsidRPr="009B3099" w:rsidRDefault="007F5B07" w:rsidP="005125A4">
            <w:pPr>
              <w:autoSpaceDE w:val="0"/>
              <w:autoSpaceDN w:val="0"/>
              <w:adjustRightInd w:val="0"/>
              <w:rPr>
                <w:rFonts w:cs="Arial"/>
              </w:rPr>
            </w:pPr>
          </w:p>
        </w:tc>
      </w:tr>
      <w:tr w:rsidR="00D955F6" w:rsidRPr="009B3099" w14:paraId="5CCFFFC7" w14:textId="77777777" w:rsidTr="007132A9">
        <w:trPr>
          <w:trHeight w:val="4059"/>
          <w:tblHeader/>
        </w:trPr>
        <w:tc>
          <w:tcPr>
            <w:tcW w:w="1800" w:type="dxa"/>
            <w:tcBorders>
              <w:top w:val="nil"/>
              <w:left w:val="nil"/>
              <w:bottom w:val="nil"/>
              <w:right w:val="nil"/>
            </w:tcBorders>
          </w:tcPr>
          <w:p w14:paraId="5CCFFFB1" w14:textId="77777777" w:rsidR="00D955F6" w:rsidRPr="009B3099"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2CEA7141" w:rsidR="0081197E" w:rsidRPr="009B3099"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9B3099" w14:paraId="2733A6DB" w14:textId="77777777" w:rsidTr="00413A69">
              <w:tc>
                <w:tcPr>
                  <w:tcW w:w="2857" w:type="dxa"/>
                </w:tcPr>
                <w:p w14:paraId="316DA9F0" w14:textId="77777777" w:rsidR="0081197E" w:rsidRPr="009B3099" w:rsidRDefault="0081197E" w:rsidP="0081197E">
                  <w:pPr>
                    <w:pStyle w:val="Reagents"/>
                    <w:rPr>
                      <w:rFonts w:ascii="Arial" w:hAnsi="Arial" w:cs="Arial"/>
                      <w:b/>
                      <w:bCs/>
                    </w:rPr>
                  </w:pPr>
                  <w:r w:rsidRPr="009B3099">
                    <w:rPr>
                      <w:rFonts w:ascii="Arial" w:hAnsi="Arial" w:cs="Arial"/>
                      <w:b/>
                      <w:bCs/>
                      <w:i/>
                      <w:iCs/>
                    </w:rPr>
                    <w:t>Product Description</w:t>
                  </w:r>
                </w:p>
              </w:tc>
              <w:tc>
                <w:tcPr>
                  <w:tcW w:w="1710" w:type="dxa"/>
                </w:tcPr>
                <w:p w14:paraId="571D37C0" w14:textId="77777777" w:rsidR="0081197E" w:rsidRPr="009B3099" w:rsidRDefault="0081197E" w:rsidP="0081197E">
                  <w:pPr>
                    <w:pStyle w:val="Reagents"/>
                    <w:rPr>
                      <w:rFonts w:ascii="Arial" w:hAnsi="Arial" w:cs="Arial"/>
                      <w:b/>
                      <w:bCs/>
                    </w:rPr>
                  </w:pPr>
                  <w:r w:rsidRPr="009B3099">
                    <w:rPr>
                      <w:rFonts w:ascii="Arial" w:hAnsi="Arial" w:cs="Arial"/>
                      <w:b/>
                      <w:bCs/>
                      <w:i/>
                      <w:iCs/>
                    </w:rPr>
                    <w:t>Product Code</w:t>
                  </w:r>
                </w:p>
              </w:tc>
              <w:tc>
                <w:tcPr>
                  <w:tcW w:w="4533" w:type="dxa"/>
                </w:tcPr>
                <w:p w14:paraId="16F0993E" w14:textId="77777777" w:rsidR="0081197E" w:rsidRPr="009B3099" w:rsidRDefault="0081197E" w:rsidP="0081197E">
                  <w:pPr>
                    <w:pStyle w:val="Reagents"/>
                    <w:rPr>
                      <w:rFonts w:ascii="Arial" w:hAnsi="Arial" w:cs="Arial"/>
                      <w:b/>
                      <w:bCs/>
                    </w:rPr>
                  </w:pPr>
                  <w:r w:rsidRPr="009B3099">
                    <w:rPr>
                      <w:rFonts w:ascii="Arial" w:hAnsi="Arial" w:cs="Arial"/>
                      <w:b/>
                      <w:bCs/>
                      <w:i/>
                      <w:iCs/>
                    </w:rPr>
                    <w:t>Stability</w:t>
                  </w:r>
                </w:p>
              </w:tc>
            </w:tr>
            <w:tr w:rsidR="0081197E" w:rsidRPr="009B3099" w14:paraId="6CAC17D9" w14:textId="77777777" w:rsidTr="00413A69">
              <w:tc>
                <w:tcPr>
                  <w:tcW w:w="2857" w:type="dxa"/>
                  <w:vAlign w:val="center"/>
                </w:tcPr>
                <w:p w14:paraId="04BD94E7" w14:textId="0DB94ED2" w:rsidR="0081197E" w:rsidRPr="009B3099" w:rsidRDefault="00F045AB" w:rsidP="00115DD6">
                  <w:pPr>
                    <w:autoSpaceDE w:val="0"/>
                    <w:autoSpaceDN w:val="0"/>
                    <w:adjustRightInd w:val="0"/>
                    <w:rPr>
                      <w:rFonts w:cs="Arial"/>
                      <w:szCs w:val="20"/>
                    </w:rPr>
                  </w:pPr>
                  <w:r w:rsidRPr="009B3099">
                    <w:rPr>
                      <w:rFonts w:cs="Arial"/>
                      <w:szCs w:val="20"/>
                    </w:rPr>
                    <w:t>Alinity i LH Reagent Kit</w:t>
                  </w:r>
                </w:p>
              </w:tc>
              <w:tc>
                <w:tcPr>
                  <w:tcW w:w="1710" w:type="dxa"/>
                  <w:vAlign w:val="center"/>
                </w:tcPr>
                <w:p w14:paraId="78062055" w14:textId="3907A667" w:rsidR="00F045AB" w:rsidRPr="009B3099" w:rsidRDefault="00F045AB" w:rsidP="0081197E">
                  <w:pPr>
                    <w:pStyle w:val="BodyText"/>
                    <w:tabs>
                      <w:tab w:val="left" w:pos="3240"/>
                    </w:tabs>
                    <w:rPr>
                      <w:rFonts w:cs="Arial"/>
                      <w:szCs w:val="20"/>
                    </w:rPr>
                  </w:pPr>
                  <w:r w:rsidRPr="009B3099">
                    <w:rPr>
                      <w:rFonts w:cs="Arial"/>
                      <w:szCs w:val="20"/>
                    </w:rPr>
                    <w:t>07P91</w:t>
                  </w:r>
                  <w:r w:rsidR="005F643B">
                    <w:rPr>
                      <w:rFonts w:cs="Arial"/>
                      <w:szCs w:val="20"/>
                    </w:rPr>
                    <w:t>20</w:t>
                  </w:r>
                </w:p>
              </w:tc>
              <w:tc>
                <w:tcPr>
                  <w:tcW w:w="4533" w:type="dxa"/>
                  <w:vAlign w:val="center"/>
                </w:tcPr>
                <w:p w14:paraId="1E13427C" w14:textId="136BB14F" w:rsidR="0081197E" w:rsidRPr="009B3099" w:rsidRDefault="0081197E" w:rsidP="005F643B">
                  <w:pPr>
                    <w:pStyle w:val="Reagents"/>
                    <w:spacing w:after="80"/>
                    <w:rPr>
                      <w:rFonts w:ascii="Arial" w:eastAsia="HelenPro-Regular" w:hAnsi="Arial"/>
                    </w:rPr>
                  </w:pPr>
                  <w:r w:rsidRPr="009B3099">
                    <w:rPr>
                      <w:rFonts w:ascii="Arial" w:hAnsi="Arial" w:cs="Arial"/>
                      <w:b/>
                      <w:bCs/>
                    </w:rPr>
                    <w:t>Store at:</w:t>
                  </w:r>
                  <w:r w:rsidRPr="009B3099">
                    <w:rPr>
                      <w:rFonts w:ascii="Arial" w:hAnsi="Arial" w:cs="Arial"/>
                      <w:bCs/>
                    </w:rPr>
                    <w:t xml:space="preserve"> </w:t>
                  </w:r>
                  <w:r w:rsidR="00F045AB" w:rsidRPr="009B3099">
                    <w:rPr>
                      <w:rFonts w:ascii="Arial" w:hAnsi="Arial" w:cs="Arial"/>
                      <w:bCs/>
                    </w:rPr>
                    <w:t>2 to 8°C</w:t>
                  </w:r>
                  <w:r w:rsidR="005F643B">
                    <w:t xml:space="preserve"> </w:t>
                  </w:r>
                  <w:r w:rsidR="005F643B" w:rsidRPr="005F643B">
                    <w:rPr>
                      <w:rFonts w:ascii="Arial" w:hAnsi="Arial" w:cs="Arial"/>
                      <w:bCs/>
                    </w:rPr>
                    <w:t>Store in upright position.</w:t>
                  </w:r>
                  <w:r w:rsidR="005F643B">
                    <w:rPr>
                      <w:rFonts w:ascii="Arial" w:hAnsi="Arial" w:cs="Arial"/>
                      <w:bCs/>
                    </w:rPr>
                    <w:t xml:space="preserve"> </w:t>
                  </w:r>
                  <w:r w:rsidR="005F643B" w:rsidRPr="005F643B">
                    <w:rPr>
                      <w:rFonts w:ascii="Arial" w:hAnsi="Arial" w:cs="Arial"/>
                      <w:bCs/>
                    </w:rPr>
                    <w:t>If cartridge does not</w:t>
                  </w:r>
                  <w:r w:rsidR="005F643B">
                    <w:rPr>
                      <w:rFonts w:ascii="Arial" w:hAnsi="Arial" w:cs="Arial"/>
                      <w:bCs/>
                    </w:rPr>
                    <w:t xml:space="preserve"> </w:t>
                  </w:r>
                  <w:r w:rsidR="005F643B" w:rsidRPr="005F643B">
                    <w:rPr>
                      <w:rFonts w:ascii="Arial" w:hAnsi="Arial" w:cs="Arial"/>
                      <w:bCs/>
                    </w:rPr>
                    <w:t>remain upright, gently</w:t>
                  </w:r>
                  <w:r w:rsidR="005F643B">
                    <w:rPr>
                      <w:rFonts w:ascii="Arial" w:hAnsi="Arial" w:cs="Arial"/>
                      <w:bCs/>
                    </w:rPr>
                    <w:t xml:space="preserve"> </w:t>
                  </w:r>
                  <w:r w:rsidR="005F643B" w:rsidRPr="005F643B">
                    <w:rPr>
                      <w:rFonts w:ascii="Arial" w:hAnsi="Arial" w:cs="Arial"/>
                      <w:bCs/>
                    </w:rPr>
                    <w:t>invert the cartridge 10</w:t>
                  </w:r>
                  <w:r w:rsidR="005F643B">
                    <w:rPr>
                      <w:rFonts w:ascii="Arial" w:hAnsi="Arial" w:cs="Arial"/>
                      <w:bCs/>
                    </w:rPr>
                    <w:t xml:space="preserve"> </w:t>
                  </w:r>
                  <w:r w:rsidR="005F643B" w:rsidRPr="005F643B">
                    <w:rPr>
                      <w:rFonts w:ascii="Arial" w:hAnsi="Arial" w:cs="Arial"/>
                      <w:bCs/>
                    </w:rPr>
                    <w:t>times and place in an</w:t>
                  </w:r>
                  <w:r w:rsidR="005F643B">
                    <w:rPr>
                      <w:rFonts w:ascii="Arial" w:hAnsi="Arial" w:cs="Arial"/>
                      <w:bCs/>
                    </w:rPr>
                    <w:t xml:space="preserve"> </w:t>
                  </w:r>
                  <w:r w:rsidR="005F643B" w:rsidRPr="005F643B">
                    <w:rPr>
                      <w:rFonts w:ascii="Arial" w:hAnsi="Arial" w:cs="Arial"/>
                      <w:bCs/>
                    </w:rPr>
                    <w:t>upright position for 1 hour</w:t>
                  </w:r>
                  <w:r w:rsidR="005F643B">
                    <w:rPr>
                      <w:rFonts w:ascii="Arial" w:hAnsi="Arial" w:cs="Arial"/>
                      <w:bCs/>
                    </w:rPr>
                    <w:t xml:space="preserve"> </w:t>
                  </w:r>
                  <w:r w:rsidR="005F643B" w:rsidRPr="005F643B">
                    <w:rPr>
                      <w:rFonts w:ascii="Arial" w:hAnsi="Arial" w:cs="Arial"/>
                      <w:bCs/>
                    </w:rPr>
                    <w:t>before use.</w:t>
                  </w:r>
                </w:p>
                <w:p w14:paraId="188F00FD" w14:textId="17EFCB25" w:rsidR="00115DD6" w:rsidRPr="009B3099" w:rsidRDefault="0081197E" w:rsidP="0081197E">
                  <w:pPr>
                    <w:pStyle w:val="Reagents"/>
                    <w:spacing w:after="80"/>
                    <w:rPr>
                      <w:rFonts w:ascii="Arial" w:hAnsi="Arial" w:cs="Arial"/>
                      <w:b/>
                      <w:bCs/>
                    </w:rPr>
                  </w:pPr>
                  <w:r w:rsidRPr="009B3099">
                    <w:rPr>
                      <w:rFonts w:ascii="Arial" w:hAnsi="Arial" w:cs="Arial"/>
                      <w:b/>
                      <w:bCs/>
                    </w:rPr>
                    <w:t xml:space="preserve">Unopened: </w:t>
                  </w:r>
                  <w:r w:rsidR="00115DD6" w:rsidRPr="009B3099">
                    <w:rPr>
                      <w:rFonts w:ascii="Arial" w:hAnsi="Arial" w:cs="Arial"/>
                      <w:bCs/>
                    </w:rPr>
                    <w:t>Until expiration Date</w:t>
                  </w:r>
                </w:p>
                <w:p w14:paraId="2EC74C2E" w14:textId="3102C3B7" w:rsidR="0081197E" w:rsidRDefault="0081197E" w:rsidP="0081197E">
                  <w:pPr>
                    <w:pStyle w:val="Reagents"/>
                    <w:spacing w:after="80"/>
                    <w:rPr>
                      <w:rFonts w:ascii="Arial" w:hAnsi="Arial" w:cs="Arial"/>
                      <w:bCs/>
                    </w:rPr>
                  </w:pPr>
                  <w:r w:rsidRPr="009B3099">
                    <w:rPr>
                      <w:rFonts w:ascii="Arial" w:hAnsi="Arial" w:cs="Arial"/>
                      <w:b/>
                      <w:bCs/>
                    </w:rPr>
                    <w:t>On-board</w:t>
                  </w:r>
                  <w:r w:rsidR="00EA2B3F" w:rsidRPr="009B3099">
                    <w:rPr>
                      <w:rFonts w:ascii="Arial" w:hAnsi="Arial" w:cs="Arial"/>
                      <w:bCs/>
                    </w:rPr>
                    <w:t xml:space="preserve">: </w:t>
                  </w:r>
                  <w:r w:rsidR="00F045AB" w:rsidRPr="009B3099">
                    <w:rPr>
                      <w:rFonts w:ascii="Arial" w:hAnsi="Arial" w:cs="Arial"/>
                      <w:bCs/>
                    </w:rPr>
                    <w:t>30 days</w:t>
                  </w:r>
                </w:p>
                <w:p w14:paraId="1A1F841D" w14:textId="77777777" w:rsidR="0081197E" w:rsidRDefault="005F643B" w:rsidP="00AF599D">
                  <w:pPr>
                    <w:pStyle w:val="Reagents"/>
                    <w:spacing w:after="80"/>
                    <w:rPr>
                      <w:rFonts w:ascii="Arial" w:hAnsi="Arial" w:cs="Arial"/>
                      <w:bCs/>
                    </w:rPr>
                  </w:pPr>
                  <w:r w:rsidRPr="005F643B">
                    <w:rPr>
                      <w:rFonts w:ascii="Arial" w:hAnsi="Arial" w:cs="Arial"/>
                      <w:bCs/>
                    </w:rPr>
                    <w:t>Reagents may be stored on or off the system. If removed from the</w:t>
                  </w:r>
                  <w:r>
                    <w:rPr>
                      <w:rFonts w:ascii="Arial" w:hAnsi="Arial" w:cs="Arial"/>
                      <w:bCs/>
                    </w:rPr>
                    <w:t xml:space="preserve"> </w:t>
                  </w:r>
                  <w:r w:rsidRPr="005F643B">
                    <w:rPr>
                      <w:rFonts w:ascii="Arial" w:hAnsi="Arial" w:cs="Arial"/>
                      <w:bCs/>
                    </w:rPr>
                    <w:t>system, store reagents with new replacement caps in an upright</w:t>
                  </w:r>
                  <w:r>
                    <w:rPr>
                      <w:rFonts w:ascii="Arial" w:hAnsi="Arial" w:cs="Arial"/>
                      <w:bCs/>
                    </w:rPr>
                    <w:t xml:space="preserve"> </w:t>
                  </w:r>
                  <w:r w:rsidRPr="005F643B">
                    <w:rPr>
                      <w:rFonts w:ascii="Arial" w:hAnsi="Arial" w:cs="Arial"/>
                      <w:bCs/>
                    </w:rPr>
                    <w:t>position at 2 to 8°C. For reagents stored off the system, it is</w:t>
                  </w:r>
                  <w:r>
                    <w:rPr>
                      <w:rFonts w:ascii="Arial" w:hAnsi="Arial" w:cs="Arial"/>
                      <w:bCs/>
                    </w:rPr>
                    <w:t xml:space="preserve"> </w:t>
                  </w:r>
                  <w:r w:rsidRPr="005F643B">
                    <w:rPr>
                      <w:rFonts w:ascii="Arial" w:hAnsi="Arial" w:cs="Arial"/>
                      <w:bCs/>
                    </w:rPr>
                    <w:t>recommended that they be stored in their</w:t>
                  </w:r>
                  <w:r>
                    <w:rPr>
                      <w:rFonts w:ascii="Arial" w:hAnsi="Arial" w:cs="Arial"/>
                      <w:bCs/>
                    </w:rPr>
                    <w:t xml:space="preserve"> o</w:t>
                  </w:r>
                  <w:r w:rsidRPr="005F643B">
                    <w:rPr>
                      <w:rFonts w:ascii="Arial" w:hAnsi="Arial" w:cs="Arial"/>
                      <w:bCs/>
                    </w:rPr>
                    <w:t>riginal trays or boxes to</w:t>
                  </w:r>
                  <w:r>
                    <w:rPr>
                      <w:rFonts w:ascii="Arial" w:hAnsi="Arial" w:cs="Arial"/>
                      <w:bCs/>
                    </w:rPr>
                    <w:t xml:space="preserve"> </w:t>
                  </w:r>
                  <w:r w:rsidRPr="005F643B">
                    <w:rPr>
                      <w:rFonts w:ascii="Arial" w:hAnsi="Arial" w:cs="Arial"/>
                      <w:bCs/>
                    </w:rPr>
                    <w:t>ensure they remain upright.</w:t>
                  </w:r>
                </w:p>
                <w:p w14:paraId="2EC23D08" w14:textId="1A6E7231" w:rsidR="00AF599D" w:rsidRPr="009B3099" w:rsidRDefault="00AF599D" w:rsidP="00AF599D">
                  <w:pPr>
                    <w:pStyle w:val="Reagents"/>
                    <w:spacing w:after="80"/>
                    <w:rPr>
                      <w:rFonts w:ascii="Arial" w:hAnsi="Arial" w:cs="Arial"/>
                      <w:bCs/>
                    </w:rPr>
                  </w:pPr>
                </w:p>
              </w:tc>
            </w:tr>
            <w:tr w:rsidR="0081197E" w:rsidRPr="009B3099" w14:paraId="2A1E45AA" w14:textId="77777777" w:rsidTr="00413A69">
              <w:tc>
                <w:tcPr>
                  <w:tcW w:w="2857" w:type="dxa"/>
                  <w:vAlign w:val="center"/>
                </w:tcPr>
                <w:p w14:paraId="417AB88A" w14:textId="15285CA6" w:rsidR="0081197E" w:rsidRPr="009B3099" w:rsidRDefault="00F045AB" w:rsidP="0081197E">
                  <w:pPr>
                    <w:pStyle w:val="BodyText"/>
                    <w:spacing w:after="0"/>
                    <w:rPr>
                      <w:rFonts w:cs="Arial"/>
                      <w:szCs w:val="20"/>
                    </w:rPr>
                  </w:pPr>
                  <w:r w:rsidRPr="009B3099">
                    <w:rPr>
                      <w:rFonts w:cs="Arial"/>
                      <w:szCs w:val="20"/>
                    </w:rPr>
                    <w:t>Alinity i LH Calibrators</w:t>
                  </w:r>
                </w:p>
              </w:tc>
              <w:tc>
                <w:tcPr>
                  <w:tcW w:w="1710" w:type="dxa"/>
                  <w:vAlign w:val="center"/>
                </w:tcPr>
                <w:p w14:paraId="1C065F4D" w14:textId="4449FFD2" w:rsidR="00F045AB" w:rsidRPr="009B3099" w:rsidRDefault="00F045AB" w:rsidP="0081197E">
                  <w:pPr>
                    <w:rPr>
                      <w:rFonts w:cs="Arial"/>
                      <w:szCs w:val="20"/>
                    </w:rPr>
                  </w:pPr>
                  <w:r w:rsidRPr="009B3099">
                    <w:rPr>
                      <w:rFonts w:cs="Arial"/>
                      <w:bCs/>
                      <w:szCs w:val="20"/>
                    </w:rPr>
                    <w:t>07P9101</w:t>
                  </w:r>
                </w:p>
              </w:tc>
              <w:tc>
                <w:tcPr>
                  <w:tcW w:w="4533" w:type="dxa"/>
                  <w:vAlign w:val="center"/>
                </w:tcPr>
                <w:p w14:paraId="3B82C64B" w14:textId="1A30F4EF" w:rsidR="0081197E" w:rsidRPr="005F643B" w:rsidRDefault="0081197E" w:rsidP="0081197E">
                  <w:pPr>
                    <w:pStyle w:val="Reagents"/>
                    <w:spacing w:after="80"/>
                    <w:rPr>
                      <w:rFonts w:ascii="Arial" w:hAnsi="Arial" w:cs="Arial"/>
                      <w:bCs/>
                    </w:rPr>
                  </w:pPr>
                  <w:r w:rsidRPr="005F643B">
                    <w:rPr>
                      <w:rFonts w:ascii="Arial" w:hAnsi="Arial" w:cs="Arial"/>
                      <w:b/>
                      <w:bCs/>
                    </w:rPr>
                    <w:t>Store at:</w:t>
                  </w:r>
                  <w:r w:rsidRPr="005F643B">
                    <w:rPr>
                      <w:rFonts w:ascii="Arial" w:hAnsi="Arial" w:cs="Arial"/>
                      <w:bCs/>
                    </w:rPr>
                    <w:t xml:space="preserve"> </w:t>
                  </w:r>
                  <w:r w:rsidR="00F045AB" w:rsidRPr="005F643B">
                    <w:rPr>
                      <w:rFonts w:ascii="Arial" w:hAnsi="Arial" w:cs="Arial"/>
                      <w:bCs/>
                    </w:rPr>
                    <w:t>2 to 8°C</w:t>
                  </w:r>
                </w:p>
                <w:p w14:paraId="22FE035D" w14:textId="0FC8F93E" w:rsidR="0081197E" w:rsidRPr="005F643B" w:rsidRDefault="0081197E" w:rsidP="0081197E">
                  <w:pPr>
                    <w:pStyle w:val="Reagents"/>
                    <w:spacing w:after="80"/>
                    <w:rPr>
                      <w:rFonts w:ascii="Arial" w:hAnsi="Arial" w:cs="Arial"/>
                      <w:bCs/>
                    </w:rPr>
                  </w:pPr>
                  <w:r w:rsidRPr="005F643B">
                    <w:rPr>
                      <w:rFonts w:ascii="Arial" w:hAnsi="Arial" w:cs="Arial"/>
                      <w:b/>
                      <w:bCs/>
                    </w:rPr>
                    <w:t xml:space="preserve">Unopened: </w:t>
                  </w:r>
                  <w:r w:rsidR="005F643B">
                    <w:rPr>
                      <w:rFonts w:ascii="Arial" w:hAnsi="Arial" w:cs="Arial"/>
                      <w:bCs/>
                    </w:rPr>
                    <w:t>Until printed expiration d</w:t>
                  </w:r>
                  <w:r w:rsidR="00F045AB" w:rsidRPr="005F643B">
                    <w:rPr>
                      <w:rFonts w:ascii="Arial" w:hAnsi="Arial" w:cs="Arial"/>
                      <w:bCs/>
                    </w:rPr>
                    <w:t>ate</w:t>
                  </w:r>
                </w:p>
                <w:p w14:paraId="6F50A89C" w14:textId="77777777" w:rsidR="00A301C5" w:rsidRPr="005F643B" w:rsidRDefault="0081197E" w:rsidP="00F045AB">
                  <w:pPr>
                    <w:pStyle w:val="BodyText"/>
                    <w:spacing w:after="80"/>
                    <w:rPr>
                      <w:rFonts w:cs="Arial"/>
                      <w:bCs/>
                      <w:szCs w:val="20"/>
                    </w:rPr>
                  </w:pPr>
                  <w:r w:rsidRPr="005F643B">
                    <w:rPr>
                      <w:rFonts w:cs="Arial"/>
                      <w:b/>
                      <w:bCs/>
                      <w:szCs w:val="20"/>
                    </w:rPr>
                    <w:t xml:space="preserve">Opened expiration: </w:t>
                  </w:r>
                  <w:r w:rsidR="00F045AB" w:rsidRPr="005F643B">
                    <w:rPr>
                      <w:rFonts w:cs="Arial"/>
                      <w:bCs/>
                      <w:szCs w:val="20"/>
                    </w:rPr>
                    <w:t>4 months from the date opened</w:t>
                  </w:r>
                  <w:r w:rsidR="00A301C5" w:rsidRPr="005F643B">
                    <w:rPr>
                      <w:rFonts w:cs="Arial"/>
                      <w:bCs/>
                      <w:szCs w:val="20"/>
                    </w:rPr>
                    <w:t>.</w:t>
                  </w:r>
                  <w:r w:rsidR="00F045AB" w:rsidRPr="005F643B">
                    <w:rPr>
                      <w:rFonts w:cs="Arial"/>
                      <w:bCs/>
                      <w:szCs w:val="20"/>
                    </w:rPr>
                    <w:t xml:space="preserve"> </w:t>
                  </w:r>
                </w:p>
                <w:p w14:paraId="461C1CDC" w14:textId="77777777" w:rsidR="0081197E" w:rsidRDefault="00F045AB" w:rsidP="005F643B">
                  <w:pPr>
                    <w:pStyle w:val="BodyText"/>
                    <w:spacing w:after="80"/>
                    <w:rPr>
                      <w:rFonts w:cs="Arial"/>
                      <w:bCs/>
                      <w:szCs w:val="20"/>
                    </w:rPr>
                  </w:pPr>
                  <w:r w:rsidRPr="005F643B">
                    <w:rPr>
                      <w:rFonts w:cs="Arial"/>
                      <w:bCs/>
                      <w:szCs w:val="20"/>
                    </w:rPr>
                    <w:t>Do not exceed the lot expiration date printed on</w:t>
                  </w:r>
                  <w:r w:rsidR="005F643B">
                    <w:rPr>
                      <w:rFonts w:cs="Arial"/>
                      <w:bCs/>
                      <w:szCs w:val="20"/>
                    </w:rPr>
                    <w:t xml:space="preserve"> </w:t>
                  </w:r>
                  <w:r w:rsidRPr="005F643B">
                    <w:rPr>
                      <w:rFonts w:cs="Arial"/>
                      <w:bCs/>
                      <w:szCs w:val="20"/>
                    </w:rPr>
                    <w:t xml:space="preserve">the bottle. </w:t>
                  </w:r>
                  <w:r w:rsidR="005F643B">
                    <w:rPr>
                      <w:rFonts w:cs="Arial"/>
                      <w:bCs/>
                      <w:szCs w:val="20"/>
                    </w:rPr>
                    <w:t xml:space="preserve"> </w:t>
                  </w:r>
                  <w:r w:rsidR="00A301C5" w:rsidRPr="005F643B">
                    <w:rPr>
                      <w:rFonts w:cs="Arial"/>
                      <w:bCs/>
                      <w:szCs w:val="20"/>
                    </w:rPr>
                    <w:t xml:space="preserve">Store tightly capped with new </w:t>
                  </w:r>
                  <w:r w:rsidRPr="005F643B">
                    <w:rPr>
                      <w:rFonts w:cs="Arial"/>
                      <w:bCs/>
                      <w:szCs w:val="20"/>
                    </w:rPr>
                    <w:t>replacement cap.</w:t>
                  </w:r>
                  <w:r w:rsidR="005F643B">
                    <w:rPr>
                      <w:rFonts w:cs="Arial"/>
                      <w:bCs/>
                      <w:szCs w:val="20"/>
                    </w:rPr>
                    <w:t xml:space="preserve"> </w:t>
                  </w:r>
                  <w:r w:rsidR="00A301C5" w:rsidRPr="005F643B">
                    <w:rPr>
                      <w:rFonts w:cs="Arial"/>
                      <w:bCs/>
                      <w:szCs w:val="20"/>
                    </w:rPr>
                    <w:t xml:space="preserve">Return to refrigerated storage </w:t>
                  </w:r>
                  <w:r w:rsidRPr="005F643B">
                    <w:rPr>
                      <w:rFonts w:cs="Arial"/>
                      <w:bCs/>
                      <w:szCs w:val="20"/>
                    </w:rPr>
                    <w:t>after use.</w:t>
                  </w:r>
                </w:p>
                <w:p w14:paraId="05D3D1A4" w14:textId="509E639D" w:rsidR="00AF599D" w:rsidRPr="009B3099" w:rsidRDefault="00AF599D" w:rsidP="005F643B">
                  <w:pPr>
                    <w:pStyle w:val="BodyText"/>
                    <w:spacing w:after="80"/>
                    <w:rPr>
                      <w:rFonts w:cs="Arial"/>
                      <w:bCs/>
                      <w:szCs w:val="20"/>
                    </w:rPr>
                  </w:pPr>
                </w:p>
              </w:tc>
            </w:tr>
          </w:tbl>
          <w:p w14:paraId="5CCFFFC6" w14:textId="77777777" w:rsidR="00D955F6" w:rsidRPr="009B3099" w:rsidRDefault="00D955F6" w:rsidP="00234774">
            <w:pPr>
              <w:pStyle w:val="Reagents"/>
              <w:rPr>
                <w:rFonts w:ascii="Arial" w:hAnsi="Arial" w:cs="Arial"/>
                <w:b/>
                <w:bCs/>
                <w:color w:val="365F91"/>
              </w:rPr>
            </w:pPr>
          </w:p>
        </w:tc>
      </w:tr>
      <w:tr w:rsidR="00E3253B" w:rsidRPr="009B3099" w14:paraId="5CCFFFD1" w14:textId="77777777" w:rsidTr="007132A9">
        <w:trPr>
          <w:trHeight w:val="1548"/>
          <w:tblHeader/>
        </w:trPr>
        <w:tc>
          <w:tcPr>
            <w:tcW w:w="1800" w:type="dxa"/>
            <w:tcBorders>
              <w:top w:val="nil"/>
              <w:left w:val="nil"/>
              <w:bottom w:val="nil"/>
              <w:right w:val="nil"/>
            </w:tcBorders>
          </w:tcPr>
          <w:p w14:paraId="5CCFFFC8" w14:textId="77777777" w:rsidR="00E3253B" w:rsidRPr="009B3099" w:rsidRDefault="00E3253B">
            <w:pPr>
              <w:rPr>
                <w:rFonts w:cs="Arial"/>
                <w:b/>
                <w:bCs/>
                <w:color w:val="0000FF"/>
                <w:szCs w:val="20"/>
              </w:rPr>
            </w:pPr>
            <w:r w:rsidRPr="009B3099">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7FA2384A" w14:textId="31BED951" w:rsidR="00F045AB" w:rsidRPr="009B3099" w:rsidRDefault="00F045AB" w:rsidP="00F045AB">
            <w:pPr>
              <w:rPr>
                <w:szCs w:val="20"/>
              </w:rPr>
            </w:pPr>
            <w:r w:rsidRPr="009B3099">
              <w:rPr>
                <w:b/>
                <w:bCs/>
                <w:szCs w:val="20"/>
              </w:rPr>
              <w:t xml:space="preserve">CAUTION: </w:t>
            </w:r>
            <w:r w:rsidRPr="009B3099">
              <w:rPr>
                <w:szCs w:val="20"/>
              </w:rPr>
              <w:t>This product requires the handling of human specimens. It is recommended that all human-sourced materials be considered potentially infectious and handled in accordance with the OSHA Standard on Bloodborne Pathogens. Biosafety Level 2 or other appropriate biosafety practices should be used for materials that contain or are suspected of containing infectious agents.</w:t>
            </w:r>
          </w:p>
          <w:p w14:paraId="624F4448" w14:textId="77777777" w:rsidR="00F045AB" w:rsidRPr="009B3099" w:rsidRDefault="00F045AB" w:rsidP="00F045AB">
            <w:pPr>
              <w:rPr>
                <w:b/>
                <w:szCs w:val="20"/>
              </w:rPr>
            </w:pPr>
          </w:p>
          <w:p w14:paraId="05C97A8A" w14:textId="49039D8F" w:rsidR="009475C8" w:rsidRPr="009B3099" w:rsidRDefault="00F045AB" w:rsidP="00F045AB">
            <w:pPr>
              <w:rPr>
                <w:i/>
                <w:szCs w:val="20"/>
              </w:rPr>
            </w:pPr>
            <w:r w:rsidRPr="009B3099">
              <w:rPr>
                <w:b/>
                <w:szCs w:val="20"/>
              </w:rPr>
              <w:t xml:space="preserve">The following warnings and precautions apply to: </w:t>
            </w:r>
            <w:r w:rsidRPr="009B3099">
              <w:rPr>
                <w:i/>
                <w:szCs w:val="20"/>
              </w:rPr>
              <w:t>Microparticles and Conjugate</w:t>
            </w:r>
          </w:p>
          <w:p w14:paraId="2AC05330" w14:textId="77777777" w:rsidR="00F045AB" w:rsidRPr="009B3099" w:rsidRDefault="00F045AB" w:rsidP="00F045AB">
            <w:pPr>
              <w:rPr>
                <w:i/>
                <w:szCs w:val="20"/>
              </w:rPr>
            </w:pPr>
          </w:p>
          <w:p w14:paraId="26BD69A4" w14:textId="63FC59FA" w:rsidR="00F045AB" w:rsidRPr="009B3099" w:rsidRDefault="00F045AB" w:rsidP="00F045AB">
            <w:pPr>
              <w:rPr>
                <w:szCs w:val="20"/>
              </w:rPr>
            </w:pPr>
            <w:r w:rsidRPr="009B3099">
              <w:rPr>
                <w:noProof/>
              </w:rPr>
              <w:drawing>
                <wp:anchor distT="0" distB="0" distL="114300" distR="114300" simplePos="0" relativeHeight="251658240" behindDoc="1" locked="0" layoutInCell="1" allowOverlap="1" wp14:anchorId="694290D9" wp14:editId="6BC6E9C8">
                  <wp:simplePos x="0" y="0"/>
                  <wp:positionH relativeFrom="column">
                    <wp:posOffset>-994</wp:posOffset>
                  </wp:positionH>
                  <wp:positionV relativeFrom="paragraph">
                    <wp:posOffset>-2871</wp:posOffset>
                  </wp:positionV>
                  <wp:extent cx="523810" cy="495238"/>
                  <wp:effectExtent l="0" t="0" r="0" b="635"/>
                  <wp:wrapTight wrapText="bothSides">
                    <wp:wrapPolygon edited="0">
                      <wp:start x="0" y="0"/>
                      <wp:lineTo x="0" y="20796"/>
                      <wp:lineTo x="20447" y="20796"/>
                      <wp:lineTo x="20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3810" cy="495238"/>
                          </a:xfrm>
                          <a:prstGeom prst="rect">
                            <a:avLst/>
                          </a:prstGeom>
                        </pic:spPr>
                      </pic:pic>
                    </a:graphicData>
                  </a:graphic>
                </wp:anchor>
              </w:drawing>
            </w:r>
            <w:r w:rsidRPr="009B3099">
              <w:rPr>
                <w:b/>
                <w:bCs/>
                <w:szCs w:val="20"/>
              </w:rPr>
              <w:t xml:space="preserve">WARNING </w:t>
            </w:r>
            <w:r w:rsidRPr="009B3099">
              <w:rPr>
                <w:szCs w:val="20"/>
              </w:rPr>
              <w:t>Contains methylisothiazolones.</w:t>
            </w:r>
          </w:p>
          <w:p w14:paraId="6314A608" w14:textId="77777777" w:rsidR="00F045AB" w:rsidRPr="009B3099" w:rsidRDefault="00F045AB" w:rsidP="00F045AB">
            <w:pPr>
              <w:rPr>
                <w:szCs w:val="20"/>
              </w:rPr>
            </w:pPr>
          </w:p>
          <w:p w14:paraId="3494250D" w14:textId="6C35DBEA" w:rsidR="00F045AB" w:rsidRPr="009B3099" w:rsidRDefault="00F045AB" w:rsidP="00F045AB">
            <w:pPr>
              <w:rPr>
                <w:szCs w:val="20"/>
              </w:rPr>
            </w:pPr>
            <w:r w:rsidRPr="009B3099">
              <w:rPr>
                <w:szCs w:val="20"/>
              </w:rPr>
              <w:t>May cause an allergic skin reaction.</w:t>
            </w:r>
          </w:p>
          <w:p w14:paraId="1D6EAD2B" w14:textId="77777777" w:rsidR="009475C8" w:rsidRPr="009B3099" w:rsidRDefault="009475C8">
            <w:pPr>
              <w:rPr>
                <w:szCs w:val="20"/>
              </w:rPr>
            </w:pPr>
          </w:p>
          <w:p w14:paraId="41EC8718" w14:textId="77777777" w:rsidR="00A301C5" w:rsidRPr="009B3099" w:rsidRDefault="00A301C5">
            <w:pPr>
              <w:rPr>
                <w:szCs w:val="20"/>
              </w:rPr>
            </w:pPr>
          </w:p>
          <w:p w14:paraId="2A076FB3" w14:textId="0B1AB62F" w:rsidR="00A301C5" w:rsidRPr="009B3099" w:rsidRDefault="00A301C5">
            <w:pPr>
              <w:rPr>
                <w:i/>
                <w:szCs w:val="20"/>
              </w:rPr>
            </w:pPr>
            <w:r w:rsidRPr="009B3099">
              <w:rPr>
                <w:b/>
                <w:szCs w:val="20"/>
              </w:rPr>
              <w:t xml:space="preserve">The following warnings and precautions apply to: </w:t>
            </w:r>
            <w:r w:rsidRPr="009B3099">
              <w:rPr>
                <w:i/>
                <w:szCs w:val="20"/>
              </w:rPr>
              <w:t>Cal A- Cal F</w:t>
            </w:r>
          </w:p>
          <w:p w14:paraId="1ACBDCB4" w14:textId="343A75A7" w:rsidR="00A301C5" w:rsidRPr="009B3099" w:rsidRDefault="00A301C5" w:rsidP="00A301C5">
            <w:pPr>
              <w:rPr>
                <w:szCs w:val="20"/>
              </w:rPr>
            </w:pPr>
            <w:r w:rsidRPr="009B3099">
              <w:rPr>
                <w:noProof/>
              </w:rPr>
              <w:drawing>
                <wp:anchor distT="0" distB="0" distL="114300" distR="114300" simplePos="0" relativeHeight="251659264" behindDoc="1" locked="0" layoutInCell="1" allowOverlap="1" wp14:anchorId="07AF4CDA" wp14:editId="4ED66267">
                  <wp:simplePos x="0" y="0"/>
                  <wp:positionH relativeFrom="column">
                    <wp:posOffset>-994</wp:posOffset>
                  </wp:positionH>
                  <wp:positionV relativeFrom="paragraph">
                    <wp:posOffset>1187</wp:posOffset>
                  </wp:positionV>
                  <wp:extent cx="371429" cy="342857"/>
                  <wp:effectExtent l="0" t="0" r="0" b="635"/>
                  <wp:wrapTight wrapText="bothSides">
                    <wp:wrapPolygon edited="0">
                      <wp:start x="0" y="0"/>
                      <wp:lineTo x="0" y="20438"/>
                      <wp:lineTo x="19973" y="20438"/>
                      <wp:lineTo x="199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1429" cy="342857"/>
                          </a:xfrm>
                          <a:prstGeom prst="rect">
                            <a:avLst/>
                          </a:prstGeom>
                        </pic:spPr>
                      </pic:pic>
                    </a:graphicData>
                  </a:graphic>
                </wp:anchor>
              </w:drawing>
            </w:r>
            <w:r w:rsidRPr="009B3099">
              <w:rPr>
                <w:rFonts w:ascii="HelenPro-Bold" w:eastAsia="HelenPro-Bold" w:hAnsi="Times New Roman" w:cs="HelenPro-Bold"/>
                <w:b/>
                <w:bCs/>
                <w:sz w:val="17"/>
                <w:szCs w:val="17"/>
              </w:rPr>
              <w:t xml:space="preserve"> </w:t>
            </w:r>
            <w:r w:rsidRPr="009B3099">
              <w:rPr>
                <w:b/>
                <w:bCs/>
                <w:szCs w:val="20"/>
              </w:rPr>
              <w:t xml:space="preserve">CAUTION: </w:t>
            </w:r>
            <w:r w:rsidRPr="009B3099">
              <w:rPr>
                <w:szCs w:val="20"/>
              </w:rPr>
              <w:t>This product contains human-sourced and/ or potentially infectious components. Refer to the CONTENTS section of this package insert. No known test method can offer complete assurance that products derived from human sources or inactivated microorganisms will not transmit infection. Therefore, all human-sourced materials should be considered potentially infectious. It is recommended that this product and human specimens be handled in accordance with the OSHA Standard on Bloodborne Pathogens. Biosafety Level 2 or other appropriate biosafety practices should be used for materials that contain or are suspected of containing infectious agents.</w:t>
            </w:r>
          </w:p>
          <w:p w14:paraId="41C05E5C" w14:textId="77777777" w:rsidR="00A301C5" w:rsidRPr="009B3099" w:rsidRDefault="00A301C5" w:rsidP="00A301C5">
            <w:pPr>
              <w:rPr>
                <w:szCs w:val="20"/>
              </w:rPr>
            </w:pPr>
          </w:p>
          <w:p w14:paraId="568B815A" w14:textId="1188CEEA" w:rsidR="00A301C5" w:rsidRPr="009B3099" w:rsidRDefault="00A301C5" w:rsidP="00A301C5">
            <w:pPr>
              <w:rPr>
                <w:szCs w:val="20"/>
              </w:rPr>
            </w:pPr>
            <w:r w:rsidRPr="009B3099">
              <w:rPr>
                <w:noProof/>
              </w:rPr>
              <w:drawing>
                <wp:anchor distT="0" distB="0" distL="114300" distR="114300" simplePos="0" relativeHeight="251660288" behindDoc="1" locked="0" layoutInCell="1" allowOverlap="1" wp14:anchorId="08D66002" wp14:editId="4E0C79C0">
                  <wp:simplePos x="0" y="0"/>
                  <wp:positionH relativeFrom="column">
                    <wp:posOffset>-994</wp:posOffset>
                  </wp:positionH>
                  <wp:positionV relativeFrom="paragraph">
                    <wp:posOffset>1629</wp:posOffset>
                  </wp:positionV>
                  <wp:extent cx="523810" cy="495238"/>
                  <wp:effectExtent l="0" t="0" r="0" b="635"/>
                  <wp:wrapTight wrapText="bothSides">
                    <wp:wrapPolygon edited="0">
                      <wp:start x="0" y="0"/>
                      <wp:lineTo x="0" y="20796"/>
                      <wp:lineTo x="20447" y="20796"/>
                      <wp:lineTo x="204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3810" cy="495238"/>
                          </a:xfrm>
                          <a:prstGeom prst="rect">
                            <a:avLst/>
                          </a:prstGeom>
                        </pic:spPr>
                      </pic:pic>
                    </a:graphicData>
                  </a:graphic>
                </wp:anchor>
              </w:drawing>
            </w:r>
            <w:r w:rsidRPr="009B3099">
              <w:rPr>
                <w:rFonts w:ascii="HelenPro-Bold" w:eastAsia="HelenPro-Bold" w:hAnsi="Times New Roman" w:cs="HelenPro-Bold"/>
                <w:b/>
                <w:bCs/>
                <w:sz w:val="17"/>
                <w:szCs w:val="17"/>
              </w:rPr>
              <w:t xml:space="preserve"> </w:t>
            </w:r>
            <w:r w:rsidRPr="009B3099">
              <w:rPr>
                <w:b/>
                <w:bCs/>
                <w:szCs w:val="20"/>
              </w:rPr>
              <w:t xml:space="preserve">WARNING </w:t>
            </w:r>
            <w:r w:rsidRPr="009B3099">
              <w:rPr>
                <w:szCs w:val="20"/>
              </w:rPr>
              <w:t>Contains methylisothiazolones.</w:t>
            </w:r>
          </w:p>
          <w:p w14:paraId="69C8A45D" w14:textId="77777777" w:rsidR="00A301C5" w:rsidRPr="009B3099" w:rsidRDefault="00A301C5" w:rsidP="00A301C5">
            <w:pPr>
              <w:rPr>
                <w:szCs w:val="20"/>
              </w:rPr>
            </w:pPr>
          </w:p>
          <w:p w14:paraId="0BF0CF55" w14:textId="4FA78C92" w:rsidR="00A301C5" w:rsidRDefault="00A301C5" w:rsidP="00A301C5">
            <w:pPr>
              <w:rPr>
                <w:szCs w:val="20"/>
              </w:rPr>
            </w:pPr>
            <w:r w:rsidRPr="009B3099">
              <w:rPr>
                <w:szCs w:val="20"/>
              </w:rPr>
              <w:t>May cause an allergic skin reaction.</w:t>
            </w:r>
          </w:p>
          <w:p w14:paraId="2C0E72B3" w14:textId="77777777" w:rsidR="005F643B" w:rsidRDefault="005F643B" w:rsidP="00A301C5">
            <w:pPr>
              <w:rPr>
                <w:szCs w:val="20"/>
              </w:rPr>
            </w:pPr>
          </w:p>
          <w:p w14:paraId="51567021" w14:textId="381C39CA" w:rsidR="00A301C5" w:rsidRPr="009B3099" w:rsidRDefault="005F643B" w:rsidP="00A301C5">
            <w:pPr>
              <w:rPr>
                <w:szCs w:val="20"/>
              </w:rPr>
            </w:pPr>
            <w:r>
              <w:rPr>
                <w:szCs w:val="20"/>
              </w:rPr>
              <w:t>No special disposal of reagents indicated.</w:t>
            </w:r>
          </w:p>
          <w:p w14:paraId="7C1894DA" w14:textId="77777777" w:rsidR="00A301C5" w:rsidRPr="009B3099" w:rsidRDefault="00A301C5" w:rsidP="00A301C5">
            <w:pPr>
              <w:rPr>
                <w:szCs w:val="20"/>
              </w:rPr>
            </w:pPr>
          </w:p>
          <w:p w14:paraId="5EFA9057" w14:textId="187619D3" w:rsidR="009475C8" w:rsidRPr="009B3099" w:rsidRDefault="009475C8">
            <w:r w:rsidRPr="009B3099">
              <w:rPr>
                <w:szCs w:val="20"/>
              </w:rPr>
              <w:t xml:space="preserve">Safety data sheets (MSDS/SDS) available on </w:t>
            </w:r>
            <w:hyperlink r:id="rId14" w:history="1">
              <w:r w:rsidRPr="009B3099">
                <w:rPr>
                  <w:rStyle w:val="Hyperlink"/>
                  <w:szCs w:val="20"/>
                </w:rPr>
                <w:t>Children’s Intranet</w:t>
              </w:r>
            </w:hyperlink>
          </w:p>
          <w:p w14:paraId="5CCFFFD0" w14:textId="77777777" w:rsidR="007B2A3E" w:rsidRPr="009B3099" w:rsidRDefault="007B2A3E" w:rsidP="007B2A3E">
            <w:pPr>
              <w:rPr>
                <w:rFonts w:cs="Arial"/>
                <w:szCs w:val="20"/>
              </w:rPr>
            </w:pPr>
          </w:p>
        </w:tc>
      </w:tr>
      <w:tr w:rsidR="00F50200" w:rsidRPr="009B3099" w14:paraId="5CCFFFEC" w14:textId="77777777" w:rsidTr="00AF599D">
        <w:trPr>
          <w:tblHeader/>
        </w:trPr>
        <w:tc>
          <w:tcPr>
            <w:tcW w:w="1800" w:type="dxa"/>
            <w:tcBorders>
              <w:top w:val="nil"/>
              <w:left w:val="nil"/>
              <w:bottom w:val="nil"/>
              <w:right w:val="nil"/>
            </w:tcBorders>
          </w:tcPr>
          <w:p w14:paraId="5CCFFFD2" w14:textId="19DE9EA3" w:rsidR="00F50200" w:rsidRPr="009B3099" w:rsidRDefault="00F50200" w:rsidP="003E0A08">
            <w:pPr>
              <w:ind w:left="-108" w:right="-108"/>
              <w:rPr>
                <w:rFonts w:cs="Arial"/>
                <w:b/>
                <w:bCs/>
                <w:color w:val="0000FF"/>
                <w:szCs w:val="20"/>
              </w:rPr>
            </w:pPr>
            <w:r w:rsidRPr="009B3099">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2DE1D439" w:rsidR="00F50200" w:rsidRPr="009B3099"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9B3099" w14:paraId="5CCFFFD6" w14:textId="77777777" w:rsidTr="001C1CFA">
              <w:tc>
                <w:tcPr>
                  <w:tcW w:w="2947" w:type="dxa"/>
                </w:tcPr>
                <w:p w14:paraId="5CCFFFD4" w14:textId="77777777" w:rsidR="00F50200" w:rsidRPr="009B3099" w:rsidRDefault="00F50200" w:rsidP="00A32948">
                  <w:pPr>
                    <w:pStyle w:val="CalVerTable"/>
                    <w:ind w:left="0" w:firstLine="0"/>
                    <w:rPr>
                      <w:rFonts w:ascii="Arial" w:hAnsi="Arial" w:cs="Arial"/>
                    </w:rPr>
                  </w:pPr>
                  <w:r w:rsidRPr="009B3099">
                    <w:rPr>
                      <w:rFonts w:ascii="Arial" w:hAnsi="Arial" w:cs="Arial"/>
                    </w:rPr>
                    <w:t>Assay Range:</w:t>
                  </w:r>
                </w:p>
              </w:tc>
              <w:tc>
                <w:tcPr>
                  <w:tcW w:w="6269" w:type="dxa"/>
                </w:tcPr>
                <w:p w14:paraId="5CCFFFD5" w14:textId="6DB5803B" w:rsidR="00F50200" w:rsidRPr="009B3099" w:rsidRDefault="005F643B" w:rsidP="00A32948">
                  <w:pPr>
                    <w:pStyle w:val="CalVerTable"/>
                    <w:ind w:left="0" w:firstLine="0"/>
                    <w:rPr>
                      <w:rFonts w:ascii="Arial" w:hAnsi="Arial" w:cs="Arial"/>
                    </w:rPr>
                  </w:pPr>
                  <w:r>
                    <w:rPr>
                      <w:rFonts w:ascii="Arial" w:hAnsi="Arial" w:cs="Arial"/>
                    </w:rPr>
                    <w:t>0.1 – 250.0 mIU/mL</w:t>
                  </w:r>
                </w:p>
              </w:tc>
            </w:tr>
            <w:tr w:rsidR="00F50200" w:rsidRPr="009B3099" w14:paraId="5CCFFFD9" w14:textId="77777777" w:rsidTr="001C1CFA">
              <w:tc>
                <w:tcPr>
                  <w:tcW w:w="2947" w:type="dxa"/>
                </w:tcPr>
                <w:p w14:paraId="5CCFFFD7" w14:textId="77777777" w:rsidR="00F50200" w:rsidRPr="009B3099" w:rsidRDefault="00F50200" w:rsidP="00A32948">
                  <w:pPr>
                    <w:pStyle w:val="CalVerTable"/>
                    <w:ind w:left="0" w:firstLine="0"/>
                    <w:rPr>
                      <w:rFonts w:ascii="Arial" w:hAnsi="Arial" w:cs="Arial"/>
                    </w:rPr>
                  </w:pPr>
                  <w:r w:rsidRPr="009B3099">
                    <w:rPr>
                      <w:rFonts w:ascii="Arial" w:hAnsi="Arial" w:cs="Arial"/>
                    </w:rPr>
                    <w:t>Reference Material:</w:t>
                  </w:r>
                </w:p>
              </w:tc>
              <w:tc>
                <w:tcPr>
                  <w:tcW w:w="6269" w:type="dxa"/>
                </w:tcPr>
                <w:p w14:paraId="5CCFFFD8" w14:textId="58CF1FF4" w:rsidR="00F50200" w:rsidRPr="009B3099" w:rsidRDefault="005F643B" w:rsidP="00440E37">
                  <w:pPr>
                    <w:pStyle w:val="BodyText"/>
                    <w:rPr>
                      <w:rFonts w:cs="Arial"/>
                      <w:szCs w:val="20"/>
                    </w:rPr>
                  </w:pPr>
                  <w:r>
                    <w:rPr>
                      <w:rFonts w:cs="Arial"/>
                      <w:szCs w:val="20"/>
                    </w:rPr>
                    <w:t>Alinity i LH Calibrator kit</w:t>
                  </w:r>
                </w:p>
              </w:tc>
            </w:tr>
            <w:tr w:rsidR="00F50200" w:rsidRPr="009B3099" w14:paraId="5CCFFFE1" w14:textId="77777777" w:rsidTr="001C1CFA">
              <w:tc>
                <w:tcPr>
                  <w:tcW w:w="2947" w:type="dxa"/>
                </w:tcPr>
                <w:p w14:paraId="5CCFFFDA" w14:textId="77777777" w:rsidR="00F50200" w:rsidRPr="009B3099" w:rsidRDefault="00F50200" w:rsidP="00A32948">
                  <w:pPr>
                    <w:pStyle w:val="CalVerTable"/>
                    <w:ind w:left="0" w:firstLine="0"/>
                    <w:rPr>
                      <w:rFonts w:ascii="Arial" w:hAnsi="Arial" w:cs="Arial"/>
                    </w:rPr>
                  </w:pPr>
                  <w:r w:rsidRPr="009B3099">
                    <w:rPr>
                      <w:rFonts w:ascii="Arial" w:hAnsi="Arial" w:cs="Arial"/>
                    </w:rPr>
                    <w:t>Suggested Calibration Levels:</w:t>
                  </w:r>
                </w:p>
              </w:tc>
              <w:tc>
                <w:tcPr>
                  <w:tcW w:w="6269" w:type="dxa"/>
                </w:tcPr>
                <w:p w14:paraId="31683C82" w14:textId="77777777" w:rsidR="005B66A7" w:rsidRDefault="005F643B" w:rsidP="001D1786">
                  <w:pPr>
                    <w:pStyle w:val="CalVerTable"/>
                    <w:ind w:left="0" w:firstLine="0"/>
                    <w:rPr>
                      <w:rFonts w:ascii="Arial" w:hAnsi="Arial" w:cs="Arial"/>
                    </w:rPr>
                  </w:pPr>
                  <w:r>
                    <w:rPr>
                      <w:rFonts w:ascii="Arial" w:hAnsi="Arial" w:cs="Arial"/>
                    </w:rPr>
                    <w:t>CAL A: 0.0</w:t>
                  </w:r>
                </w:p>
                <w:p w14:paraId="43C92F48" w14:textId="77777777" w:rsidR="005F643B" w:rsidRDefault="005F643B" w:rsidP="001D1786">
                  <w:pPr>
                    <w:pStyle w:val="CalVerTable"/>
                    <w:ind w:left="0" w:firstLine="0"/>
                    <w:rPr>
                      <w:rFonts w:ascii="Arial" w:hAnsi="Arial" w:cs="Arial"/>
                    </w:rPr>
                  </w:pPr>
                  <w:r>
                    <w:rPr>
                      <w:rFonts w:ascii="Arial" w:hAnsi="Arial" w:cs="Arial"/>
                    </w:rPr>
                    <w:t>CAL B: 1.0</w:t>
                  </w:r>
                </w:p>
                <w:p w14:paraId="466AA8E5" w14:textId="77777777" w:rsidR="005F643B" w:rsidRDefault="005F643B" w:rsidP="001D1786">
                  <w:pPr>
                    <w:pStyle w:val="CalVerTable"/>
                    <w:ind w:left="0" w:firstLine="0"/>
                    <w:rPr>
                      <w:rFonts w:ascii="Arial" w:hAnsi="Arial" w:cs="Arial"/>
                    </w:rPr>
                  </w:pPr>
                  <w:r>
                    <w:rPr>
                      <w:rFonts w:ascii="Arial" w:hAnsi="Arial" w:cs="Arial"/>
                    </w:rPr>
                    <w:t>CAL C: 3.5</w:t>
                  </w:r>
                </w:p>
                <w:p w14:paraId="5C21C286" w14:textId="77777777" w:rsidR="005F643B" w:rsidRDefault="005F643B" w:rsidP="001D1786">
                  <w:pPr>
                    <w:pStyle w:val="CalVerTable"/>
                    <w:ind w:left="0" w:firstLine="0"/>
                    <w:rPr>
                      <w:rFonts w:ascii="Arial" w:hAnsi="Arial" w:cs="Arial"/>
                    </w:rPr>
                  </w:pPr>
                  <w:r>
                    <w:rPr>
                      <w:rFonts w:ascii="Arial" w:hAnsi="Arial" w:cs="Arial"/>
                    </w:rPr>
                    <w:t>CAL D: 15.0</w:t>
                  </w:r>
                </w:p>
                <w:p w14:paraId="5CD868F3" w14:textId="77777777" w:rsidR="005F643B" w:rsidRDefault="005F643B" w:rsidP="001D1786">
                  <w:pPr>
                    <w:pStyle w:val="CalVerTable"/>
                    <w:ind w:left="0" w:firstLine="0"/>
                    <w:rPr>
                      <w:rFonts w:ascii="Arial" w:hAnsi="Arial" w:cs="Arial"/>
                    </w:rPr>
                  </w:pPr>
                  <w:r>
                    <w:rPr>
                      <w:rFonts w:ascii="Arial" w:hAnsi="Arial" w:cs="Arial"/>
                    </w:rPr>
                    <w:t>CAL E: 50.0</w:t>
                  </w:r>
                </w:p>
                <w:p w14:paraId="5CCFFFE0" w14:textId="0FF15EDD" w:rsidR="005F643B" w:rsidRPr="009B3099" w:rsidRDefault="005F643B" w:rsidP="001D1786">
                  <w:pPr>
                    <w:pStyle w:val="CalVerTable"/>
                    <w:ind w:left="0" w:firstLine="0"/>
                    <w:rPr>
                      <w:rFonts w:ascii="Arial" w:hAnsi="Arial" w:cs="Arial"/>
                    </w:rPr>
                  </w:pPr>
                  <w:r>
                    <w:rPr>
                      <w:rFonts w:ascii="Arial" w:hAnsi="Arial" w:cs="Arial"/>
                    </w:rPr>
                    <w:t>CAL F: 250.0</w:t>
                  </w:r>
                </w:p>
              </w:tc>
            </w:tr>
            <w:tr w:rsidR="00F50200" w:rsidRPr="009B3099" w14:paraId="5CCFFFE4" w14:textId="77777777" w:rsidTr="001C1CFA">
              <w:tc>
                <w:tcPr>
                  <w:tcW w:w="2947" w:type="dxa"/>
                </w:tcPr>
                <w:p w14:paraId="5CCFFFE2" w14:textId="753F140E" w:rsidR="00F50200" w:rsidRPr="009B3099" w:rsidRDefault="00F50200" w:rsidP="00A32948">
                  <w:pPr>
                    <w:pStyle w:val="CalVerTable"/>
                    <w:ind w:left="0" w:firstLine="0"/>
                    <w:rPr>
                      <w:rFonts w:ascii="Arial" w:hAnsi="Arial" w:cs="Arial"/>
                    </w:rPr>
                  </w:pPr>
                  <w:r w:rsidRPr="009B3099">
                    <w:rPr>
                      <w:rFonts w:ascii="Arial" w:hAnsi="Arial" w:cs="Arial"/>
                    </w:rPr>
                    <w:t>Calibration Scheme:</w:t>
                  </w:r>
                </w:p>
              </w:tc>
              <w:tc>
                <w:tcPr>
                  <w:tcW w:w="6269" w:type="dxa"/>
                </w:tcPr>
                <w:p w14:paraId="5CCFFFE3" w14:textId="17C13451" w:rsidR="00F50200" w:rsidRPr="009B3099" w:rsidRDefault="005F643B" w:rsidP="005B66A7">
                  <w:pPr>
                    <w:pStyle w:val="CalVerTable"/>
                    <w:ind w:left="0" w:firstLine="0"/>
                    <w:rPr>
                      <w:rFonts w:ascii="Arial" w:hAnsi="Arial" w:cs="Arial"/>
                    </w:rPr>
                  </w:pPr>
                  <w:r>
                    <w:rPr>
                      <w:rFonts w:ascii="Arial" w:hAnsi="Arial" w:cs="Arial"/>
                    </w:rPr>
                    <w:t>6</w:t>
                  </w:r>
                  <w:r w:rsidR="009475C8" w:rsidRPr="009B3099">
                    <w:rPr>
                      <w:rFonts w:ascii="Arial" w:hAnsi="Arial" w:cs="Arial"/>
                    </w:rPr>
                    <w:t xml:space="preserve"> Levels</w:t>
                  </w:r>
                </w:p>
              </w:tc>
            </w:tr>
            <w:tr w:rsidR="00F50200" w:rsidRPr="009B3099" w14:paraId="5CCFFFE7" w14:textId="77777777" w:rsidTr="001C1CFA">
              <w:tc>
                <w:tcPr>
                  <w:tcW w:w="2947" w:type="dxa"/>
                </w:tcPr>
                <w:p w14:paraId="5CCFFFE5" w14:textId="77777777" w:rsidR="00F50200" w:rsidRPr="009B3099" w:rsidRDefault="00F50200" w:rsidP="00A32948">
                  <w:pPr>
                    <w:pStyle w:val="CalVerTable"/>
                    <w:ind w:left="0" w:firstLine="0"/>
                    <w:rPr>
                      <w:rFonts w:ascii="Arial" w:hAnsi="Arial" w:cs="Arial"/>
                    </w:rPr>
                  </w:pPr>
                  <w:r w:rsidRPr="009B3099">
                    <w:rPr>
                      <w:rFonts w:ascii="Arial" w:hAnsi="Arial" w:cs="Arial"/>
                    </w:rPr>
                    <w:t>Calibration Frequency:</w:t>
                  </w:r>
                </w:p>
              </w:tc>
              <w:tc>
                <w:tcPr>
                  <w:tcW w:w="6269" w:type="dxa"/>
                </w:tcPr>
                <w:p w14:paraId="5CCFFFE6" w14:textId="28F448DB" w:rsidR="00F50200" w:rsidRPr="009B3099" w:rsidRDefault="005F643B" w:rsidP="004A698D">
                  <w:pPr>
                    <w:pStyle w:val="Pa10"/>
                    <w:rPr>
                      <w:rFonts w:ascii="Arial" w:hAnsi="Arial" w:cs="Arial"/>
                      <w:sz w:val="20"/>
                      <w:szCs w:val="20"/>
                    </w:rPr>
                  </w:pPr>
                  <w:r w:rsidRPr="005F643B">
                    <w:rPr>
                      <w:rFonts w:ascii="Arial" w:hAnsi="Arial" w:cs="Arial"/>
                      <w:sz w:val="20"/>
                      <w:szCs w:val="20"/>
                    </w:rPr>
                    <w:t>With every new lot number, after maintenance or service of major instrument parts, as indicated by quality controls, and as directed by field service representatives.</w:t>
                  </w:r>
                </w:p>
              </w:tc>
            </w:tr>
            <w:tr w:rsidR="00F50200" w:rsidRPr="009B3099" w14:paraId="5CCFFFEA" w14:textId="77777777" w:rsidTr="00A166AA">
              <w:trPr>
                <w:trHeight w:val="395"/>
              </w:trPr>
              <w:tc>
                <w:tcPr>
                  <w:tcW w:w="2947" w:type="dxa"/>
                  <w:tcBorders>
                    <w:bottom w:val="single" w:sz="4" w:space="0" w:color="auto"/>
                  </w:tcBorders>
                </w:tcPr>
                <w:p w14:paraId="5CCFFFE8" w14:textId="77777777" w:rsidR="00F50200" w:rsidRPr="009B3099" w:rsidRDefault="00F50200" w:rsidP="00A32948">
                  <w:pPr>
                    <w:pStyle w:val="CalVerTable"/>
                    <w:ind w:left="0" w:firstLine="0"/>
                    <w:rPr>
                      <w:rFonts w:ascii="Arial" w:hAnsi="Arial" w:cs="Arial"/>
                    </w:rPr>
                  </w:pPr>
                  <w:r w:rsidRPr="009B3099">
                    <w:rPr>
                      <w:rFonts w:ascii="Arial" w:hAnsi="Arial" w:cs="Arial"/>
                    </w:rPr>
                    <w:t>AMR</w:t>
                  </w:r>
                </w:p>
              </w:tc>
              <w:tc>
                <w:tcPr>
                  <w:tcW w:w="6269" w:type="dxa"/>
                  <w:tcBorders>
                    <w:bottom w:val="single" w:sz="4" w:space="0" w:color="auto"/>
                  </w:tcBorders>
                </w:tcPr>
                <w:p w14:paraId="5CCFFFE9" w14:textId="37E6EEE9" w:rsidR="00F50200" w:rsidRPr="009B3099" w:rsidRDefault="009475C8" w:rsidP="005F643B">
                  <w:pPr>
                    <w:autoSpaceDE w:val="0"/>
                    <w:autoSpaceDN w:val="0"/>
                    <w:adjustRightInd w:val="0"/>
                    <w:rPr>
                      <w:rFonts w:cs="Arial"/>
                      <w:szCs w:val="20"/>
                    </w:rPr>
                  </w:pPr>
                  <w:r w:rsidRPr="009B3099">
                    <w:rPr>
                      <w:rFonts w:cs="Arial"/>
                      <w:szCs w:val="20"/>
                    </w:rPr>
                    <w:t xml:space="preserve">AMR is verified </w:t>
                  </w:r>
                  <w:r w:rsidR="005F643B">
                    <w:rPr>
                      <w:rFonts w:cs="Arial"/>
                      <w:szCs w:val="20"/>
                    </w:rPr>
                    <w:t>with every calibration, at least every 6 months.</w:t>
                  </w:r>
                </w:p>
              </w:tc>
            </w:tr>
          </w:tbl>
          <w:p w14:paraId="3120C2A7" w14:textId="11D70783" w:rsidR="00A062E1" w:rsidRPr="009B3099" w:rsidRDefault="00A062E1" w:rsidP="00A062E1">
            <w:pPr>
              <w:pStyle w:val="Pa15"/>
              <w:rPr>
                <w:rFonts w:ascii="Arial" w:hAnsi="Arial" w:cs="Arial"/>
                <w:b/>
                <w:bCs/>
                <w:sz w:val="20"/>
                <w:szCs w:val="20"/>
              </w:rPr>
            </w:pPr>
          </w:p>
          <w:p w14:paraId="5CCFFFEB" w14:textId="77777777" w:rsidR="00F50200" w:rsidRPr="009B3099" w:rsidRDefault="00F50200" w:rsidP="00A32948">
            <w:pPr>
              <w:rPr>
                <w:rFonts w:cs="Arial"/>
                <w:szCs w:val="20"/>
              </w:rPr>
            </w:pPr>
          </w:p>
        </w:tc>
      </w:tr>
      <w:tr w:rsidR="00E3253B" w:rsidRPr="009B3099" w14:paraId="5CD00004" w14:textId="77777777" w:rsidTr="007132A9">
        <w:trPr>
          <w:tblHeader/>
        </w:trPr>
        <w:tc>
          <w:tcPr>
            <w:tcW w:w="1800" w:type="dxa"/>
            <w:tcBorders>
              <w:top w:val="nil"/>
              <w:left w:val="nil"/>
              <w:bottom w:val="nil"/>
              <w:right w:val="nil"/>
            </w:tcBorders>
          </w:tcPr>
          <w:p w14:paraId="5CCFFFED" w14:textId="77777777" w:rsidR="00E3253B" w:rsidRPr="009B3099" w:rsidRDefault="00E3253B">
            <w:pPr>
              <w:ind w:right="-108"/>
              <w:rPr>
                <w:rFonts w:cs="Arial"/>
                <w:b/>
                <w:bCs/>
                <w:color w:val="0000FF"/>
                <w:szCs w:val="20"/>
              </w:rPr>
            </w:pPr>
            <w:r w:rsidRPr="009B3099">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6F82DA7C" w14:textId="77777777" w:rsidR="005F643B" w:rsidRDefault="005F643B" w:rsidP="005F643B">
            <w:pPr>
              <w:pStyle w:val="Default"/>
              <w:rPr>
                <w:sz w:val="20"/>
                <w:szCs w:val="20"/>
              </w:rPr>
            </w:pPr>
            <w:r>
              <w:rPr>
                <w:b/>
                <w:sz w:val="20"/>
                <w:szCs w:val="20"/>
              </w:rPr>
              <w:t xml:space="preserve">QC Material: </w:t>
            </w:r>
            <w:r>
              <w:rPr>
                <w:sz w:val="20"/>
                <w:szCs w:val="20"/>
              </w:rPr>
              <w:t xml:space="preserve">BioRad Liquichek Immunoassay Plus Levels 1,2 and 3 </w:t>
            </w:r>
          </w:p>
          <w:p w14:paraId="0A04CA8D" w14:textId="77777777" w:rsidR="005F643B" w:rsidRDefault="005F643B" w:rsidP="005F643B">
            <w:pPr>
              <w:pStyle w:val="Default"/>
              <w:rPr>
                <w:sz w:val="20"/>
                <w:szCs w:val="20"/>
              </w:rPr>
            </w:pPr>
          </w:p>
          <w:p w14:paraId="74DB2E4E" w14:textId="77777777" w:rsidR="005F643B" w:rsidRDefault="005F643B" w:rsidP="005F643B">
            <w:pPr>
              <w:pStyle w:val="Default"/>
              <w:rPr>
                <w:sz w:val="20"/>
                <w:szCs w:val="20"/>
              </w:rPr>
            </w:pPr>
            <w:r>
              <w:rPr>
                <w:b/>
                <w:bCs/>
                <w:sz w:val="20"/>
                <w:szCs w:val="20"/>
              </w:rPr>
              <w:t xml:space="preserve">Frequency: </w:t>
            </w:r>
            <w:r>
              <w:rPr>
                <w:sz w:val="20"/>
                <w:szCs w:val="20"/>
              </w:rPr>
              <w:t xml:space="preserve">Three levels each day of use. </w:t>
            </w:r>
          </w:p>
          <w:p w14:paraId="178C5130" w14:textId="77777777" w:rsidR="005F643B" w:rsidRDefault="005F643B" w:rsidP="005F643B">
            <w:pPr>
              <w:pStyle w:val="Default"/>
              <w:rPr>
                <w:sz w:val="20"/>
                <w:szCs w:val="20"/>
              </w:rPr>
            </w:pPr>
          </w:p>
          <w:p w14:paraId="7D1352CF" w14:textId="77777777" w:rsidR="005F643B" w:rsidRDefault="005F643B" w:rsidP="005F643B">
            <w:pPr>
              <w:pStyle w:val="Default"/>
              <w:rPr>
                <w:sz w:val="20"/>
                <w:szCs w:val="20"/>
              </w:rPr>
            </w:pPr>
            <w:r>
              <w:rPr>
                <w:b/>
                <w:bCs/>
                <w:sz w:val="20"/>
                <w:szCs w:val="20"/>
              </w:rPr>
              <w:t xml:space="preserve">Stability: </w:t>
            </w:r>
            <w:r>
              <w:rPr>
                <w:sz w:val="20"/>
                <w:szCs w:val="20"/>
              </w:rPr>
              <w:t xml:space="preserve">5 Days at 2-8°C (due to the inclusion and use of Estradiol in this control) </w:t>
            </w:r>
          </w:p>
          <w:p w14:paraId="695CCE20" w14:textId="77777777" w:rsidR="005F643B" w:rsidRDefault="005F643B" w:rsidP="005F643B">
            <w:pPr>
              <w:pStyle w:val="Default"/>
              <w:rPr>
                <w:sz w:val="20"/>
                <w:szCs w:val="20"/>
              </w:rPr>
            </w:pPr>
          </w:p>
          <w:p w14:paraId="285C9671" w14:textId="77777777" w:rsidR="005F643B" w:rsidRDefault="005F643B" w:rsidP="005F643B">
            <w:pPr>
              <w:pStyle w:val="Default"/>
              <w:rPr>
                <w:sz w:val="20"/>
                <w:szCs w:val="20"/>
              </w:rPr>
            </w:pPr>
            <w:r>
              <w:rPr>
                <w:b/>
                <w:bCs/>
                <w:sz w:val="20"/>
                <w:szCs w:val="20"/>
              </w:rPr>
              <w:t>Preparation</w:t>
            </w:r>
            <w:r>
              <w:rPr>
                <w:sz w:val="20"/>
                <w:szCs w:val="20"/>
              </w:rPr>
              <w:t xml:space="preserve">: </w:t>
            </w:r>
            <w:r w:rsidRPr="00960541">
              <w:rPr>
                <w:sz w:val="20"/>
                <w:szCs w:val="20"/>
              </w:rPr>
              <w:t xml:space="preserve">Let vials thaw for 30 minutes at room temperature and gently swirl to ensure homogeneity. Do not allow to stand at room temperature longer than 20 minutes after completely thawed.   </w:t>
            </w:r>
          </w:p>
          <w:p w14:paraId="03042759" w14:textId="77777777" w:rsidR="005F643B" w:rsidRDefault="005F643B" w:rsidP="005F643B">
            <w:pPr>
              <w:pStyle w:val="Default"/>
              <w:rPr>
                <w:sz w:val="20"/>
                <w:szCs w:val="20"/>
              </w:rPr>
            </w:pPr>
          </w:p>
          <w:p w14:paraId="516640F2" w14:textId="77777777" w:rsidR="005F643B" w:rsidRPr="00DC7421" w:rsidRDefault="005F643B" w:rsidP="005F643B">
            <w:pPr>
              <w:jc w:val="both"/>
              <w:rPr>
                <w:rFonts w:cs="Arial"/>
                <w:szCs w:val="20"/>
              </w:rPr>
            </w:pPr>
            <w:r w:rsidRPr="00DC7421">
              <w:rPr>
                <w:rFonts w:cs="Arial"/>
                <w:b/>
                <w:bCs/>
                <w:szCs w:val="20"/>
              </w:rPr>
              <w:t>Acceptable ranges:</w:t>
            </w:r>
            <w:r w:rsidRPr="00DC7421">
              <w:rPr>
                <w:rFonts w:cs="Arial"/>
                <w:szCs w:val="20"/>
              </w:rPr>
              <w:t xml:space="preserve"> </w:t>
            </w:r>
          </w:p>
          <w:p w14:paraId="5AD665EC" w14:textId="77777777" w:rsidR="005F643B" w:rsidRPr="00DC7421" w:rsidRDefault="005F643B" w:rsidP="005F643B">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6E10EFB0" w14:textId="77777777" w:rsidR="005F643B" w:rsidRPr="00DC7421" w:rsidRDefault="005F643B" w:rsidP="005F643B">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1AC834CA" w14:textId="77777777" w:rsidR="005F643B" w:rsidRPr="00DC7421" w:rsidRDefault="005F643B" w:rsidP="005F643B">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0D9DFAFC" w14:textId="77777777" w:rsidR="005F643B" w:rsidRPr="00DC7421" w:rsidRDefault="005F643B" w:rsidP="005F643B">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00B2419C" w14:textId="77777777" w:rsidR="005F643B" w:rsidRPr="00DC7421" w:rsidRDefault="005F643B" w:rsidP="005F643B">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5"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18BA9A7" w14:textId="77777777" w:rsidR="005F643B" w:rsidRPr="00DC7421" w:rsidRDefault="005F643B" w:rsidP="005F643B">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1B74EBB2" w:rsidR="00DC7421" w:rsidRPr="009B3099" w:rsidRDefault="00DC7421" w:rsidP="0006098A">
            <w:pPr>
              <w:autoSpaceDE w:val="0"/>
              <w:autoSpaceDN w:val="0"/>
              <w:adjustRightInd w:val="0"/>
              <w:ind w:left="360"/>
              <w:jc w:val="both"/>
              <w:rPr>
                <w:rFonts w:cs="Arial"/>
                <w:color w:val="000000"/>
                <w:szCs w:val="20"/>
              </w:rPr>
            </w:pPr>
          </w:p>
        </w:tc>
      </w:tr>
      <w:tr w:rsidR="00E3253B" w:rsidRPr="009B3099" w14:paraId="5CD00012" w14:textId="77777777" w:rsidTr="007132A9">
        <w:trPr>
          <w:tblHeader/>
        </w:trPr>
        <w:tc>
          <w:tcPr>
            <w:tcW w:w="1800" w:type="dxa"/>
            <w:tcBorders>
              <w:top w:val="nil"/>
              <w:left w:val="nil"/>
              <w:bottom w:val="nil"/>
              <w:right w:val="nil"/>
            </w:tcBorders>
          </w:tcPr>
          <w:p w14:paraId="5CD00005" w14:textId="77777777" w:rsidR="00E3253B" w:rsidRPr="009B3099" w:rsidRDefault="00E3253B" w:rsidP="0039587D">
            <w:pPr>
              <w:rPr>
                <w:rFonts w:cs="Arial"/>
                <w:b/>
                <w:bCs/>
                <w:color w:val="0000FF"/>
                <w:szCs w:val="20"/>
              </w:rPr>
            </w:pPr>
            <w:r w:rsidRPr="009B3099">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B26D27B" w14:textId="77777777" w:rsidR="00AF6BD6" w:rsidRDefault="00AF6BD6" w:rsidP="0018743B">
            <w:pPr>
              <w:autoSpaceDE w:val="0"/>
              <w:autoSpaceDN w:val="0"/>
              <w:adjustRightInd w:val="0"/>
              <w:jc w:val="both"/>
              <w:rPr>
                <w:rFonts w:cs="Arial"/>
                <w:szCs w:val="20"/>
              </w:rPr>
            </w:pPr>
            <w:r>
              <w:rPr>
                <w:rFonts w:cs="Arial"/>
                <w:szCs w:val="20"/>
              </w:rPr>
              <w:t>Interference is less than 10% at the following levels for endogenous potentially interfering substances at LH concentrations of 10-20 and 50-70 mIU/mL</w:t>
            </w:r>
          </w:p>
          <w:p w14:paraId="0FE49F22" w14:textId="4728B135" w:rsidR="00AF6BD6" w:rsidRDefault="00AF6BD6" w:rsidP="0018743B">
            <w:pPr>
              <w:autoSpaceDE w:val="0"/>
              <w:autoSpaceDN w:val="0"/>
              <w:adjustRightInd w:val="0"/>
              <w:jc w:val="both"/>
              <w:rPr>
                <w:rFonts w:cs="Arial"/>
                <w:szCs w:val="20"/>
              </w:rPr>
            </w:pPr>
          </w:p>
          <w:p w14:paraId="40DB320F" w14:textId="69DEF7F4" w:rsidR="0018743B" w:rsidRPr="009B3099" w:rsidRDefault="0018743B" w:rsidP="0018743B">
            <w:pPr>
              <w:autoSpaceDE w:val="0"/>
              <w:autoSpaceDN w:val="0"/>
              <w:adjustRightInd w:val="0"/>
              <w:jc w:val="both"/>
              <w:rPr>
                <w:rFonts w:cs="Arial"/>
                <w:szCs w:val="20"/>
              </w:rPr>
            </w:pPr>
            <w:r w:rsidRPr="009B3099">
              <w:rPr>
                <w:rFonts w:cs="Arial"/>
                <w:szCs w:val="20"/>
              </w:rPr>
              <w:t xml:space="preserve">Bilirubin ≥ 20 mg/dL </w:t>
            </w:r>
          </w:p>
          <w:p w14:paraId="341C4BE8" w14:textId="59A0D5AE" w:rsidR="0018743B" w:rsidRPr="009B3099" w:rsidRDefault="0018743B" w:rsidP="0018743B">
            <w:pPr>
              <w:autoSpaceDE w:val="0"/>
              <w:autoSpaceDN w:val="0"/>
              <w:adjustRightInd w:val="0"/>
              <w:jc w:val="both"/>
              <w:rPr>
                <w:rFonts w:cs="Arial"/>
                <w:szCs w:val="20"/>
              </w:rPr>
            </w:pPr>
            <w:r w:rsidRPr="009B3099">
              <w:rPr>
                <w:rFonts w:cs="Arial"/>
                <w:szCs w:val="20"/>
              </w:rPr>
              <w:t xml:space="preserve">Protein ≥ 12 g/dL </w:t>
            </w:r>
          </w:p>
          <w:p w14:paraId="3C98D0AF" w14:textId="46D9E9DB" w:rsidR="0018743B" w:rsidRPr="009B3099" w:rsidRDefault="0018743B" w:rsidP="0018743B">
            <w:pPr>
              <w:autoSpaceDE w:val="0"/>
              <w:autoSpaceDN w:val="0"/>
              <w:adjustRightInd w:val="0"/>
              <w:jc w:val="both"/>
              <w:rPr>
                <w:rFonts w:cs="Arial"/>
                <w:szCs w:val="20"/>
              </w:rPr>
            </w:pPr>
            <w:r w:rsidRPr="009B3099">
              <w:rPr>
                <w:rFonts w:cs="Arial"/>
                <w:szCs w:val="20"/>
              </w:rPr>
              <w:t xml:space="preserve">Triglycerides ≥ 3000 mg/dL </w:t>
            </w:r>
          </w:p>
          <w:p w14:paraId="567D4671" w14:textId="46E91A65" w:rsidR="0018743B" w:rsidRPr="009B3099" w:rsidRDefault="0018743B" w:rsidP="0018743B">
            <w:pPr>
              <w:autoSpaceDE w:val="0"/>
              <w:autoSpaceDN w:val="0"/>
              <w:adjustRightInd w:val="0"/>
              <w:jc w:val="both"/>
              <w:rPr>
                <w:rFonts w:cs="Arial"/>
                <w:szCs w:val="20"/>
              </w:rPr>
            </w:pPr>
            <w:r w:rsidRPr="009B3099">
              <w:rPr>
                <w:rFonts w:cs="Arial"/>
                <w:szCs w:val="20"/>
              </w:rPr>
              <w:t xml:space="preserve">Hemoglobin ≥ 500 mg/dL </w:t>
            </w:r>
          </w:p>
          <w:p w14:paraId="7F231D90" w14:textId="77777777" w:rsidR="000244AC" w:rsidRDefault="000244AC" w:rsidP="0018743B">
            <w:pPr>
              <w:autoSpaceDE w:val="0"/>
              <w:autoSpaceDN w:val="0"/>
              <w:adjustRightInd w:val="0"/>
              <w:jc w:val="both"/>
              <w:rPr>
                <w:rFonts w:cs="Arial"/>
                <w:szCs w:val="20"/>
              </w:rPr>
            </w:pPr>
          </w:p>
          <w:p w14:paraId="0E9B19CD" w14:textId="52BE967E" w:rsidR="00AF6BD6" w:rsidRDefault="00B75A95" w:rsidP="0018743B">
            <w:pPr>
              <w:autoSpaceDE w:val="0"/>
              <w:autoSpaceDN w:val="0"/>
              <w:adjustRightInd w:val="0"/>
              <w:jc w:val="both"/>
              <w:rPr>
                <w:rFonts w:cs="Arial"/>
                <w:szCs w:val="20"/>
              </w:rPr>
            </w:pPr>
            <w:r>
              <w:rPr>
                <w:rFonts w:cs="Arial"/>
                <w:szCs w:val="20"/>
              </w:rPr>
              <w:t>Visibly g</w:t>
            </w:r>
            <w:bookmarkStart w:id="0" w:name="_GoBack"/>
            <w:bookmarkEnd w:id="0"/>
            <w:r w:rsidR="00AF6BD6">
              <w:rPr>
                <w:rFonts w:cs="Arial"/>
                <w:szCs w:val="20"/>
              </w:rPr>
              <w:t>rossly hemolyzed samples should have –HP (Hemolysis present) appended.</w:t>
            </w:r>
          </w:p>
          <w:p w14:paraId="5CD00011" w14:textId="67B10F0B" w:rsidR="00AF6BD6" w:rsidRPr="009B3099" w:rsidRDefault="00AF6BD6" w:rsidP="0018743B">
            <w:pPr>
              <w:autoSpaceDE w:val="0"/>
              <w:autoSpaceDN w:val="0"/>
              <w:adjustRightInd w:val="0"/>
              <w:jc w:val="both"/>
              <w:rPr>
                <w:rFonts w:cs="Arial"/>
                <w:szCs w:val="20"/>
              </w:rPr>
            </w:pPr>
          </w:p>
        </w:tc>
      </w:tr>
      <w:tr w:rsidR="00E3253B" w:rsidRPr="009B3099" w14:paraId="5CD00019" w14:textId="77777777" w:rsidTr="007132A9">
        <w:trPr>
          <w:tblHeader/>
        </w:trPr>
        <w:tc>
          <w:tcPr>
            <w:tcW w:w="1800" w:type="dxa"/>
            <w:tcBorders>
              <w:top w:val="nil"/>
              <w:left w:val="nil"/>
              <w:bottom w:val="nil"/>
              <w:right w:val="nil"/>
            </w:tcBorders>
          </w:tcPr>
          <w:p w14:paraId="5CD00016" w14:textId="6F398A29" w:rsidR="00E3253B" w:rsidRPr="009B3099" w:rsidRDefault="00250A09" w:rsidP="0039587D">
            <w:pPr>
              <w:rPr>
                <w:rFonts w:cs="Arial"/>
                <w:b/>
                <w:bCs/>
                <w:color w:val="0000FF"/>
                <w:szCs w:val="20"/>
              </w:rPr>
            </w:pPr>
            <w:r w:rsidRPr="009B3099">
              <w:rPr>
                <w:rFonts w:cs="Arial"/>
                <w:b/>
                <w:bCs/>
                <w:color w:val="0000FF"/>
                <w:szCs w:val="20"/>
              </w:rPr>
              <w:t>Reference Intervals</w:t>
            </w:r>
          </w:p>
          <w:p w14:paraId="5CD00017" w14:textId="77777777" w:rsidR="0039587D" w:rsidRPr="009B3099"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469612BC" w14:textId="77777777" w:rsidR="00AF6BD6" w:rsidRDefault="00AF6BD6" w:rsidP="00AF6BD6">
            <w:pPr>
              <w:rPr>
                <w:rFonts w:cs="Arial"/>
                <w:b/>
                <w:szCs w:val="20"/>
              </w:rPr>
            </w:pPr>
            <w:r>
              <w:rPr>
                <w:rFonts w:cs="Arial"/>
                <w:b/>
                <w:szCs w:val="20"/>
              </w:rPr>
              <w:t>Female:</w:t>
            </w:r>
          </w:p>
          <w:p w14:paraId="5C18D351" w14:textId="14D666C9" w:rsidR="00AF6BD6" w:rsidRDefault="00AF6BD6" w:rsidP="00AF6BD6">
            <w:pPr>
              <w:rPr>
                <w:rFonts w:cs="Arial"/>
                <w:szCs w:val="20"/>
              </w:rPr>
            </w:pPr>
            <w:r w:rsidRPr="00AF6BD6">
              <w:rPr>
                <w:rFonts w:cs="Arial"/>
                <w:szCs w:val="20"/>
              </w:rPr>
              <w:t>&lt; 3 Months</w:t>
            </w:r>
            <w:r>
              <w:rPr>
                <w:rFonts w:cs="Arial"/>
                <w:szCs w:val="20"/>
              </w:rPr>
              <w:t xml:space="preserve">:   </w:t>
            </w:r>
            <w:r w:rsidRPr="00AF6BD6">
              <w:rPr>
                <w:rFonts w:cs="Arial"/>
                <w:szCs w:val="20"/>
              </w:rPr>
              <w:t>0</w:t>
            </w:r>
            <w:r>
              <w:rPr>
                <w:rFonts w:cs="Arial"/>
                <w:szCs w:val="20"/>
              </w:rPr>
              <w:t xml:space="preserve"> </w:t>
            </w:r>
            <w:r w:rsidRPr="00AF6BD6">
              <w:rPr>
                <w:rFonts w:cs="Arial"/>
                <w:szCs w:val="20"/>
              </w:rPr>
              <w:t>-</w:t>
            </w:r>
            <w:r>
              <w:rPr>
                <w:rFonts w:cs="Arial"/>
                <w:szCs w:val="20"/>
              </w:rPr>
              <w:t xml:space="preserve"> </w:t>
            </w:r>
            <w:r w:rsidRPr="00AF6BD6">
              <w:rPr>
                <w:rFonts w:cs="Arial"/>
                <w:szCs w:val="20"/>
              </w:rPr>
              <w:t>2.41</w:t>
            </w:r>
          </w:p>
          <w:p w14:paraId="12148768" w14:textId="2C82A35F" w:rsidR="00AF6BD6" w:rsidRDefault="00AF6BD6" w:rsidP="00AF6BD6">
            <w:pPr>
              <w:rPr>
                <w:rFonts w:cs="Arial"/>
                <w:szCs w:val="20"/>
              </w:rPr>
            </w:pPr>
            <w:r w:rsidRPr="00AF6BD6">
              <w:rPr>
                <w:rFonts w:cs="Arial"/>
                <w:szCs w:val="20"/>
              </w:rPr>
              <w:t>3 Months to &lt; 1 Year</w:t>
            </w:r>
            <w:r>
              <w:rPr>
                <w:rFonts w:cs="Arial"/>
                <w:szCs w:val="20"/>
              </w:rPr>
              <w:t>:</w:t>
            </w:r>
            <w:r w:rsidRPr="00AF6BD6">
              <w:rPr>
                <w:rFonts w:cs="Arial"/>
                <w:szCs w:val="20"/>
              </w:rPr>
              <w:t xml:space="preserve"> 0</w:t>
            </w:r>
            <w:r>
              <w:rPr>
                <w:rFonts w:cs="Arial"/>
                <w:szCs w:val="20"/>
              </w:rPr>
              <w:t xml:space="preserve"> </w:t>
            </w:r>
            <w:r w:rsidRPr="00AF6BD6">
              <w:rPr>
                <w:rFonts w:cs="Arial"/>
                <w:szCs w:val="20"/>
              </w:rPr>
              <w:t>-</w:t>
            </w:r>
            <w:r>
              <w:rPr>
                <w:rFonts w:cs="Arial"/>
                <w:szCs w:val="20"/>
              </w:rPr>
              <w:t xml:space="preserve"> </w:t>
            </w:r>
            <w:r w:rsidRPr="00AF6BD6">
              <w:rPr>
                <w:rFonts w:cs="Arial"/>
                <w:szCs w:val="20"/>
              </w:rPr>
              <w:t>1.19</w:t>
            </w:r>
          </w:p>
          <w:p w14:paraId="38DFA674" w14:textId="3F778D89" w:rsidR="00AF6BD6" w:rsidRDefault="00AF6BD6" w:rsidP="00AF6BD6">
            <w:pPr>
              <w:rPr>
                <w:rFonts w:cs="Arial"/>
                <w:szCs w:val="20"/>
              </w:rPr>
            </w:pPr>
            <w:r w:rsidRPr="00AF6BD6">
              <w:rPr>
                <w:rFonts w:cs="Arial"/>
                <w:szCs w:val="20"/>
              </w:rPr>
              <w:t xml:space="preserve">1 to &lt; 10  Years </w:t>
            </w:r>
            <w:r>
              <w:rPr>
                <w:rFonts w:cs="Arial"/>
                <w:szCs w:val="20"/>
              </w:rPr>
              <w:t xml:space="preserve">   </w:t>
            </w:r>
            <w:r w:rsidRPr="00AF6BD6">
              <w:rPr>
                <w:rFonts w:cs="Arial"/>
                <w:szCs w:val="20"/>
              </w:rPr>
              <w:t>0</w:t>
            </w:r>
            <w:r>
              <w:rPr>
                <w:rFonts w:cs="Arial"/>
                <w:szCs w:val="20"/>
              </w:rPr>
              <w:t xml:space="preserve"> </w:t>
            </w:r>
            <w:r w:rsidRPr="00AF6BD6">
              <w:rPr>
                <w:rFonts w:cs="Arial"/>
                <w:szCs w:val="20"/>
              </w:rPr>
              <w:t>-</w:t>
            </w:r>
            <w:r>
              <w:rPr>
                <w:rFonts w:cs="Arial"/>
                <w:szCs w:val="20"/>
              </w:rPr>
              <w:t xml:space="preserve"> </w:t>
            </w:r>
            <w:r w:rsidRPr="00AF6BD6">
              <w:rPr>
                <w:rFonts w:cs="Arial"/>
                <w:szCs w:val="20"/>
              </w:rPr>
              <w:t>0.33</w:t>
            </w:r>
          </w:p>
          <w:p w14:paraId="0CBCD475" w14:textId="5EDD5DF6" w:rsidR="00AF6BD6" w:rsidRDefault="00AF6BD6" w:rsidP="00AF6BD6">
            <w:pPr>
              <w:rPr>
                <w:rFonts w:cs="Arial"/>
                <w:szCs w:val="20"/>
              </w:rPr>
            </w:pPr>
            <w:r w:rsidRPr="00AF6BD6">
              <w:rPr>
                <w:rFonts w:cs="Arial"/>
                <w:szCs w:val="20"/>
              </w:rPr>
              <w:t>10 to &lt; 13 Years</w:t>
            </w:r>
            <w:r>
              <w:rPr>
                <w:rFonts w:cs="Arial"/>
                <w:szCs w:val="20"/>
              </w:rPr>
              <w:t>:   0 - 4.34</w:t>
            </w:r>
            <w:r w:rsidRPr="00AF6BD6">
              <w:rPr>
                <w:rFonts w:cs="Arial"/>
                <w:szCs w:val="20"/>
              </w:rPr>
              <w:t xml:space="preserve"> </w:t>
            </w:r>
          </w:p>
          <w:p w14:paraId="7E723AD8" w14:textId="6E877D43" w:rsidR="00AF6BD6" w:rsidRDefault="00AF6BD6" w:rsidP="00AF6BD6">
            <w:pPr>
              <w:rPr>
                <w:rFonts w:cs="Arial"/>
                <w:szCs w:val="20"/>
              </w:rPr>
            </w:pPr>
            <w:r w:rsidRPr="00AF6BD6">
              <w:rPr>
                <w:rFonts w:cs="Arial"/>
                <w:szCs w:val="20"/>
              </w:rPr>
              <w:t>13 to &lt; 15 Years</w:t>
            </w:r>
            <w:r>
              <w:rPr>
                <w:rFonts w:cs="Arial"/>
                <w:szCs w:val="20"/>
              </w:rPr>
              <w:t xml:space="preserve">:   </w:t>
            </w:r>
            <w:r w:rsidRPr="00AF6BD6">
              <w:rPr>
                <w:rFonts w:cs="Arial"/>
                <w:szCs w:val="20"/>
              </w:rPr>
              <w:t>0.37</w:t>
            </w:r>
            <w:r>
              <w:rPr>
                <w:rFonts w:cs="Arial"/>
                <w:szCs w:val="20"/>
              </w:rPr>
              <w:t xml:space="preserve"> </w:t>
            </w:r>
            <w:r w:rsidRPr="00AF6BD6">
              <w:rPr>
                <w:rFonts w:cs="Arial"/>
                <w:szCs w:val="20"/>
              </w:rPr>
              <w:t>-</w:t>
            </w:r>
            <w:r>
              <w:rPr>
                <w:rFonts w:cs="Arial"/>
                <w:szCs w:val="20"/>
              </w:rPr>
              <w:t xml:space="preserve"> </w:t>
            </w:r>
            <w:r w:rsidRPr="00AF6BD6">
              <w:rPr>
                <w:rFonts w:cs="Arial"/>
                <w:szCs w:val="20"/>
              </w:rPr>
              <w:t>6.52</w:t>
            </w:r>
          </w:p>
          <w:p w14:paraId="13C51B2B" w14:textId="26ED0938" w:rsidR="00AF6BD6" w:rsidRDefault="00AF6BD6" w:rsidP="00AF6BD6">
            <w:pPr>
              <w:rPr>
                <w:rFonts w:cs="Arial"/>
                <w:szCs w:val="20"/>
              </w:rPr>
            </w:pPr>
            <w:r w:rsidRPr="00AF6BD6">
              <w:rPr>
                <w:rFonts w:cs="Arial"/>
                <w:szCs w:val="20"/>
              </w:rPr>
              <w:t>15 to &lt; 17 Years</w:t>
            </w:r>
            <w:r>
              <w:rPr>
                <w:rFonts w:cs="Arial"/>
                <w:szCs w:val="20"/>
              </w:rPr>
              <w:t xml:space="preserve">:   </w:t>
            </w:r>
            <w:r w:rsidRPr="00AF6BD6">
              <w:rPr>
                <w:rFonts w:cs="Arial"/>
                <w:szCs w:val="20"/>
              </w:rPr>
              <w:t>0</w:t>
            </w:r>
            <w:r>
              <w:rPr>
                <w:rFonts w:cs="Arial"/>
                <w:szCs w:val="20"/>
              </w:rPr>
              <w:t xml:space="preserve"> </w:t>
            </w:r>
            <w:r w:rsidRPr="00AF6BD6">
              <w:rPr>
                <w:rFonts w:cs="Arial"/>
                <w:szCs w:val="20"/>
              </w:rPr>
              <w:t>-</w:t>
            </w:r>
            <w:r>
              <w:rPr>
                <w:rFonts w:cs="Arial"/>
                <w:szCs w:val="20"/>
              </w:rPr>
              <w:t xml:space="preserve"> </w:t>
            </w:r>
            <w:r w:rsidRPr="00AF6BD6">
              <w:rPr>
                <w:rFonts w:cs="Arial"/>
                <w:szCs w:val="20"/>
              </w:rPr>
              <w:t>13.1</w:t>
            </w:r>
          </w:p>
          <w:p w14:paraId="2B29142C" w14:textId="1C9F50D7" w:rsidR="00AF6BD6" w:rsidRDefault="00AF6BD6" w:rsidP="00AF6BD6">
            <w:pPr>
              <w:rPr>
                <w:rFonts w:cs="Arial"/>
                <w:szCs w:val="20"/>
              </w:rPr>
            </w:pPr>
            <w:r w:rsidRPr="00AF6BD6">
              <w:rPr>
                <w:rFonts w:cs="Arial"/>
                <w:szCs w:val="20"/>
              </w:rPr>
              <w:t>17 to &lt; 19 Years</w:t>
            </w:r>
            <w:r>
              <w:rPr>
                <w:rFonts w:cs="Arial"/>
                <w:szCs w:val="20"/>
              </w:rPr>
              <w:t xml:space="preserve">:   </w:t>
            </w:r>
            <w:r w:rsidRPr="00AF6BD6">
              <w:rPr>
                <w:rFonts w:cs="Arial"/>
                <w:szCs w:val="20"/>
              </w:rPr>
              <w:t>0</w:t>
            </w:r>
            <w:r>
              <w:rPr>
                <w:rFonts w:cs="Arial"/>
                <w:szCs w:val="20"/>
              </w:rPr>
              <w:t xml:space="preserve"> </w:t>
            </w:r>
            <w:r w:rsidRPr="00AF6BD6">
              <w:rPr>
                <w:rFonts w:cs="Arial"/>
                <w:szCs w:val="20"/>
              </w:rPr>
              <w:t>-</w:t>
            </w:r>
            <w:r>
              <w:rPr>
                <w:rFonts w:cs="Arial"/>
                <w:szCs w:val="20"/>
              </w:rPr>
              <w:t xml:space="preserve"> </w:t>
            </w:r>
            <w:r w:rsidRPr="00AF6BD6">
              <w:rPr>
                <w:rFonts w:cs="Arial"/>
                <w:szCs w:val="20"/>
              </w:rPr>
              <w:t>8.38</w:t>
            </w:r>
          </w:p>
          <w:p w14:paraId="728C44EC" w14:textId="77777777" w:rsidR="00AF6BD6" w:rsidRDefault="00AF6BD6" w:rsidP="00AF6BD6">
            <w:pPr>
              <w:rPr>
                <w:rFonts w:cs="Arial"/>
                <w:szCs w:val="20"/>
              </w:rPr>
            </w:pPr>
          </w:p>
          <w:p w14:paraId="0A3D0C2C" w14:textId="77777777" w:rsidR="00AF6BD6" w:rsidRDefault="00AF6BD6" w:rsidP="00AF6BD6">
            <w:pPr>
              <w:rPr>
                <w:rFonts w:cs="Arial"/>
                <w:b/>
                <w:szCs w:val="20"/>
              </w:rPr>
            </w:pPr>
            <w:r w:rsidRPr="00AF6BD6">
              <w:rPr>
                <w:rFonts w:cs="Arial"/>
                <w:b/>
                <w:szCs w:val="20"/>
              </w:rPr>
              <w:t>Comment included on all Female results:</w:t>
            </w:r>
          </w:p>
          <w:p w14:paraId="4CBA34C6" w14:textId="77777777" w:rsidR="00AF6BD6" w:rsidRDefault="00AF6BD6" w:rsidP="00AF6BD6">
            <w:pPr>
              <w:rPr>
                <w:rFonts w:cs="Arial"/>
                <w:szCs w:val="20"/>
              </w:rPr>
            </w:pPr>
            <w:r w:rsidRPr="00AF6BD6">
              <w:rPr>
                <w:rFonts w:cs="Arial"/>
                <w:szCs w:val="20"/>
              </w:rPr>
              <w:t>Normally Menstruating Female:</w:t>
            </w:r>
          </w:p>
          <w:p w14:paraId="7727B13D" w14:textId="77777777" w:rsidR="00AF6BD6" w:rsidRDefault="00AF6BD6" w:rsidP="00AF6BD6">
            <w:pPr>
              <w:rPr>
                <w:rFonts w:cs="Arial"/>
                <w:szCs w:val="20"/>
              </w:rPr>
            </w:pPr>
            <w:r w:rsidRPr="00AF6BD6">
              <w:rPr>
                <w:rFonts w:cs="Arial"/>
                <w:szCs w:val="20"/>
              </w:rPr>
              <w:t>Follicular Phase: 1.80 - 11.78</w:t>
            </w:r>
          </w:p>
          <w:p w14:paraId="2527FA8A" w14:textId="063FC709" w:rsidR="00AF6BD6" w:rsidRDefault="00AF6BD6" w:rsidP="00AF6BD6">
            <w:pPr>
              <w:rPr>
                <w:rFonts w:cs="Arial"/>
                <w:szCs w:val="20"/>
              </w:rPr>
            </w:pPr>
            <w:r w:rsidRPr="00AF6BD6">
              <w:rPr>
                <w:rFonts w:cs="Arial"/>
                <w:szCs w:val="20"/>
              </w:rPr>
              <w:t>Mid-Cycle Peak</w:t>
            </w:r>
            <w:r>
              <w:rPr>
                <w:rFonts w:cs="Arial"/>
                <w:szCs w:val="20"/>
              </w:rPr>
              <w:t>:</w:t>
            </w:r>
            <w:r w:rsidRPr="00AF6BD6">
              <w:rPr>
                <w:rFonts w:cs="Arial"/>
                <w:szCs w:val="20"/>
              </w:rPr>
              <w:t xml:space="preserve"> 7.59</w:t>
            </w:r>
            <w:r>
              <w:rPr>
                <w:rFonts w:cs="Arial"/>
                <w:szCs w:val="20"/>
              </w:rPr>
              <w:t xml:space="preserve"> </w:t>
            </w:r>
            <w:r w:rsidRPr="00AF6BD6">
              <w:rPr>
                <w:rFonts w:cs="Arial"/>
                <w:szCs w:val="20"/>
              </w:rPr>
              <w:t>- 89.08</w:t>
            </w:r>
          </w:p>
          <w:p w14:paraId="5CEDB878" w14:textId="23CD34BF" w:rsidR="00AF6BD6" w:rsidRPr="00AF6BD6" w:rsidRDefault="00AF6BD6" w:rsidP="00AF6BD6">
            <w:pPr>
              <w:rPr>
                <w:rFonts w:cs="Arial"/>
                <w:szCs w:val="20"/>
              </w:rPr>
            </w:pPr>
            <w:r w:rsidRPr="00AF6BD6">
              <w:rPr>
                <w:rFonts w:cs="Arial"/>
                <w:szCs w:val="20"/>
              </w:rPr>
              <w:t>Luteal Phase</w:t>
            </w:r>
            <w:r>
              <w:rPr>
                <w:rFonts w:cs="Arial"/>
                <w:szCs w:val="20"/>
              </w:rPr>
              <w:t xml:space="preserve">:   </w:t>
            </w:r>
            <w:r w:rsidRPr="00AF6BD6">
              <w:rPr>
                <w:rFonts w:cs="Arial"/>
                <w:szCs w:val="20"/>
              </w:rPr>
              <w:t xml:space="preserve"> 0.56 - 14.00</w:t>
            </w:r>
          </w:p>
          <w:p w14:paraId="26CAC975" w14:textId="77777777" w:rsidR="00AF6BD6" w:rsidRPr="00AF6BD6" w:rsidRDefault="00AF6BD6" w:rsidP="00AF6BD6">
            <w:pPr>
              <w:rPr>
                <w:rFonts w:cs="Arial"/>
                <w:b/>
                <w:szCs w:val="20"/>
              </w:rPr>
            </w:pPr>
          </w:p>
          <w:p w14:paraId="58C563DF" w14:textId="77777777" w:rsidR="00AF6BD6" w:rsidRDefault="00AF6BD6" w:rsidP="00AF6BD6">
            <w:pPr>
              <w:rPr>
                <w:rFonts w:cs="Arial"/>
                <w:szCs w:val="20"/>
              </w:rPr>
            </w:pPr>
            <w:r w:rsidRPr="00AF6BD6">
              <w:rPr>
                <w:rFonts w:cs="Arial"/>
                <w:b/>
                <w:szCs w:val="20"/>
              </w:rPr>
              <w:t>Male:</w:t>
            </w:r>
            <w:r w:rsidRPr="00AF6BD6">
              <w:rPr>
                <w:rFonts w:cs="Arial"/>
                <w:szCs w:val="20"/>
              </w:rPr>
              <w:t xml:space="preserve"> </w:t>
            </w:r>
          </w:p>
          <w:p w14:paraId="686167C7" w14:textId="4169A22E" w:rsidR="00AF6BD6" w:rsidRDefault="00AF6BD6" w:rsidP="00AF6BD6">
            <w:pPr>
              <w:rPr>
                <w:rFonts w:cs="Arial"/>
                <w:szCs w:val="20"/>
              </w:rPr>
            </w:pPr>
            <w:r w:rsidRPr="00AF6BD6">
              <w:rPr>
                <w:rFonts w:cs="Arial"/>
                <w:szCs w:val="20"/>
              </w:rPr>
              <w:t>&lt; 3 Months:</w:t>
            </w:r>
            <w:r>
              <w:rPr>
                <w:rFonts w:cs="Arial"/>
                <w:szCs w:val="20"/>
              </w:rPr>
              <w:t xml:space="preserve">         </w:t>
            </w:r>
            <w:r w:rsidRPr="00AF6BD6">
              <w:rPr>
                <w:rFonts w:cs="Arial"/>
                <w:szCs w:val="20"/>
              </w:rPr>
              <w:t>0.19</w:t>
            </w:r>
            <w:r>
              <w:rPr>
                <w:rFonts w:cs="Arial"/>
                <w:szCs w:val="20"/>
              </w:rPr>
              <w:t xml:space="preserve"> </w:t>
            </w:r>
            <w:r w:rsidRPr="00AF6BD6">
              <w:rPr>
                <w:rFonts w:cs="Arial"/>
                <w:szCs w:val="20"/>
              </w:rPr>
              <w:t>-</w:t>
            </w:r>
            <w:r>
              <w:rPr>
                <w:rFonts w:cs="Arial"/>
                <w:szCs w:val="20"/>
              </w:rPr>
              <w:t xml:space="preserve"> </w:t>
            </w:r>
            <w:r w:rsidRPr="00AF6BD6">
              <w:rPr>
                <w:rFonts w:cs="Arial"/>
                <w:szCs w:val="20"/>
              </w:rPr>
              <w:t xml:space="preserve">3.81 </w:t>
            </w:r>
          </w:p>
          <w:p w14:paraId="07ECBBD0" w14:textId="15E6A3A1" w:rsidR="00AF6BD6" w:rsidRDefault="00AF6BD6" w:rsidP="00AF6BD6">
            <w:pPr>
              <w:rPr>
                <w:rFonts w:cs="Arial"/>
                <w:szCs w:val="20"/>
              </w:rPr>
            </w:pPr>
            <w:r w:rsidRPr="00AF6BD6">
              <w:rPr>
                <w:rFonts w:cs="Arial"/>
                <w:szCs w:val="20"/>
              </w:rPr>
              <w:t>3 Months to &lt; 1 Year:</w:t>
            </w:r>
            <w:r>
              <w:rPr>
                <w:rFonts w:cs="Arial"/>
                <w:szCs w:val="20"/>
              </w:rPr>
              <w:t xml:space="preserve"> 0 - 2.89</w:t>
            </w:r>
          </w:p>
          <w:p w14:paraId="2A00138F" w14:textId="13406B1A" w:rsidR="00AF6BD6" w:rsidRDefault="00AF6BD6" w:rsidP="00AF6BD6">
            <w:pPr>
              <w:rPr>
                <w:rFonts w:cs="Arial"/>
                <w:szCs w:val="20"/>
              </w:rPr>
            </w:pPr>
            <w:r>
              <w:rPr>
                <w:rFonts w:cs="Arial"/>
                <w:szCs w:val="20"/>
              </w:rPr>
              <w:t>1 to</w:t>
            </w:r>
            <w:r w:rsidRPr="00AF6BD6">
              <w:rPr>
                <w:rFonts w:cs="Arial"/>
                <w:szCs w:val="20"/>
              </w:rPr>
              <w:t xml:space="preserve"> &lt; 10 Years:</w:t>
            </w:r>
            <w:r>
              <w:rPr>
                <w:rFonts w:cs="Arial"/>
                <w:szCs w:val="20"/>
              </w:rPr>
              <w:t xml:space="preserve">      0 - 0.33</w:t>
            </w:r>
          </w:p>
          <w:p w14:paraId="6BE4101F" w14:textId="66D65BDD" w:rsidR="00AF6BD6" w:rsidRDefault="00AF6BD6" w:rsidP="00AF6BD6">
            <w:pPr>
              <w:rPr>
                <w:rFonts w:cs="Arial"/>
                <w:szCs w:val="20"/>
              </w:rPr>
            </w:pPr>
            <w:r w:rsidRPr="00AF6BD6">
              <w:rPr>
                <w:rFonts w:cs="Arial"/>
                <w:szCs w:val="20"/>
              </w:rPr>
              <w:t>10 to &lt; 13 Years:</w:t>
            </w:r>
            <w:r>
              <w:rPr>
                <w:rFonts w:cs="Arial"/>
                <w:szCs w:val="20"/>
              </w:rPr>
              <w:t xml:space="preserve">    </w:t>
            </w:r>
            <w:r w:rsidRPr="00AF6BD6">
              <w:rPr>
                <w:rFonts w:cs="Arial"/>
                <w:szCs w:val="20"/>
              </w:rPr>
              <w:t>0</w:t>
            </w:r>
            <w:r>
              <w:rPr>
                <w:rFonts w:cs="Arial"/>
                <w:szCs w:val="20"/>
              </w:rPr>
              <w:t xml:space="preserve"> </w:t>
            </w:r>
            <w:r w:rsidRPr="00AF6BD6">
              <w:rPr>
                <w:rFonts w:cs="Arial"/>
                <w:szCs w:val="20"/>
              </w:rPr>
              <w:t>-</w:t>
            </w:r>
            <w:r>
              <w:rPr>
                <w:rFonts w:cs="Arial"/>
                <w:szCs w:val="20"/>
              </w:rPr>
              <w:t xml:space="preserve"> </w:t>
            </w:r>
            <w:r w:rsidRPr="00AF6BD6">
              <w:rPr>
                <w:rFonts w:cs="Arial"/>
                <w:szCs w:val="20"/>
              </w:rPr>
              <w:t>4.34</w:t>
            </w:r>
          </w:p>
          <w:p w14:paraId="0A10F9A8" w14:textId="764D978D" w:rsidR="00AF6BD6" w:rsidRDefault="00AF6BD6" w:rsidP="00AF6BD6">
            <w:pPr>
              <w:rPr>
                <w:rFonts w:cs="Arial"/>
                <w:szCs w:val="20"/>
              </w:rPr>
            </w:pPr>
            <w:r w:rsidRPr="00AF6BD6">
              <w:rPr>
                <w:rFonts w:cs="Arial"/>
                <w:szCs w:val="20"/>
              </w:rPr>
              <w:t>13 to &lt; 15 Years:</w:t>
            </w:r>
            <w:r>
              <w:rPr>
                <w:rFonts w:cs="Arial"/>
                <w:szCs w:val="20"/>
              </w:rPr>
              <w:t xml:space="preserve">    0 - 4.11</w:t>
            </w:r>
          </w:p>
          <w:p w14:paraId="6C7E8AF0" w14:textId="5CAA2984" w:rsidR="00AF6BD6" w:rsidRDefault="00AF6BD6" w:rsidP="00AF6BD6">
            <w:pPr>
              <w:rPr>
                <w:rFonts w:cs="Arial"/>
                <w:szCs w:val="20"/>
              </w:rPr>
            </w:pPr>
            <w:r w:rsidRPr="00AF6BD6">
              <w:rPr>
                <w:rFonts w:cs="Arial"/>
                <w:szCs w:val="20"/>
              </w:rPr>
              <w:t>15 to &lt; 17 Years:</w:t>
            </w:r>
            <w:r>
              <w:rPr>
                <w:rFonts w:cs="Arial"/>
                <w:szCs w:val="20"/>
              </w:rPr>
              <w:t xml:space="preserve">    </w:t>
            </w:r>
            <w:r w:rsidRPr="00AF6BD6">
              <w:rPr>
                <w:rFonts w:cs="Arial"/>
                <w:szCs w:val="20"/>
              </w:rPr>
              <w:t>0.79</w:t>
            </w:r>
            <w:r>
              <w:rPr>
                <w:rFonts w:cs="Arial"/>
                <w:szCs w:val="20"/>
              </w:rPr>
              <w:t xml:space="preserve"> </w:t>
            </w:r>
            <w:r w:rsidRPr="00AF6BD6">
              <w:rPr>
                <w:rFonts w:cs="Arial"/>
                <w:szCs w:val="20"/>
              </w:rPr>
              <w:t>-</w:t>
            </w:r>
            <w:r>
              <w:rPr>
                <w:rFonts w:cs="Arial"/>
                <w:szCs w:val="20"/>
              </w:rPr>
              <w:t xml:space="preserve"> </w:t>
            </w:r>
            <w:r w:rsidRPr="00AF6BD6">
              <w:rPr>
                <w:rFonts w:cs="Arial"/>
                <w:szCs w:val="20"/>
              </w:rPr>
              <w:t>4.76</w:t>
            </w:r>
          </w:p>
          <w:p w14:paraId="6E0B8A68" w14:textId="46D38B08" w:rsidR="00AF6BD6" w:rsidRDefault="00AF6BD6" w:rsidP="00AF6BD6">
            <w:pPr>
              <w:rPr>
                <w:rFonts w:cs="Arial"/>
                <w:szCs w:val="20"/>
              </w:rPr>
            </w:pPr>
            <w:r w:rsidRPr="00AF6BD6">
              <w:rPr>
                <w:rFonts w:cs="Arial"/>
                <w:szCs w:val="20"/>
              </w:rPr>
              <w:t>17 to &lt; 19 Years:</w:t>
            </w:r>
            <w:r>
              <w:rPr>
                <w:rFonts w:cs="Arial"/>
                <w:szCs w:val="20"/>
              </w:rPr>
              <w:t xml:space="preserve">     0.94 - 7.1</w:t>
            </w:r>
            <w:r w:rsidRPr="00AF6BD6">
              <w:rPr>
                <w:rFonts w:cs="Arial"/>
                <w:szCs w:val="20"/>
              </w:rPr>
              <w:t xml:space="preserve">                       </w:t>
            </w:r>
          </w:p>
          <w:p w14:paraId="57C34A7B" w14:textId="77777777" w:rsidR="0039587D" w:rsidRDefault="00AF6BD6" w:rsidP="00AF6BD6">
            <w:pPr>
              <w:rPr>
                <w:rFonts w:cs="Arial"/>
                <w:szCs w:val="20"/>
              </w:rPr>
            </w:pPr>
            <w:r>
              <w:rPr>
                <w:rFonts w:cs="Arial"/>
                <w:szCs w:val="20"/>
              </w:rPr>
              <w:t>Adult:     0.57 - 12.07</w:t>
            </w:r>
          </w:p>
          <w:p w14:paraId="5CD00018" w14:textId="7D4F1784" w:rsidR="00AF6BD6" w:rsidRPr="009B3099" w:rsidRDefault="00AF6BD6" w:rsidP="00AF6BD6">
            <w:pPr>
              <w:rPr>
                <w:rFonts w:cs="Arial"/>
                <w:szCs w:val="20"/>
              </w:rPr>
            </w:pPr>
          </w:p>
        </w:tc>
      </w:tr>
      <w:tr w:rsidR="00E3253B" w:rsidRPr="009B3099" w14:paraId="5CD0001C" w14:textId="77777777" w:rsidTr="007132A9">
        <w:trPr>
          <w:trHeight w:val="558"/>
          <w:tblHeader/>
        </w:trPr>
        <w:tc>
          <w:tcPr>
            <w:tcW w:w="1800" w:type="dxa"/>
            <w:tcBorders>
              <w:top w:val="nil"/>
              <w:left w:val="nil"/>
              <w:bottom w:val="nil"/>
              <w:right w:val="nil"/>
            </w:tcBorders>
          </w:tcPr>
          <w:p w14:paraId="5CD0001A" w14:textId="48464DCA" w:rsidR="00E3253B" w:rsidRPr="009B3099" w:rsidRDefault="00E3253B" w:rsidP="0039587D">
            <w:pPr>
              <w:rPr>
                <w:rFonts w:cs="Arial"/>
                <w:b/>
                <w:bCs/>
                <w:color w:val="0000FF"/>
                <w:szCs w:val="20"/>
              </w:rPr>
            </w:pPr>
            <w:r w:rsidRPr="009B3099">
              <w:rPr>
                <w:rFonts w:cs="Arial"/>
                <w:b/>
                <w:bCs/>
                <w:color w:val="0000FF"/>
                <w:szCs w:val="20"/>
              </w:rPr>
              <w:lastRenderedPageBreak/>
              <w:t>Critical Values</w:t>
            </w:r>
          </w:p>
        </w:tc>
        <w:tc>
          <w:tcPr>
            <w:tcW w:w="9360" w:type="dxa"/>
            <w:gridSpan w:val="4"/>
            <w:tcBorders>
              <w:top w:val="single" w:sz="18" w:space="0" w:color="BFBFBF"/>
              <w:left w:val="nil"/>
              <w:bottom w:val="single" w:sz="18" w:space="0" w:color="BFBFBF"/>
              <w:right w:val="nil"/>
            </w:tcBorders>
          </w:tcPr>
          <w:p w14:paraId="5CD0001B" w14:textId="2834B671" w:rsidR="00E3253B" w:rsidRPr="009B3099" w:rsidRDefault="00AF6BD6" w:rsidP="001C641E">
            <w:pPr>
              <w:pStyle w:val="Header"/>
              <w:tabs>
                <w:tab w:val="clear" w:pos="4320"/>
                <w:tab w:val="clear" w:pos="8640"/>
              </w:tabs>
              <w:rPr>
                <w:rFonts w:cs="Arial"/>
                <w:szCs w:val="20"/>
              </w:rPr>
            </w:pPr>
            <w:r>
              <w:rPr>
                <w:rFonts w:cs="Arial"/>
                <w:szCs w:val="20"/>
              </w:rPr>
              <w:t>None specified</w:t>
            </w:r>
          </w:p>
        </w:tc>
      </w:tr>
      <w:tr w:rsidR="00E3253B" w:rsidRPr="009B3099" w14:paraId="5CD00022" w14:textId="77777777" w:rsidTr="007132A9">
        <w:trPr>
          <w:tblHeader/>
        </w:trPr>
        <w:tc>
          <w:tcPr>
            <w:tcW w:w="1800" w:type="dxa"/>
            <w:tcBorders>
              <w:top w:val="nil"/>
              <w:left w:val="nil"/>
              <w:bottom w:val="nil"/>
              <w:right w:val="nil"/>
            </w:tcBorders>
          </w:tcPr>
          <w:p w14:paraId="5CD0001D" w14:textId="77777777" w:rsidR="00E3253B" w:rsidRPr="009B3099" w:rsidRDefault="00E3253B" w:rsidP="0039587D">
            <w:pPr>
              <w:rPr>
                <w:rFonts w:cs="Arial"/>
                <w:b/>
                <w:bCs/>
                <w:color w:val="0000FF"/>
                <w:szCs w:val="20"/>
              </w:rPr>
            </w:pPr>
            <w:r w:rsidRPr="009B3099">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08E5039B" w14:textId="77777777" w:rsidR="0018743B" w:rsidRPr="009B3099" w:rsidRDefault="0018743B" w:rsidP="0018743B">
            <w:pPr>
              <w:autoSpaceDE w:val="0"/>
              <w:autoSpaceDN w:val="0"/>
              <w:adjustRightInd w:val="0"/>
              <w:jc w:val="both"/>
              <w:rPr>
                <w:rFonts w:cs="Arial"/>
                <w:szCs w:val="20"/>
              </w:rPr>
            </w:pPr>
            <w:r w:rsidRPr="009B3099">
              <w:rPr>
                <w:rFonts w:cs="Arial"/>
                <w:szCs w:val="20"/>
              </w:rPr>
              <w:t>Results should be used in conjunction with other data; e.g., symptoms, results of other tests, and clinical impressions.</w:t>
            </w:r>
          </w:p>
          <w:p w14:paraId="54C809CE" w14:textId="77777777" w:rsidR="0018743B" w:rsidRPr="009B3099" w:rsidRDefault="0018743B" w:rsidP="0018743B">
            <w:pPr>
              <w:autoSpaceDE w:val="0"/>
              <w:autoSpaceDN w:val="0"/>
              <w:adjustRightInd w:val="0"/>
              <w:jc w:val="both"/>
              <w:rPr>
                <w:rFonts w:cs="Arial"/>
                <w:b/>
                <w:bCs/>
                <w:szCs w:val="20"/>
              </w:rPr>
            </w:pPr>
          </w:p>
          <w:p w14:paraId="192CFC07" w14:textId="77777777" w:rsidR="0018743B" w:rsidRPr="009B3099" w:rsidRDefault="0018743B" w:rsidP="0018743B">
            <w:pPr>
              <w:autoSpaceDE w:val="0"/>
              <w:autoSpaceDN w:val="0"/>
              <w:adjustRightInd w:val="0"/>
              <w:jc w:val="both"/>
              <w:rPr>
                <w:rFonts w:cs="Arial"/>
                <w:szCs w:val="20"/>
              </w:rPr>
            </w:pPr>
            <w:r w:rsidRPr="009B3099">
              <w:rPr>
                <w:rFonts w:cs="Arial"/>
                <w:szCs w:val="20"/>
              </w:rPr>
              <w:t>If the LH results are inconsistent with clinical evidence, additional</w:t>
            </w:r>
            <w:r w:rsidRPr="009B3099">
              <w:rPr>
                <w:rFonts w:cs="Arial"/>
                <w:b/>
                <w:bCs/>
                <w:szCs w:val="20"/>
              </w:rPr>
              <w:t xml:space="preserve"> </w:t>
            </w:r>
            <w:r w:rsidRPr="009B3099">
              <w:rPr>
                <w:rFonts w:cs="Arial"/>
                <w:szCs w:val="20"/>
              </w:rPr>
              <w:t>testing is recommended to confirm the result.</w:t>
            </w:r>
          </w:p>
          <w:p w14:paraId="6DCD6A5D" w14:textId="77777777" w:rsidR="0018743B" w:rsidRPr="009B3099" w:rsidRDefault="0018743B" w:rsidP="0018743B">
            <w:pPr>
              <w:autoSpaceDE w:val="0"/>
              <w:autoSpaceDN w:val="0"/>
              <w:adjustRightInd w:val="0"/>
              <w:jc w:val="both"/>
              <w:rPr>
                <w:rFonts w:cs="Arial"/>
                <w:b/>
                <w:bCs/>
                <w:szCs w:val="20"/>
              </w:rPr>
            </w:pPr>
          </w:p>
          <w:p w14:paraId="7C76591C" w14:textId="77777777" w:rsidR="0018743B" w:rsidRPr="009B3099" w:rsidRDefault="0018743B" w:rsidP="0018743B">
            <w:pPr>
              <w:autoSpaceDE w:val="0"/>
              <w:autoSpaceDN w:val="0"/>
              <w:adjustRightInd w:val="0"/>
              <w:jc w:val="both"/>
              <w:rPr>
                <w:rFonts w:cs="Arial"/>
                <w:szCs w:val="20"/>
              </w:rPr>
            </w:pPr>
            <w:r w:rsidRPr="009B3099">
              <w:rPr>
                <w:rFonts w:cs="Arial"/>
                <w:szCs w:val="20"/>
              </w:rPr>
              <w:t>Specimens from patients who have received preparations of mouse monoclonal antibodies for diagnosis or therapy may contain human anti-mouse antibodies (HAMA). Such specimens may show either falsely elevated or depressed values when tested with assay kits such as Alinity i LH that employ mouse monoclonal antibodies. Additional information may be required for diagnosis.</w:t>
            </w:r>
          </w:p>
          <w:p w14:paraId="63457397" w14:textId="77777777" w:rsidR="0018743B" w:rsidRPr="009B3099" w:rsidRDefault="0018743B" w:rsidP="0018743B">
            <w:pPr>
              <w:autoSpaceDE w:val="0"/>
              <w:autoSpaceDN w:val="0"/>
              <w:adjustRightInd w:val="0"/>
              <w:jc w:val="both"/>
              <w:rPr>
                <w:rFonts w:cs="Arial"/>
                <w:szCs w:val="20"/>
              </w:rPr>
            </w:pPr>
          </w:p>
          <w:p w14:paraId="32B4C6C1" w14:textId="77777777" w:rsidR="00DC7421" w:rsidRDefault="0018743B" w:rsidP="0018743B">
            <w:pPr>
              <w:autoSpaceDE w:val="0"/>
              <w:autoSpaceDN w:val="0"/>
              <w:adjustRightInd w:val="0"/>
              <w:rPr>
                <w:rFonts w:cs="Arial"/>
                <w:szCs w:val="20"/>
              </w:rPr>
            </w:pPr>
            <w:r w:rsidRPr="009B3099">
              <w:rPr>
                <w:rFonts w:cs="Arial"/>
                <w:szCs w:val="20"/>
              </w:rPr>
              <w:t xml:space="preserve">Heterophilic antibodies in human serum can react with reagent immunoglobulins, interfering with </w:t>
            </w:r>
            <w:r w:rsidRPr="009B3099">
              <w:rPr>
                <w:rFonts w:cs="Arial"/>
                <w:i/>
                <w:iCs/>
                <w:szCs w:val="20"/>
              </w:rPr>
              <w:t xml:space="preserve">in vitro </w:t>
            </w:r>
            <w:r w:rsidRPr="009B3099">
              <w:rPr>
                <w:rFonts w:cs="Arial"/>
                <w:szCs w:val="20"/>
              </w:rPr>
              <w:t>immunoassays. Patients routinely exposed to animals or to animal serum products can be prone to this interference, and anomalous values may be observed. Additional information may be required for diagnosis.</w:t>
            </w:r>
          </w:p>
          <w:p w14:paraId="5CD00021" w14:textId="7A7061C3" w:rsidR="009B3099" w:rsidRPr="009B3099" w:rsidRDefault="009B3099" w:rsidP="0018743B">
            <w:pPr>
              <w:autoSpaceDE w:val="0"/>
              <w:autoSpaceDN w:val="0"/>
              <w:adjustRightInd w:val="0"/>
              <w:rPr>
                <w:rFonts w:cs="Arial"/>
                <w:bCs/>
                <w:szCs w:val="20"/>
              </w:rPr>
            </w:pPr>
          </w:p>
        </w:tc>
      </w:tr>
      <w:tr w:rsidR="00F83DB0" w:rsidRPr="009B3099" w14:paraId="0A2A1650" w14:textId="77777777" w:rsidTr="007132A9">
        <w:trPr>
          <w:tblHeader/>
        </w:trPr>
        <w:tc>
          <w:tcPr>
            <w:tcW w:w="1800" w:type="dxa"/>
            <w:tcBorders>
              <w:top w:val="nil"/>
              <w:left w:val="nil"/>
              <w:bottom w:val="nil"/>
              <w:right w:val="nil"/>
            </w:tcBorders>
          </w:tcPr>
          <w:p w14:paraId="3CAD869B" w14:textId="3D4557E2" w:rsidR="00F83DB0" w:rsidRPr="009B3099" w:rsidRDefault="00F83DB0" w:rsidP="0039587D">
            <w:pPr>
              <w:rPr>
                <w:rFonts w:cs="Arial"/>
                <w:b/>
                <w:bCs/>
                <w:color w:val="0000FF"/>
                <w:szCs w:val="20"/>
              </w:rPr>
            </w:pPr>
            <w:r w:rsidRPr="009B3099">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9B3099" w14:paraId="1E1A8A67" w14:textId="77777777" w:rsidTr="005C0FCC">
              <w:tc>
                <w:tcPr>
                  <w:tcW w:w="1867" w:type="dxa"/>
                </w:tcPr>
                <w:p w14:paraId="38046162" w14:textId="77777777" w:rsidR="00F83DB0" w:rsidRPr="009B3099" w:rsidRDefault="00F83DB0" w:rsidP="00F83DB0">
                  <w:pPr>
                    <w:rPr>
                      <w:rFonts w:cs="Arial"/>
                      <w:szCs w:val="20"/>
                    </w:rPr>
                  </w:pPr>
                  <w:r w:rsidRPr="009B3099">
                    <w:rPr>
                      <w:rFonts w:cs="Arial"/>
                      <w:szCs w:val="20"/>
                    </w:rPr>
                    <w:t>Max Auto Dilution:</w:t>
                  </w:r>
                </w:p>
              </w:tc>
              <w:tc>
                <w:tcPr>
                  <w:tcW w:w="7200" w:type="dxa"/>
                </w:tcPr>
                <w:p w14:paraId="1B18B669" w14:textId="0468E298" w:rsidR="00F83DB0" w:rsidRPr="009B3099" w:rsidRDefault="00097EA8" w:rsidP="00F83DB0">
                  <w:pPr>
                    <w:autoSpaceDE w:val="0"/>
                    <w:autoSpaceDN w:val="0"/>
                    <w:adjustRightInd w:val="0"/>
                    <w:rPr>
                      <w:rFonts w:cs="Arial"/>
                      <w:szCs w:val="20"/>
                    </w:rPr>
                  </w:pPr>
                  <w:r w:rsidRPr="009B3099">
                    <w:rPr>
                      <w:rFonts w:cs="Arial"/>
                      <w:szCs w:val="20"/>
                    </w:rPr>
                    <w:t>1:4</w:t>
                  </w:r>
                </w:p>
              </w:tc>
            </w:tr>
            <w:tr w:rsidR="00F83DB0" w:rsidRPr="009B3099" w14:paraId="4B91BF23" w14:textId="77777777" w:rsidTr="00A23086">
              <w:trPr>
                <w:trHeight w:val="485"/>
              </w:trPr>
              <w:tc>
                <w:tcPr>
                  <w:tcW w:w="1867" w:type="dxa"/>
                </w:tcPr>
                <w:p w14:paraId="7B3C43FE" w14:textId="77777777" w:rsidR="00F83DB0" w:rsidRPr="009B3099" w:rsidRDefault="00F83DB0" w:rsidP="00F83DB0">
                  <w:pPr>
                    <w:rPr>
                      <w:rFonts w:cs="Arial"/>
                      <w:szCs w:val="20"/>
                    </w:rPr>
                  </w:pPr>
                  <w:r w:rsidRPr="009B3099">
                    <w:rPr>
                      <w:rFonts w:cs="Arial"/>
                      <w:szCs w:val="20"/>
                    </w:rPr>
                    <w:t>Maximum Manual Dilution:</w:t>
                  </w:r>
                </w:p>
              </w:tc>
              <w:tc>
                <w:tcPr>
                  <w:tcW w:w="7200" w:type="dxa"/>
                </w:tcPr>
                <w:p w14:paraId="5209586A" w14:textId="3417DDE8" w:rsidR="00097EA8" w:rsidRPr="009B3099" w:rsidRDefault="009B3099" w:rsidP="00097EA8">
                  <w:pPr>
                    <w:autoSpaceDE w:val="0"/>
                    <w:autoSpaceDN w:val="0"/>
                    <w:adjustRightInd w:val="0"/>
                    <w:rPr>
                      <w:rFonts w:cs="Arial"/>
                      <w:szCs w:val="20"/>
                    </w:rPr>
                  </w:pPr>
                  <w:r>
                    <w:rPr>
                      <w:rFonts w:cs="Arial"/>
                      <w:szCs w:val="20"/>
                    </w:rPr>
                    <w:t>None</w:t>
                  </w:r>
                </w:p>
              </w:tc>
            </w:tr>
            <w:tr w:rsidR="00F83DB0" w:rsidRPr="009B3099" w14:paraId="51336689" w14:textId="77777777" w:rsidTr="005C0FCC">
              <w:tc>
                <w:tcPr>
                  <w:tcW w:w="1867" w:type="dxa"/>
                </w:tcPr>
                <w:p w14:paraId="315E7962" w14:textId="77777777" w:rsidR="00F83DB0" w:rsidRPr="009B3099" w:rsidRDefault="00F83DB0" w:rsidP="00F83DB0">
                  <w:pPr>
                    <w:rPr>
                      <w:rFonts w:cs="Arial"/>
                      <w:szCs w:val="20"/>
                    </w:rPr>
                  </w:pPr>
                  <w:r w:rsidRPr="009B3099">
                    <w:rPr>
                      <w:rFonts w:cs="Arial"/>
                      <w:szCs w:val="20"/>
                    </w:rPr>
                    <w:t>Diluent:</w:t>
                  </w:r>
                </w:p>
              </w:tc>
              <w:tc>
                <w:tcPr>
                  <w:tcW w:w="7200" w:type="dxa"/>
                </w:tcPr>
                <w:p w14:paraId="10636C03" w14:textId="7255FD59" w:rsidR="00F83DB0" w:rsidRPr="009B3099" w:rsidRDefault="009B3099" w:rsidP="00F83DB0">
                  <w:pPr>
                    <w:autoSpaceDE w:val="0"/>
                    <w:autoSpaceDN w:val="0"/>
                    <w:adjustRightInd w:val="0"/>
                    <w:rPr>
                      <w:rFonts w:cs="Arial"/>
                      <w:szCs w:val="20"/>
                    </w:rPr>
                  </w:pPr>
                  <w:r>
                    <w:rPr>
                      <w:rFonts w:cs="Arial"/>
                      <w:szCs w:val="20"/>
                    </w:rPr>
                    <w:t>Onboard diluent</w:t>
                  </w:r>
                </w:p>
              </w:tc>
            </w:tr>
            <w:tr w:rsidR="00F83DB0" w:rsidRPr="009B3099" w14:paraId="130A8B4A" w14:textId="77777777" w:rsidTr="005C0FCC">
              <w:tc>
                <w:tcPr>
                  <w:tcW w:w="1867" w:type="dxa"/>
                </w:tcPr>
                <w:p w14:paraId="3BF17F7E" w14:textId="5EB3F182" w:rsidR="00F83DB0" w:rsidRPr="009B3099" w:rsidRDefault="00AF599D" w:rsidP="00F83DB0">
                  <w:pPr>
                    <w:rPr>
                      <w:rFonts w:cs="Arial"/>
                      <w:szCs w:val="20"/>
                    </w:rPr>
                  </w:pPr>
                  <w:r>
                    <w:rPr>
                      <w:rFonts w:cs="Arial"/>
                      <w:szCs w:val="20"/>
                    </w:rPr>
                    <w:t>Automated</w:t>
                  </w:r>
                  <w:r w:rsidR="00F83DB0" w:rsidRPr="009B3099">
                    <w:rPr>
                      <w:rFonts w:cs="Arial"/>
                      <w:szCs w:val="20"/>
                    </w:rPr>
                    <w:t xml:space="preserve"> Dilution:</w:t>
                  </w:r>
                </w:p>
              </w:tc>
              <w:tc>
                <w:tcPr>
                  <w:tcW w:w="7200" w:type="dxa"/>
                </w:tcPr>
                <w:p w14:paraId="3AB4E9ED" w14:textId="77777777" w:rsidR="00F83DB0" w:rsidRPr="009B3099" w:rsidRDefault="00F83DB0" w:rsidP="00F83DB0">
                  <w:pPr>
                    <w:autoSpaceDE w:val="0"/>
                    <w:autoSpaceDN w:val="0"/>
                    <w:adjustRightInd w:val="0"/>
                    <w:rPr>
                      <w:rFonts w:eastAsia="HelenPro-Regular" w:cs="Arial"/>
                      <w:szCs w:val="20"/>
                    </w:rPr>
                  </w:pPr>
                  <w:r w:rsidRPr="009B3099">
                    <w:rPr>
                      <w:rFonts w:cs="Arial"/>
                      <w:szCs w:val="20"/>
                    </w:rPr>
                    <w:t xml:space="preserve">Follow Abbott </w:t>
                  </w:r>
                  <w:hyperlink r:id="rId16" w:history="1">
                    <w:r w:rsidRPr="009B3099">
                      <w:rPr>
                        <w:rStyle w:val="Hyperlink"/>
                        <w:rFonts w:cs="Arial"/>
                        <w:szCs w:val="20"/>
                      </w:rPr>
                      <w:t>Alinity Operator’s Manual</w:t>
                    </w:r>
                  </w:hyperlink>
                  <w:r w:rsidRPr="009B3099">
                    <w:rPr>
                      <w:rFonts w:cs="Arial"/>
                      <w:szCs w:val="20"/>
                    </w:rPr>
                    <w:t xml:space="preserve"> instructions for programming automated dilutions.  </w:t>
                  </w:r>
                  <w:r w:rsidRPr="009B3099">
                    <w:rPr>
                      <w:rFonts w:eastAsia="HelenPro-Regular" w:cs="Arial"/>
                      <w:szCs w:val="20"/>
                    </w:rPr>
                    <w:t xml:space="preserve">The system will automatically calculate the concentration of the sample and report the result.  </w:t>
                  </w:r>
                </w:p>
                <w:p w14:paraId="497F0B2E" w14:textId="77777777" w:rsidR="00F83DB0" w:rsidRPr="009B3099" w:rsidRDefault="00F83DB0" w:rsidP="00F83DB0">
                  <w:pPr>
                    <w:autoSpaceDE w:val="0"/>
                    <w:autoSpaceDN w:val="0"/>
                    <w:adjustRightInd w:val="0"/>
                    <w:rPr>
                      <w:rFonts w:eastAsia="HelenPro-Regular" w:cs="Arial"/>
                      <w:szCs w:val="20"/>
                    </w:rPr>
                  </w:pPr>
                </w:p>
                <w:p w14:paraId="29DCB4A3" w14:textId="47EEBD56" w:rsidR="00F83DB0" w:rsidRPr="009B3099" w:rsidRDefault="00F83DB0" w:rsidP="00F83DB0">
                  <w:pPr>
                    <w:autoSpaceDE w:val="0"/>
                    <w:autoSpaceDN w:val="0"/>
                    <w:adjustRightInd w:val="0"/>
                    <w:rPr>
                      <w:rFonts w:eastAsia="HelenPro-Regular" w:cs="Arial"/>
                      <w:szCs w:val="20"/>
                    </w:rPr>
                  </w:pPr>
                  <w:r w:rsidRPr="009B3099">
                    <w:rPr>
                      <w:rFonts w:eastAsia="HelenPro-Regular" w:cs="Arial"/>
                      <w:szCs w:val="20"/>
                    </w:rPr>
                    <w:t xml:space="preserve">If a diluted sample result is less than the lower value of the measuring interval of </w:t>
                  </w:r>
                  <w:r w:rsidR="00AF599D">
                    <w:rPr>
                      <w:rFonts w:eastAsia="HelenPro-Regular" w:cs="Arial"/>
                      <w:szCs w:val="20"/>
                    </w:rPr>
                    <w:t>0.1</w:t>
                  </w:r>
                  <w:r w:rsidRPr="009B3099">
                    <w:rPr>
                      <w:rFonts w:eastAsia="HelenPro-Regular" w:cs="Arial"/>
                      <w:szCs w:val="20"/>
                    </w:rPr>
                    <w:t>, do not report the result. Rerun and/or investigate for other possible causes of error.</w:t>
                  </w:r>
                </w:p>
              </w:tc>
            </w:tr>
          </w:tbl>
          <w:p w14:paraId="6811B3C2" w14:textId="77777777" w:rsidR="00F83DB0" w:rsidRPr="009B3099" w:rsidRDefault="00F83DB0" w:rsidP="00E47DE5">
            <w:pPr>
              <w:autoSpaceDE w:val="0"/>
              <w:autoSpaceDN w:val="0"/>
              <w:adjustRightInd w:val="0"/>
              <w:rPr>
                <w:rFonts w:cs="Arial"/>
                <w:bCs/>
                <w:szCs w:val="20"/>
              </w:rPr>
            </w:pPr>
          </w:p>
        </w:tc>
      </w:tr>
      <w:tr w:rsidR="00E3253B" w:rsidRPr="009B3099" w14:paraId="5CD0003D" w14:textId="77777777" w:rsidTr="007132A9">
        <w:trPr>
          <w:tblHeader/>
        </w:trPr>
        <w:tc>
          <w:tcPr>
            <w:tcW w:w="1800" w:type="dxa"/>
            <w:tcBorders>
              <w:top w:val="nil"/>
              <w:left w:val="nil"/>
              <w:bottom w:val="nil"/>
              <w:right w:val="nil"/>
            </w:tcBorders>
          </w:tcPr>
          <w:p w14:paraId="643D95AC" w14:textId="77777777" w:rsidR="00EA580E" w:rsidRPr="009B3099" w:rsidRDefault="00EA580E" w:rsidP="0039587D">
            <w:pPr>
              <w:rPr>
                <w:rFonts w:cs="Arial"/>
                <w:b/>
                <w:bCs/>
                <w:color w:val="0000FF"/>
                <w:szCs w:val="20"/>
              </w:rPr>
            </w:pPr>
          </w:p>
          <w:p w14:paraId="29A3D209" w14:textId="77777777" w:rsidR="00EA580E" w:rsidRPr="009B3099" w:rsidRDefault="00EA580E" w:rsidP="0039587D">
            <w:pPr>
              <w:rPr>
                <w:rFonts w:cs="Arial"/>
                <w:b/>
                <w:bCs/>
                <w:color w:val="0000FF"/>
                <w:szCs w:val="20"/>
              </w:rPr>
            </w:pPr>
          </w:p>
          <w:p w14:paraId="5CD00036" w14:textId="77777777" w:rsidR="00E3253B" w:rsidRPr="009B3099" w:rsidRDefault="00E3253B" w:rsidP="0039587D">
            <w:pPr>
              <w:rPr>
                <w:rFonts w:cs="Arial"/>
                <w:b/>
                <w:bCs/>
                <w:color w:val="0000FF"/>
                <w:szCs w:val="20"/>
              </w:rPr>
            </w:pPr>
            <w:r w:rsidRPr="009B3099">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5F648C4B" w:rsidR="00EA580E" w:rsidRPr="009B3099" w:rsidRDefault="00EA580E" w:rsidP="00EA580E">
            <w:pPr>
              <w:rPr>
                <w:rFonts w:cs="Arial"/>
                <w:b/>
                <w:bCs/>
                <w:color w:val="7030A0"/>
                <w:szCs w:val="20"/>
              </w:rPr>
            </w:pPr>
          </w:p>
          <w:p w14:paraId="7EEC7ABE" w14:textId="07B19770" w:rsidR="00F84C8E" w:rsidRPr="009B3099" w:rsidRDefault="00F84C8E" w:rsidP="00F84C8E">
            <w:pPr>
              <w:pStyle w:val="Header"/>
              <w:numPr>
                <w:ilvl w:val="0"/>
                <w:numId w:val="40"/>
              </w:numPr>
              <w:tabs>
                <w:tab w:val="clear" w:pos="4320"/>
                <w:tab w:val="clear" w:pos="8640"/>
              </w:tabs>
              <w:rPr>
                <w:rFonts w:cs="Arial"/>
                <w:szCs w:val="20"/>
              </w:rPr>
            </w:pPr>
            <w:r w:rsidRPr="009B3099">
              <w:rPr>
                <w:rFonts w:cs="Arial"/>
                <w:szCs w:val="20"/>
              </w:rPr>
              <w:t xml:space="preserve">Results between </w:t>
            </w:r>
            <w:r w:rsidR="00AF599D">
              <w:rPr>
                <w:rFonts w:cs="Arial"/>
                <w:szCs w:val="20"/>
              </w:rPr>
              <w:t>0.1</w:t>
            </w:r>
            <w:r w:rsidR="00E47DE5" w:rsidRPr="009B3099">
              <w:rPr>
                <w:rFonts w:cs="Arial"/>
                <w:szCs w:val="20"/>
              </w:rPr>
              <w:t xml:space="preserve"> </w:t>
            </w:r>
            <w:r w:rsidRPr="009B3099">
              <w:rPr>
                <w:rFonts w:cs="Arial"/>
                <w:szCs w:val="20"/>
              </w:rPr>
              <w:t xml:space="preserve">and </w:t>
            </w:r>
            <w:r w:rsidR="00AF599D">
              <w:rPr>
                <w:rFonts w:cs="Arial"/>
                <w:szCs w:val="20"/>
              </w:rPr>
              <w:t>250.0</w:t>
            </w:r>
            <w:r w:rsidR="00E47DE5" w:rsidRPr="009B3099">
              <w:rPr>
                <w:rFonts w:cs="Arial"/>
                <w:szCs w:val="20"/>
              </w:rPr>
              <w:t xml:space="preserve"> </w:t>
            </w:r>
            <w:r w:rsidRPr="009B3099">
              <w:rPr>
                <w:rFonts w:cs="Arial"/>
                <w:szCs w:val="20"/>
              </w:rPr>
              <w:t>without error messages are released</w:t>
            </w:r>
          </w:p>
          <w:p w14:paraId="512DB6C5" w14:textId="74EF3267" w:rsidR="00F84C8E" w:rsidRPr="009B3099" w:rsidRDefault="00F84C8E" w:rsidP="00F84C8E">
            <w:pPr>
              <w:numPr>
                <w:ilvl w:val="0"/>
                <w:numId w:val="40"/>
              </w:numPr>
              <w:rPr>
                <w:rFonts w:cs="Arial"/>
                <w:szCs w:val="20"/>
              </w:rPr>
            </w:pPr>
            <w:r w:rsidRPr="009B3099">
              <w:rPr>
                <w:rFonts w:cs="Arial"/>
                <w:szCs w:val="20"/>
              </w:rPr>
              <w:t xml:space="preserve">Results below </w:t>
            </w:r>
            <w:r w:rsidR="00AF599D">
              <w:rPr>
                <w:rFonts w:cs="Arial"/>
                <w:szCs w:val="20"/>
              </w:rPr>
              <w:t>0.1</w:t>
            </w:r>
            <w:r w:rsidR="00E47DE5" w:rsidRPr="009B3099">
              <w:rPr>
                <w:rFonts w:cs="Arial"/>
                <w:szCs w:val="20"/>
              </w:rPr>
              <w:t xml:space="preserve"> </w:t>
            </w:r>
            <w:r w:rsidRPr="009B3099">
              <w:rPr>
                <w:rFonts w:cs="Arial"/>
                <w:szCs w:val="20"/>
              </w:rPr>
              <w:t xml:space="preserve">without error messages are reported as &lt; </w:t>
            </w:r>
            <w:r w:rsidR="00AF599D">
              <w:rPr>
                <w:rFonts w:cs="Arial"/>
                <w:szCs w:val="20"/>
              </w:rPr>
              <w:t>0.1 mIU/mL</w:t>
            </w:r>
            <w:r w:rsidRPr="009B3099">
              <w:rPr>
                <w:rFonts w:cs="Arial"/>
                <w:szCs w:val="20"/>
              </w:rPr>
              <w:t>.</w:t>
            </w:r>
          </w:p>
          <w:p w14:paraId="61C98532" w14:textId="700F0EFF" w:rsidR="00F84C8E" w:rsidRPr="009B3099" w:rsidRDefault="00F84C8E" w:rsidP="00F84C8E">
            <w:pPr>
              <w:numPr>
                <w:ilvl w:val="0"/>
                <w:numId w:val="40"/>
              </w:numPr>
              <w:rPr>
                <w:rFonts w:cs="Arial"/>
                <w:szCs w:val="20"/>
              </w:rPr>
            </w:pPr>
            <w:r w:rsidRPr="009B3099">
              <w:rPr>
                <w:rFonts w:cs="Arial"/>
                <w:szCs w:val="20"/>
              </w:rPr>
              <w:t>Results &gt;</w:t>
            </w:r>
            <w:r w:rsidR="00AF599D">
              <w:rPr>
                <w:rFonts w:cs="Arial"/>
                <w:szCs w:val="20"/>
              </w:rPr>
              <w:t xml:space="preserve"> 250.0</w:t>
            </w:r>
            <w:r w:rsidR="00E47DE5" w:rsidRPr="009B3099">
              <w:rPr>
                <w:rFonts w:cs="Arial"/>
                <w:szCs w:val="20"/>
              </w:rPr>
              <w:t xml:space="preserve"> </w:t>
            </w:r>
            <w:r w:rsidRPr="009B3099">
              <w:rPr>
                <w:rFonts w:cs="Arial"/>
                <w:szCs w:val="20"/>
              </w:rPr>
              <w:t>should be dilu</w:t>
            </w:r>
            <w:r w:rsidR="00AF599D">
              <w:rPr>
                <w:rFonts w:cs="Arial"/>
                <w:szCs w:val="20"/>
              </w:rPr>
              <w:t>ted using the onboard automated 1:4 dilution</w:t>
            </w:r>
            <w:r w:rsidRPr="009B3099">
              <w:rPr>
                <w:rFonts w:cs="Arial"/>
                <w:szCs w:val="20"/>
              </w:rPr>
              <w:t>.  Release results without error messages following this dilution.</w:t>
            </w:r>
          </w:p>
          <w:p w14:paraId="1516BBCC" w14:textId="447E8A08" w:rsidR="00EA580E" w:rsidRPr="009B3099" w:rsidRDefault="00F84C8E" w:rsidP="00F84C8E">
            <w:pPr>
              <w:numPr>
                <w:ilvl w:val="0"/>
                <w:numId w:val="40"/>
              </w:numPr>
              <w:rPr>
                <w:rFonts w:cs="Arial"/>
                <w:szCs w:val="20"/>
              </w:rPr>
            </w:pPr>
            <w:r w:rsidRPr="009B3099">
              <w:rPr>
                <w:rFonts w:cs="Arial"/>
                <w:szCs w:val="20"/>
              </w:rPr>
              <w:t xml:space="preserve">Results &gt; </w:t>
            </w:r>
            <w:r w:rsidR="00AF599D">
              <w:rPr>
                <w:rFonts w:cs="Arial"/>
                <w:szCs w:val="20"/>
              </w:rPr>
              <w:t>1000.0</w:t>
            </w:r>
            <w:r w:rsidR="00E47DE5" w:rsidRPr="009B3099">
              <w:rPr>
                <w:rFonts w:cs="Arial"/>
                <w:szCs w:val="20"/>
              </w:rPr>
              <w:t xml:space="preserve"> </w:t>
            </w:r>
            <w:r w:rsidRPr="009B3099">
              <w:rPr>
                <w:rFonts w:cs="Arial"/>
                <w:szCs w:val="20"/>
              </w:rPr>
              <w:t xml:space="preserve">following automated dilution are reported as &gt; </w:t>
            </w:r>
            <w:r w:rsidR="00AF599D">
              <w:rPr>
                <w:rFonts w:cs="Arial"/>
                <w:szCs w:val="20"/>
              </w:rPr>
              <w:t>1000.0 mIU/mL</w:t>
            </w:r>
            <w:r w:rsidRPr="009B3099">
              <w:rPr>
                <w:rFonts w:cs="Arial"/>
                <w:szCs w:val="20"/>
              </w:rPr>
              <w:t>.</w:t>
            </w:r>
          </w:p>
          <w:p w14:paraId="0C806BEA" w14:textId="21C2AD49" w:rsidR="00387FF5" w:rsidRPr="00AF599D" w:rsidRDefault="00AF599D" w:rsidP="00AF599D">
            <w:pPr>
              <w:pStyle w:val="ListParagraph"/>
              <w:numPr>
                <w:ilvl w:val="0"/>
                <w:numId w:val="40"/>
              </w:numPr>
              <w:rPr>
                <w:rFonts w:cs="Arial"/>
                <w:szCs w:val="20"/>
              </w:rPr>
            </w:pPr>
            <w:r>
              <w:rPr>
                <w:rFonts w:cs="Arial"/>
                <w:szCs w:val="20"/>
              </w:rPr>
              <w:t>Grossly hemolyzed samples should have –HP appended to denote hemolysis present.</w:t>
            </w:r>
          </w:p>
          <w:p w14:paraId="5CD0003C" w14:textId="77777777" w:rsidR="00F83DB0" w:rsidRPr="009B3099" w:rsidRDefault="00F83DB0" w:rsidP="009B3099">
            <w:pPr>
              <w:ind w:left="360"/>
              <w:rPr>
                <w:rFonts w:cs="Arial"/>
                <w:szCs w:val="20"/>
              </w:rPr>
            </w:pPr>
          </w:p>
        </w:tc>
      </w:tr>
      <w:tr w:rsidR="00E3253B" w:rsidRPr="009B3099" w14:paraId="5CD00040" w14:textId="77777777" w:rsidTr="007132A9">
        <w:trPr>
          <w:trHeight w:val="738"/>
          <w:tblHeader/>
        </w:trPr>
        <w:tc>
          <w:tcPr>
            <w:tcW w:w="1800" w:type="dxa"/>
            <w:tcBorders>
              <w:top w:val="nil"/>
              <w:left w:val="nil"/>
              <w:bottom w:val="nil"/>
              <w:right w:val="nil"/>
            </w:tcBorders>
          </w:tcPr>
          <w:p w14:paraId="5CD0003E" w14:textId="242F4812" w:rsidR="00E3253B" w:rsidRPr="009B3099" w:rsidRDefault="00E3253B" w:rsidP="0039587D">
            <w:pPr>
              <w:rPr>
                <w:rFonts w:cs="Arial"/>
                <w:b/>
                <w:bCs/>
                <w:color w:val="0000FF"/>
                <w:szCs w:val="20"/>
              </w:rPr>
            </w:pPr>
            <w:r w:rsidRPr="009B3099">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1D1DB26E" w:rsidR="00E3253B" w:rsidRPr="009B3099" w:rsidRDefault="00E3253B">
            <w:pPr>
              <w:pStyle w:val="Header"/>
              <w:tabs>
                <w:tab w:val="clear" w:pos="4320"/>
                <w:tab w:val="clear" w:pos="8640"/>
              </w:tabs>
              <w:rPr>
                <w:rFonts w:cs="Arial"/>
                <w:szCs w:val="20"/>
              </w:rPr>
            </w:pPr>
            <w:r w:rsidRPr="009B3099">
              <w:rPr>
                <w:rFonts w:cs="Arial"/>
                <w:szCs w:val="20"/>
              </w:rPr>
              <w:t>Promptly stopper tested specimen and stor</w:t>
            </w:r>
            <w:r w:rsidR="00DC24D6" w:rsidRPr="009B3099">
              <w:rPr>
                <w:rFonts w:cs="Arial"/>
                <w:szCs w:val="20"/>
              </w:rPr>
              <w:t>e upright in a specimen rack</w:t>
            </w:r>
            <w:r w:rsidRPr="009B3099">
              <w:rPr>
                <w:rFonts w:cs="Arial"/>
                <w:szCs w:val="20"/>
              </w:rPr>
              <w:t>.</w:t>
            </w:r>
            <w:r w:rsidR="00250A09" w:rsidRPr="009B3099">
              <w:rPr>
                <w:rFonts w:cs="Arial"/>
                <w:szCs w:val="20"/>
              </w:rPr>
              <w:t xml:space="preserve"> </w:t>
            </w:r>
            <w:r w:rsidRPr="009B3099">
              <w:rPr>
                <w:rFonts w:cs="Arial"/>
                <w:szCs w:val="20"/>
              </w:rPr>
              <w:t xml:space="preserve"> Every 8 hours </w:t>
            </w:r>
            <w:r w:rsidR="00D271B1" w:rsidRPr="009B3099">
              <w:rPr>
                <w:rFonts w:cs="Arial"/>
                <w:szCs w:val="20"/>
              </w:rPr>
              <w:t>remove specimens to refrigerator</w:t>
            </w:r>
            <w:r w:rsidRPr="009B3099">
              <w:rPr>
                <w:rFonts w:cs="Arial"/>
                <w:szCs w:val="20"/>
              </w:rPr>
              <w:t>/freezer storage.</w:t>
            </w:r>
            <w:r w:rsidR="00250A09" w:rsidRPr="009B3099">
              <w:rPr>
                <w:rFonts w:cs="Arial"/>
                <w:szCs w:val="20"/>
              </w:rPr>
              <w:t xml:space="preserve"> </w:t>
            </w:r>
            <w:r w:rsidR="009B3099">
              <w:rPr>
                <w:rFonts w:cs="Arial"/>
                <w:szCs w:val="20"/>
              </w:rPr>
              <w:t xml:space="preserve"> Samples are retained 14</w:t>
            </w:r>
            <w:r w:rsidRPr="009B3099">
              <w:rPr>
                <w:rFonts w:cs="Arial"/>
                <w:szCs w:val="20"/>
              </w:rPr>
              <w:t xml:space="preserve"> d</w:t>
            </w:r>
            <w:r w:rsidR="00DC7421" w:rsidRPr="009B3099">
              <w:rPr>
                <w:rFonts w:cs="Arial"/>
                <w:szCs w:val="20"/>
              </w:rPr>
              <w:t>ays in specimen storage freezer.</w:t>
            </w:r>
          </w:p>
        </w:tc>
      </w:tr>
      <w:tr w:rsidR="00E3253B" w:rsidRPr="009B3099" w14:paraId="5CD00047" w14:textId="77777777" w:rsidTr="007132A9">
        <w:trPr>
          <w:tblHeader/>
        </w:trPr>
        <w:tc>
          <w:tcPr>
            <w:tcW w:w="1800" w:type="dxa"/>
            <w:tcBorders>
              <w:top w:val="nil"/>
              <w:left w:val="nil"/>
              <w:bottom w:val="nil"/>
              <w:right w:val="nil"/>
            </w:tcBorders>
          </w:tcPr>
          <w:p w14:paraId="5CD00041" w14:textId="77777777" w:rsidR="00E3253B" w:rsidRPr="009B3099" w:rsidRDefault="00E3253B">
            <w:pPr>
              <w:ind w:left="-108" w:right="-108"/>
              <w:rPr>
                <w:rFonts w:cs="Arial"/>
                <w:b/>
                <w:bCs/>
                <w:color w:val="0000FF"/>
                <w:szCs w:val="20"/>
              </w:rPr>
            </w:pPr>
            <w:r w:rsidRPr="009B3099">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09E5F80D" w14:textId="5EE0AE26" w:rsidR="00AF599D" w:rsidRPr="00960541" w:rsidRDefault="00AF599D" w:rsidP="00AF599D">
            <w:pPr>
              <w:numPr>
                <w:ilvl w:val="0"/>
                <w:numId w:val="33"/>
              </w:numPr>
              <w:rPr>
                <w:rFonts w:cs="Arial"/>
                <w:szCs w:val="20"/>
              </w:rPr>
            </w:pPr>
            <w:r>
              <w:rPr>
                <w:rFonts w:cs="Arial"/>
                <w:szCs w:val="20"/>
              </w:rPr>
              <w:t>Abbott Alinity i LH</w:t>
            </w:r>
            <w:r w:rsidRPr="00960541">
              <w:rPr>
                <w:rFonts w:cs="Arial"/>
                <w:szCs w:val="20"/>
              </w:rPr>
              <w:t xml:space="preserve"> Reagent Instructions for Use, Abbott Diagnostics Division, Abbott</w:t>
            </w:r>
            <w:r>
              <w:rPr>
                <w:rFonts w:cs="Arial"/>
                <w:szCs w:val="20"/>
              </w:rPr>
              <w:t xml:space="preserve"> Park, IL USA.  Revised April</w:t>
            </w:r>
            <w:r w:rsidRPr="00960541">
              <w:rPr>
                <w:rFonts w:cs="Arial"/>
                <w:szCs w:val="20"/>
              </w:rPr>
              <w:t xml:space="preserve"> 2018</w:t>
            </w:r>
          </w:p>
          <w:p w14:paraId="5669C850" w14:textId="30B6176F" w:rsidR="00AF599D" w:rsidRPr="00AF599D" w:rsidRDefault="00AF599D" w:rsidP="00AF599D">
            <w:pPr>
              <w:numPr>
                <w:ilvl w:val="0"/>
                <w:numId w:val="33"/>
              </w:numPr>
              <w:rPr>
                <w:rFonts w:cs="Arial"/>
                <w:szCs w:val="20"/>
              </w:rPr>
            </w:pPr>
            <w:r>
              <w:rPr>
                <w:rFonts w:cs="Arial"/>
                <w:szCs w:val="20"/>
              </w:rPr>
              <w:t>Abbott Alinity i L</w:t>
            </w:r>
            <w:r w:rsidRPr="00AF599D">
              <w:rPr>
                <w:rFonts w:cs="Arial"/>
                <w:szCs w:val="20"/>
              </w:rPr>
              <w:t>H Calibrator Kit Package Insert, Abbott Diagnostics Division, Abbott Park, IL USA.  Revised April 2018</w:t>
            </w:r>
          </w:p>
          <w:p w14:paraId="33368ABE" w14:textId="77777777" w:rsidR="00AF599D" w:rsidRPr="0092319D" w:rsidRDefault="00B75A95" w:rsidP="00AF599D">
            <w:pPr>
              <w:numPr>
                <w:ilvl w:val="0"/>
                <w:numId w:val="33"/>
              </w:numPr>
              <w:rPr>
                <w:rFonts w:cs="Arial"/>
                <w:szCs w:val="20"/>
              </w:rPr>
            </w:pPr>
            <w:hyperlink r:id="rId17" w:anchor="/login;next=search;queryParams=%7B%7D" w:history="1">
              <w:r w:rsidR="00AF599D" w:rsidRPr="0000237D">
                <w:rPr>
                  <w:rStyle w:val="Hyperlink"/>
                  <w:rFonts w:cs="Arial"/>
                  <w:szCs w:val="20"/>
                </w:rPr>
                <w:t>CALIPER Reference Interval Studies</w:t>
              </w:r>
            </w:hyperlink>
            <w:r w:rsidR="00AF599D">
              <w:rPr>
                <w:rFonts w:cs="Arial"/>
                <w:szCs w:val="20"/>
              </w:rPr>
              <w:t>, accessed 10/27/2020.</w:t>
            </w:r>
          </w:p>
          <w:p w14:paraId="5CD00046" w14:textId="157090C4" w:rsidR="00E3253B" w:rsidRPr="009B3099" w:rsidRDefault="00AF599D" w:rsidP="00AF599D">
            <w:pPr>
              <w:pStyle w:val="ListParagraph"/>
              <w:numPr>
                <w:ilvl w:val="0"/>
                <w:numId w:val="33"/>
              </w:numPr>
              <w:rPr>
                <w:rFonts w:cs="Arial"/>
                <w:szCs w:val="20"/>
              </w:rPr>
            </w:pPr>
            <w:r w:rsidRPr="00AF599D">
              <w:rPr>
                <w:rFonts w:cs="Arial"/>
                <w:szCs w:val="20"/>
              </w:rPr>
              <w:t>BioRad Liquichek Immunoassay Plus Quality Control Package Insert, BioRad Laboratories, Irvine, CA.  Revised April 2020</w:t>
            </w:r>
          </w:p>
        </w:tc>
      </w:tr>
      <w:tr w:rsidR="00F50200" w:rsidRPr="009B3099"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6C12B535" w:rsidR="00F50200" w:rsidRPr="009B3099" w:rsidRDefault="00F50200">
            <w:pPr>
              <w:rPr>
                <w:rFonts w:cs="Arial"/>
                <w:b/>
                <w:bCs/>
                <w:color w:val="3366FF"/>
                <w:szCs w:val="20"/>
              </w:rPr>
            </w:pPr>
            <w:r w:rsidRPr="009B3099">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9B3099" w:rsidRDefault="00F50200">
            <w:pPr>
              <w:rPr>
                <w:rFonts w:cs="Arial"/>
                <w:b/>
                <w:bCs/>
                <w:szCs w:val="20"/>
              </w:rPr>
            </w:pPr>
            <w:r w:rsidRPr="009B3099">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9B3099" w:rsidRDefault="00F50200">
            <w:pPr>
              <w:rPr>
                <w:rFonts w:cs="Arial"/>
                <w:b/>
                <w:bCs/>
                <w:iCs/>
                <w:szCs w:val="20"/>
              </w:rPr>
            </w:pPr>
            <w:r w:rsidRPr="009B3099">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9B3099" w:rsidRDefault="00F50200">
            <w:pPr>
              <w:rPr>
                <w:rFonts w:cs="Arial"/>
                <w:b/>
                <w:bCs/>
                <w:iCs/>
                <w:szCs w:val="20"/>
              </w:rPr>
            </w:pPr>
            <w:r w:rsidRPr="009B3099">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9B3099" w:rsidRDefault="00F50200">
            <w:pPr>
              <w:rPr>
                <w:rFonts w:cs="Arial"/>
                <w:b/>
                <w:bCs/>
                <w:iCs/>
                <w:szCs w:val="20"/>
              </w:rPr>
            </w:pPr>
            <w:r w:rsidRPr="009B3099">
              <w:rPr>
                <w:rFonts w:cs="Arial"/>
                <w:b/>
                <w:bCs/>
                <w:iCs/>
                <w:szCs w:val="20"/>
              </w:rPr>
              <w:t>Summary of Revisions</w:t>
            </w:r>
          </w:p>
        </w:tc>
      </w:tr>
      <w:tr w:rsidR="00F50200" w:rsidRPr="009B3099"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Pr="009B3099"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1752F9BC" w:rsidR="00F50200" w:rsidRPr="009B3099"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024CCFF4" w:rsidR="00F50200" w:rsidRPr="009B3099" w:rsidRDefault="00097EA8">
            <w:pPr>
              <w:rPr>
                <w:rFonts w:cs="Arial"/>
                <w:iCs/>
                <w:szCs w:val="20"/>
              </w:rPr>
            </w:pPr>
            <w:r w:rsidRPr="009B3099">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77171579" w:rsidR="00F50200" w:rsidRPr="009B3099" w:rsidRDefault="00097EA8">
            <w:pPr>
              <w:rPr>
                <w:rFonts w:cs="Arial"/>
                <w:iCs/>
                <w:szCs w:val="20"/>
              </w:rPr>
            </w:pPr>
            <w:r w:rsidRPr="009B3099">
              <w:rPr>
                <w:rFonts w:cs="Arial"/>
                <w:iCs/>
                <w:szCs w:val="20"/>
              </w:rPr>
              <w:t>May 18,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9B3099" w:rsidRDefault="00824C10">
            <w:pPr>
              <w:rPr>
                <w:rFonts w:cs="Arial"/>
                <w:iCs/>
                <w:szCs w:val="20"/>
              </w:rPr>
            </w:pPr>
            <w:r w:rsidRPr="009B3099">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Pr="009B3099"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63853CAF" w:rsidR="00F50200" w:rsidRPr="00F84C8E" w:rsidRDefault="009B3099">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0976022F" w:rsidR="00F50200" w:rsidRPr="00F84C8E" w:rsidRDefault="009B3099">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0F3E7B2D" w:rsidR="00F50200" w:rsidRPr="00F84C8E" w:rsidRDefault="009B3099">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6B08265E" w:rsidR="00F50200" w:rsidRPr="00F84C8E" w:rsidRDefault="009B3099">
            <w:pPr>
              <w:rPr>
                <w:rFonts w:cs="Arial"/>
                <w:iCs/>
                <w:szCs w:val="20"/>
              </w:rPr>
            </w:pPr>
            <w:r>
              <w:rPr>
                <w:rFonts w:cs="Arial"/>
                <w:iCs/>
                <w:szCs w:val="20"/>
              </w:rPr>
              <w:t>Corrected analyzer type, numbered procedures, added AMR, references, reference intervals, corrected QC product, etc for new analyzers.</w:t>
            </w:r>
          </w:p>
        </w:tc>
      </w:tr>
    </w:tbl>
    <w:p w14:paraId="5CD0005A" w14:textId="77777777" w:rsidR="00E3253B" w:rsidRPr="00BC1DCC" w:rsidRDefault="00E3253B" w:rsidP="00AF599D">
      <w:pPr>
        <w:rPr>
          <w:rFonts w:cs="Arial"/>
        </w:rPr>
      </w:pPr>
    </w:p>
    <w:sectPr w:rsidR="00E3253B" w:rsidRPr="00BC1DCC" w:rsidSect="008F2C66">
      <w:headerReference w:type="default" r:id="rId18"/>
      <w:footerReference w:type="default" r:id="rId19"/>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2AB191C7" w:rsidR="00B13C1A" w:rsidRPr="002E718D" w:rsidRDefault="00B13C1A" w:rsidP="002E718D">
    <w:pPr>
      <w:ind w:left="-1260" w:right="-1260"/>
      <w:rPr>
        <w:rFonts w:cs="Arial"/>
        <w:sz w:val="16"/>
      </w:rPr>
    </w:pPr>
    <w:r>
      <w:rPr>
        <w:rFonts w:cs="Arial"/>
        <w:sz w:val="16"/>
      </w:rPr>
      <w:t>Laboratory, Chi</w:t>
    </w:r>
    <w:r w:rsidR="009B3099">
      <w:rPr>
        <w:rFonts w:cs="Arial"/>
        <w:sz w:val="16"/>
      </w:rPr>
      <w:t>ldren’s 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B75A95">
      <w:rPr>
        <w:noProof/>
        <w:sz w:val="18"/>
      </w:rPr>
      <w:t>7</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B75A95">
      <w:rPr>
        <w:noProof/>
        <w:sz w:val="18"/>
      </w:rPr>
      <w:t>7</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522337D5"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905476">
      <w:rPr>
        <w:rFonts w:cs="Arial"/>
      </w:rPr>
      <w:t>6.561 LH</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2C21D62C" w:rsidR="00B13C1A" w:rsidRDefault="00B13C1A">
    <w:pPr>
      <w:ind w:left="-1260" w:right="-1260"/>
      <w:rPr>
        <w:rFonts w:cs="Arial"/>
      </w:rPr>
    </w:pPr>
    <w:r>
      <w:rPr>
        <w:rFonts w:cs="Arial"/>
      </w:rPr>
      <w:t xml:space="preserve">Effective Date: </w:t>
    </w:r>
    <w:r w:rsidR="00905476">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03224"/>
    <w:multiLevelType w:val="hybridMultilevel"/>
    <w:tmpl w:val="ED36E2E0"/>
    <w:lvl w:ilvl="0" w:tplc="AA9CCF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57887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1"/>
  </w:num>
  <w:num w:numId="4">
    <w:abstractNumId w:val="35"/>
  </w:num>
  <w:num w:numId="5">
    <w:abstractNumId w:val="5"/>
  </w:num>
  <w:num w:numId="6">
    <w:abstractNumId w:val="10"/>
  </w:num>
  <w:num w:numId="7">
    <w:abstractNumId w:val="27"/>
  </w:num>
  <w:num w:numId="8">
    <w:abstractNumId w:val="21"/>
  </w:num>
  <w:num w:numId="9">
    <w:abstractNumId w:val="13"/>
  </w:num>
  <w:num w:numId="10">
    <w:abstractNumId w:val="2"/>
  </w:num>
  <w:num w:numId="11">
    <w:abstractNumId w:val="28"/>
  </w:num>
  <w:num w:numId="12">
    <w:abstractNumId w:val="8"/>
  </w:num>
  <w:num w:numId="13">
    <w:abstractNumId w:val="29"/>
  </w:num>
  <w:num w:numId="14">
    <w:abstractNumId w:val="37"/>
  </w:num>
  <w:num w:numId="15">
    <w:abstractNumId w:val="19"/>
  </w:num>
  <w:num w:numId="16">
    <w:abstractNumId w:val="1"/>
  </w:num>
  <w:num w:numId="17">
    <w:abstractNumId w:val="40"/>
  </w:num>
  <w:num w:numId="18">
    <w:abstractNumId w:val="11"/>
  </w:num>
  <w:num w:numId="19">
    <w:abstractNumId w:val="18"/>
  </w:num>
  <w:num w:numId="20">
    <w:abstractNumId w:val="26"/>
  </w:num>
  <w:num w:numId="21">
    <w:abstractNumId w:val="33"/>
  </w:num>
  <w:num w:numId="22">
    <w:abstractNumId w:val="38"/>
  </w:num>
  <w:num w:numId="23">
    <w:abstractNumId w:val="24"/>
  </w:num>
  <w:num w:numId="24">
    <w:abstractNumId w:val="6"/>
  </w:num>
  <w:num w:numId="25">
    <w:abstractNumId w:val="17"/>
  </w:num>
  <w:num w:numId="26">
    <w:abstractNumId w:val="12"/>
  </w:num>
  <w:num w:numId="27">
    <w:abstractNumId w:val="7"/>
  </w:num>
  <w:num w:numId="28">
    <w:abstractNumId w:val="22"/>
  </w:num>
  <w:num w:numId="29">
    <w:abstractNumId w:val="32"/>
  </w:num>
  <w:num w:numId="30">
    <w:abstractNumId w:val="30"/>
  </w:num>
  <w:num w:numId="31">
    <w:abstractNumId w:val="20"/>
  </w:num>
  <w:num w:numId="32">
    <w:abstractNumId w:val="16"/>
  </w:num>
  <w:num w:numId="33">
    <w:abstractNumId w:val="4"/>
  </w:num>
  <w:num w:numId="34">
    <w:abstractNumId w:val="36"/>
  </w:num>
  <w:num w:numId="35">
    <w:abstractNumId w:val="34"/>
  </w:num>
  <w:num w:numId="36">
    <w:abstractNumId w:val="15"/>
  </w:num>
  <w:num w:numId="37">
    <w:abstractNumId w:val="39"/>
  </w:num>
  <w:num w:numId="38">
    <w:abstractNumId w:val="0"/>
  </w:num>
  <w:num w:numId="39">
    <w:abstractNumId w:val="9"/>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098A"/>
    <w:rsid w:val="00064AD2"/>
    <w:rsid w:val="00097EA8"/>
    <w:rsid w:val="000A3E5A"/>
    <w:rsid w:val="000E63E3"/>
    <w:rsid w:val="001102B2"/>
    <w:rsid w:val="00115DD6"/>
    <w:rsid w:val="001241E4"/>
    <w:rsid w:val="0017089C"/>
    <w:rsid w:val="0018743B"/>
    <w:rsid w:val="001A1584"/>
    <w:rsid w:val="001B58ED"/>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698D"/>
    <w:rsid w:val="004B5D63"/>
    <w:rsid w:val="004C14CE"/>
    <w:rsid w:val="004C6A64"/>
    <w:rsid w:val="00504F3B"/>
    <w:rsid w:val="005125A4"/>
    <w:rsid w:val="005665A7"/>
    <w:rsid w:val="00575F3F"/>
    <w:rsid w:val="005A7373"/>
    <w:rsid w:val="005B66A7"/>
    <w:rsid w:val="005C6F36"/>
    <w:rsid w:val="005F643B"/>
    <w:rsid w:val="006200C0"/>
    <w:rsid w:val="00646E63"/>
    <w:rsid w:val="00655B61"/>
    <w:rsid w:val="00685D61"/>
    <w:rsid w:val="00693888"/>
    <w:rsid w:val="006A26B2"/>
    <w:rsid w:val="006A2770"/>
    <w:rsid w:val="006A41B1"/>
    <w:rsid w:val="006A5A84"/>
    <w:rsid w:val="006B78CE"/>
    <w:rsid w:val="006C5661"/>
    <w:rsid w:val="006C7814"/>
    <w:rsid w:val="006F3EAE"/>
    <w:rsid w:val="007132A9"/>
    <w:rsid w:val="00747868"/>
    <w:rsid w:val="007B1809"/>
    <w:rsid w:val="007B2A3E"/>
    <w:rsid w:val="007B410A"/>
    <w:rsid w:val="007F5B07"/>
    <w:rsid w:val="008044BA"/>
    <w:rsid w:val="0081197E"/>
    <w:rsid w:val="0081598A"/>
    <w:rsid w:val="00824C10"/>
    <w:rsid w:val="008A71A5"/>
    <w:rsid w:val="008A7CDA"/>
    <w:rsid w:val="008B53E5"/>
    <w:rsid w:val="008D3369"/>
    <w:rsid w:val="008D7EF5"/>
    <w:rsid w:val="008F2C66"/>
    <w:rsid w:val="00905476"/>
    <w:rsid w:val="00914DEC"/>
    <w:rsid w:val="00944DFA"/>
    <w:rsid w:val="009475C8"/>
    <w:rsid w:val="00950E15"/>
    <w:rsid w:val="00981A4A"/>
    <w:rsid w:val="00984816"/>
    <w:rsid w:val="009A1A3D"/>
    <w:rsid w:val="009B3099"/>
    <w:rsid w:val="009C08FA"/>
    <w:rsid w:val="009C4BDA"/>
    <w:rsid w:val="009C5A69"/>
    <w:rsid w:val="009D085B"/>
    <w:rsid w:val="009F5F31"/>
    <w:rsid w:val="00A002D3"/>
    <w:rsid w:val="00A062E1"/>
    <w:rsid w:val="00A166AA"/>
    <w:rsid w:val="00A23086"/>
    <w:rsid w:val="00A23FFE"/>
    <w:rsid w:val="00A301C5"/>
    <w:rsid w:val="00A32948"/>
    <w:rsid w:val="00A34EE2"/>
    <w:rsid w:val="00A5637B"/>
    <w:rsid w:val="00A610DE"/>
    <w:rsid w:val="00A64AE8"/>
    <w:rsid w:val="00A776A5"/>
    <w:rsid w:val="00A86097"/>
    <w:rsid w:val="00A94DDD"/>
    <w:rsid w:val="00A9779B"/>
    <w:rsid w:val="00AA5656"/>
    <w:rsid w:val="00AB7F16"/>
    <w:rsid w:val="00AE2334"/>
    <w:rsid w:val="00AF1198"/>
    <w:rsid w:val="00AF54F3"/>
    <w:rsid w:val="00AF56A8"/>
    <w:rsid w:val="00AF599D"/>
    <w:rsid w:val="00AF6BD6"/>
    <w:rsid w:val="00B01603"/>
    <w:rsid w:val="00B067D8"/>
    <w:rsid w:val="00B109AB"/>
    <w:rsid w:val="00B11633"/>
    <w:rsid w:val="00B13C1A"/>
    <w:rsid w:val="00B2749D"/>
    <w:rsid w:val="00B415C8"/>
    <w:rsid w:val="00B75A95"/>
    <w:rsid w:val="00BB3F98"/>
    <w:rsid w:val="00BC1DCC"/>
    <w:rsid w:val="00BD0AE4"/>
    <w:rsid w:val="00BD0E0F"/>
    <w:rsid w:val="00BD3CED"/>
    <w:rsid w:val="00C00B65"/>
    <w:rsid w:val="00C13C50"/>
    <w:rsid w:val="00CD06C7"/>
    <w:rsid w:val="00CE07E8"/>
    <w:rsid w:val="00CE16FB"/>
    <w:rsid w:val="00CF08A6"/>
    <w:rsid w:val="00D271B1"/>
    <w:rsid w:val="00D302B9"/>
    <w:rsid w:val="00D63C07"/>
    <w:rsid w:val="00D75850"/>
    <w:rsid w:val="00D955F6"/>
    <w:rsid w:val="00DC24D6"/>
    <w:rsid w:val="00DC7091"/>
    <w:rsid w:val="00DC7421"/>
    <w:rsid w:val="00DF5549"/>
    <w:rsid w:val="00DF6343"/>
    <w:rsid w:val="00E049CF"/>
    <w:rsid w:val="00E246BA"/>
    <w:rsid w:val="00E3253B"/>
    <w:rsid w:val="00E47DE5"/>
    <w:rsid w:val="00E55C7B"/>
    <w:rsid w:val="00E93074"/>
    <w:rsid w:val="00EA2B3F"/>
    <w:rsid w:val="00EA580E"/>
    <w:rsid w:val="00EB4B6C"/>
    <w:rsid w:val="00EE145B"/>
    <w:rsid w:val="00EF1741"/>
    <w:rsid w:val="00F0405E"/>
    <w:rsid w:val="00F045AB"/>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liper.research.sickkids.ca/" TargetMode="External"/><Relationship Id="rId2" Type="http://schemas.openxmlformats.org/officeDocument/2006/relationships/customXml" Target="../customXml/item2.xml"/><Relationship Id="rId16" Type="http://schemas.openxmlformats.org/officeDocument/2006/relationships/hyperlink" Target="https://starnet.childrenshc.org/References/labsop/chem/operator/alinity-ci-series-operations-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486088E5-01B6-45A3-B360-8B0A61C6A90A}">
  <ds:schemaRefs>
    <ds:schemaRef ds:uri="c1848e11-9cf6-4ce4-877e-6837d2c2fa23"/>
    <ds:schemaRef ds:uri="http://schemas.microsoft.com/sharepoint/v3"/>
    <ds:schemaRef ds:uri="http://schemas.microsoft.com/office/2006/metadata/properties"/>
    <ds:schemaRef ds:uri="http://purl.org/dc/elements/1.1/"/>
    <ds:schemaRef ds:uri="199f0838-75a6-4f0c-9be1-f2c07140bccc"/>
    <ds:schemaRef ds:uri="http://schemas.microsoft.com/office/infopath/2007/PartnerControls"/>
    <ds:schemaRef ds:uri="http://www.w3.org/XML/1998/namespace"/>
    <ds:schemaRef ds:uri="http://schemas.openxmlformats.org/package/2006/metadata/core-properties"/>
    <ds:schemaRef ds:uri="http://schemas.microsoft.com/sharepoint.v3"/>
    <ds:schemaRef ds:uri="http://schemas.microsoft.com/office/2006/documentManagement/types"/>
    <ds:schemaRef ds:uri="http://schemas.microsoft.com/sharepoint/v3/fields"/>
    <ds:schemaRef ds:uri="http://purl.org/dc/dcmitype/"/>
    <ds:schemaRef ds:uri="http://purl.org/dc/terms/"/>
  </ds:schemaRefs>
</ds:datastoreItem>
</file>

<file path=customXml/itemProps5.xml><?xml version="1.0" encoding="utf-8"?>
<ds:datastoreItem xmlns:ds="http://schemas.openxmlformats.org/officeDocument/2006/customXml" ds:itemID="{58097DFB-558A-4C5F-95E1-297E12E0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2411</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16196</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4</cp:revision>
  <cp:lastPrinted>2020-04-15T15:00:00Z</cp:lastPrinted>
  <dcterms:created xsi:type="dcterms:W3CDTF">2020-11-23T14:57:00Z</dcterms:created>
  <dcterms:modified xsi:type="dcterms:W3CDTF">2021-01-18T19:12:00Z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