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41B0805E" w:rsidR="006C5661" w:rsidRDefault="00C51E93" w:rsidP="00C51E93">
            <w:pPr>
              <w:rPr>
                <w:rFonts w:cs="Arial"/>
                <w:b/>
                <w:bCs/>
                <w:color w:val="0000FF"/>
              </w:rPr>
            </w:pPr>
            <w:r>
              <w:rPr>
                <w:rFonts w:cs="Arial"/>
                <w:b/>
                <w:bCs/>
                <w:color w:val="0000FF"/>
                <w:sz w:val="36"/>
              </w:rPr>
              <w:t>Total Thyroxine (T4)</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119BADEC" w:rsidR="00E3253B" w:rsidRDefault="00A34EE2" w:rsidP="00DC2A34">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C51E93">
              <w:rPr>
                <w:rFonts w:cs="Arial"/>
                <w:bCs/>
                <w:color w:val="000000"/>
                <w:szCs w:val="20"/>
              </w:rPr>
              <w:t>for performing TOTAL THYROXINE (T4)</w:t>
            </w:r>
            <w:r w:rsidR="00C36A46">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DC2A34" w:rsidRPr="00DC2A34">
              <w:rPr>
                <w:rStyle w:val="A7"/>
                <w:rFonts w:cs="Arial"/>
                <w:b w:val="0"/>
                <w:bCs w:val="0"/>
                <w:sz w:val="20"/>
                <w:szCs w:val="20"/>
              </w:rPr>
              <w:t>The Alinity i Total T4 (TT4) assay is a chemiluminescent microparticle</w:t>
            </w:r>
            <w:r w:rsidR="00DC2A34">
              <w:rPr>
                <w:rStyle w:val="A7"/>
                <w:rFonts w:cs="Arial"/>
                <w:b w:val="0"/>
                <w:bCs w:val="0"/>
                <w:sz w:val="20"/>
                <w:szCs w:val="20"/>
              </w:rPr>
              <w:t xml:space="preserve"> </w:t>
            </w:r>
            <w:r w:rsidR="00DC2A34" w:rsidRPr="00DC2A34">
              <w:rPr>
                <w:rStyle w:val="A7"/>
                <w:rFonts w:cs="Arial"/>
                <w:b w:val="0"/>
                <w:bCs w:val="0"/>
                <w:sz w:val="20"/>
                <w:szCs w:val="20"/>
              </w:rPr>
              <w:t>immunoassay (CMIA) used for the quantitative determination of</w:t>
            </w:r>
            <w:r w:rsidR="00DC2A34">
              <w:rPr>
                <w:rStyle w:val="A7"/>
                <w:rFonts w:cs="Arial"/>
                <w:b w:val="0"/>
                <w:bCs w:val="0"/>
                <w:sz w:val="20"/>
                <w:szCs w:val="20"/>
              </w:rPr>
              <w:t xml:space="preserve"> </w:t>
            </w:r>
            <w:r w:rsidR="00DC2A34" w:rsidRPr="00DC2A34">
              <w:rPr>
                <w:rStyle w:val="A7"/>
                <w:rFonts w:cs="Arial"/>
                <w:b w:val="0"/>
                <w:bCs w:val="0"/>
                <w:sz w:val="20"/>
                <w:szCs w:val="20"/>
              </w:rPr>
              <w:t xml:space="preserve">thyroxine (Total T4) in human serum and plasma on the Alinity </w:t>
            </w:r>
            <w:r w:rsidR="00DC2A34">
              <w:rPr>
                <w:rStyle w:val="A7"/>
                <w:rFonts w:cs="Arial"/>
                <w:b w:val="0"/>
                <w:bCs w:val="0"/>
                <w:sz w:val="20"/>
                <w:szCs w:val="20"/>
              </w:rPr>
              <w:t xml:space="preserve">i </w:t>
            </w:r>
            <w:r w:rsidR="00DC2A34" w:rsidRPr="00DC2A34">
              <w:rPr>
                <w:rStyle w:val="A7"/>
                <w:rFonts w:cs="Arial"/>
                <w:b w:val="0"/>
                <w:bCs w:val="0"/>
                <w:sz w:val="20"/>
                <w:szCs w:val="20"/>
              </w:rPr>
              <w:t>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70400ED6" w:rsidR="001A1584" w:rsidRPr="001A1584" w:rsidRDefault="001A1584" w:rsidP="001A1584">
            <w:pPr>
              <w:rPr>
                <w:rFonts w:cs="Arial"/>
                <w:szCs w:val="20"/>
              </w:rPr>
            </w:pPr>
            <w:r w:rsidRPr="001A1584">
              <w:rPr>
                <w:rFonts w:cs="Arial"/>
                <w:szCs w:val="20"/>
              </w:rPr>
              <w:t>This procedure applies to all personnel responsible for operating Alinity c</w:t>
            </w:r>
            <w:r w:rsidR="00C36A46">
              <w:rPr>
                <w:rFonts w:cs="Arial"/>
                <w:szCs w:val="20"/>
              </w:rPr>
              <w:t>i</w:t>
            </w:r>
            <w:r w:rsidRPr="001A1584">
              <w:rPr>
                <w:rFonts w:cs="Arial"/>
                <w:szCs w:val="20"/>
              </w:rPr>
              <w:t xml:space="preserve"> at Children’s Minnesota Laboratory</w:t>
            </w:r>
            <w:r w:rsidR="00C51E93">
              <w:rPr>
                <w:rFonts w:cs="Arial"/>
                <w:szCs w:val="20"/>
              </w:rPr>
              <w:t xml:space="preserve"> in Minneapolis</w:t>
            </w:r>
            <w:r w:rsidRPr="001A1584">
              <w:rPr>
                <w:rFonts w:cs="Arial"/>
                <w:szCs w:val="20"/>
              </w:rPr>
              <w:t>.</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42A11083" w14:textId="3F47BF2A" w:rsidR="00DC2A34" w:rsidRDefault="00DC2A34" w:rsidP="00DC2A34">
            <w:pPr>
              <w:pStyle w:val="Header"/>
              <w:rPr>
                <w:rFonts w:cs="Arial"/>
                <w:color w:val="000000"/>
                <w:szCs w:val="20"/>
              </w:rPr>
            </w:pPr>
            <w:r w:rsidRPr="00DC2A34">
              <w:rPr>
                <w:rFonts w:cs="Arial"/>
                <w:color w:val="000000"/>
                <w:szCs w:val="20"/>
              </w:rPr>
              <w:t>This assay is a two-step immunoassay for the quantitative</w:t>
            </w:r>
            <w:r>
              <w:rPr>
                <w:rFonts w:cs="Arial"/>
                <w:color w:val="000000"/>
                <w:szCs w:val="20"/>
              </w:rPr>
              <w:t xml:space="preserve"> </w:t>
            </w:r>
            <w:r w:rsidRPr="00DC2A34">
              <w:rPr>
                <w:rFonts w:cs="Arial"/>
                <w:color w:val="000000"/>
                <w:szCs w:val="20"/>
              </w:rPr>
              <w:t>determination of thyroxine (Total T4) in human serum and plasma</w:t>
            </w:r>
            <w:r>
              <w:rPr>
                <w:rFonts w:cs="Arial"/>
                <w:color w:val="000000"/>
                <w:szCs w:val="20"/>
              </w:rPr>
              <w:t xml:space="preserve"> </w:t>
            </w:r>
            <w:r w:rsidRPr="00DC2A34">
              <w:rPr>
                <w:rFonts w:cs="Arial"/>
                <w:color w:val="000000"/>
                <w:szCs w:val="20"/>
              </w:rPr>
              <w:t>using chemiluminescent microparticle immunoassay (CMIA)</w:t>
            </w:r>
            <w:r>
              <w:rPr>
                <w:rFonts w:cs="Arial"/>
                <w:color w:val="000000"/>
                <w:szCs w:val="20"/>
              </w:rPr>
              <w:t xml:space="preserve"> </w:t>
            </w:r>
            <w:r w:rsidRPr="00DC2A34">
              <w:rPr>
                <w:rFonts w:cs="Arial"/>
                <w:color w:val="000000"/>
                <w:szCs w:val="20"/>
              </w:rPr>
              <w:t>technology.</w:t>
            </w:r>
          </w:p>
          <w:p w14:paraId="3E7D9356" w14:textId="77777777" w:rsidR="00DC2A34" w:rsidRPr="00DC2A34" w:rsidRDefault="00DC2A34" w:rsidP="00DC2A34">
            <w:pPr>
              <w:pStyle w:val="Header"/>
              <w:rPr>
                <w:rFonts w:cs="Arial"/>
                <w:color w:val="000000"/>
                <w:szCs w:val="20"/>
              </w:rPr>
            </w:pPr>
          </w:p>
          <w:p w14:paraId="5C84964D" w14:textId="3A7B60BC" w:rsidR="00DC2A34" w:rsidRDefault="00DC2A34" w:rsidP="00DC2A34">
            <w:pPr>
              <w:pStyle w:val="Header"/>
              <w:rPr>
                <w:rFonts w:cs="Arial"/>
                <w:color w:val="000000"/>
                <w:szCs w:val="20"/>
              </w:rPr>
            </w:pPr>
            <w:r w:rsidRPr="00DC2A34">
              <w:rPr>
                <w:rFonts w:cs="Arial"/>
                <w:color w:val="000000"/>
                <w:szCs w:val="20"/>
              </w:rPr>
              <w:t>Sample and anti-T4 coated paramagnetic microparticles are</w:t>
            </w:r>
            <w:r>
              <w:rPr>
                <w:rFonts w:cs="Arial"/>
                <w:color w:val="000000"/>
                <w:szCs w:val="20"/>
              </w:rPr>
              <w:t xml:space="preserve"> </w:t>
            </w:r>
            <w:r w:rsidRPr="00DC2A34">
              <w:rPr>
                <w:rFonts w:cs="Arial"/>
                <w:color w:val="000000"/>
                <w:szCs w:val="20"/>
              </w:rPr>
              <w:t>combined and incubated. Bound T4 is removed from the binding</w:t>
            </w:r>
            <w:r>
              <w:rPr>
                <w:rFonts w:cs="Arial"/>
                <w:color w:val="000000"/>
                <w:szCs w:val="20"/>
              </w:rPr>
              <w:t xml:space="preserve"> s</w:t>
            </w:r>
            <w:r w:rsidRPr="00DC2A34">
              <w:rPr>
                <w:rFonts w:cs="Arial"/>
                <w:color w:val="000000"/>
                <w:szCs w:val="20"/>
              </w:rPr>
              <w:t>ites on thyroxine binding globulin, prealbumin and albumin. The T4</w:t>
            </w:r>
            <w:r>
              <w:rPr>
                <w:rFonts w:cs="Arial"/>
                <w:color w:val="000000"/>
                <w:szCs w:val="20"/>
              </w:rPr>
              <w:t xml:space="preserve"> </w:t>
            </w:r>
            <w:r w:rsidRPr="00DC2A34">
              <w:rPr>
                <w:rFonts w:cs="Arial"/>
                <w:color w:val="000000"/>
                <w:szCs w:val="20"/>
              </w:rPr>
              <w:t>present in the sample binds to the anti-T4 coated microparticles.</w:t>
            </w:r>
            <w:r>
              <w:rPr>
                <w:rFonts w:cs="Arial"/>
                <w:color w:val="000000"/>
                <w:szCs w:val="20"/>
              </w:rPr>
              <w:t xml:space="preserve"> </w:t>
            </w:r>
            <w:r w:rsidRPr="00DC2A34">
              <w:rPr>
                <w:rFonts w:cs="Arial"/>
                <w:color w:val="000000"/>
                <w:szCs w:val="20"/>
              </w:rPr>
              <w:t>The mixture is washed. T3 acridinium-labeled conjugate is added</w:t>
            </w:r>
            <w:r>
              <w:rPr>
                <w:rFonts w:cs="Arial"/>
                <w:color w:val="000000"/>
                <w:szCs w:val="20"/>
              </w:rPr>
              <w:t xml:space="preserve"> </w:t>
            </w:r>
            <w:r w:rsidRPr="00DC2A34">
              <w:rPr>
                <w:rFonts w:cs="Arial"/>
                <w:color w:val="000000"/>
                <w:szCs w:val="20"/>
              </w:rPr>
              <w:t>to create a reaction mixture and incubated. Following a wash cycle,</w:t>
            </w:r>
            <w:r>
              <w:rPr>
                <w:rFonts w:cs="Arial"/>
                <w:color w:val="000000"/>
                <w:szCs w:val="20"/>
              </w:rPr>
              <w:t xml:space="preserve"> </w:t>
            </w:r>
            <w:r w:rsidRPr="00DC2A34">
              <w:rPr>
                <w:rFonts w:cs="Arial"/>
                <w:color w:val="000000"/>
                <w:szCs w:val="20"/>
              </w:rPr>
              <w:t>Pre-Trigger and Trigger Solutions are added.</w:t>
            </w:r>
            <w:r>
              <w:rPr>
                <w:rFonts w:cs="Arial"/>
                <w:color w:val="000000"/>
                <w:szCs w:val="20"/>
              </w:rPr>
              <w:t xml:space="preserve"> </w:t>
            </w:r>
            <w:r w:rsidRPr="00DC2A34">
              <w:rPr>
                <w:rFonts w:cs="Arial"/>
                <w:color w:val="000000"/>
                <w:szCs w:val="20"/>
              </w:rPr>
              <w:t>The resulting chemiluminescent reaction is measured as relative light</w:t>
            </w:r>
            <w:r>
              <w:rPr>
                <w:rFonts w:cs="Arial"/>
                <w:color w:val="000000"/>
                <w:szCs w:val="20"/>
              </w:rPr>
              <w:t xml:space="preserve"> </w:t>
            </w:r>
            <w:r w:rsidRPr="00DC2A34">
              <w:rPr>
                <w:rFonts w:cs="Arial"/>
                <w:color w:val="000000"/>
                <w:szCs w:val="20"/>
              </w:rPr>
              <w:t>units (RLUs). There is an inverse relationship between the amount of</w:t>
            </w:r>
            <w:r>
              <w:rPr>
                <w:rFonts w:cs="Arial"/>
                <w:color w:val="000000"/>
                <w:szCs w:val="20"/>
              </w:rPr>
              <w:t xml:space="preserve"> </w:t>
            </w:r>
            <w:r w:rsidRPr="00DC2A34">
              <w:rPr>
                <w:rFonts w:cs="Arial"/>
                <w:color w:val="000000"/>
                <w:szCs w:val="20"/>
              </w:rPr>
              <w:t>Total T4 in the sample and the RLUs detected by the system optics.</w:t>
            </w:r>
          </w:p>
          <w:p w14:paraId="2A3AE517" w14:textId="77777777" w:rsidR="00DC2A34" w:rsidRPr="00DC2A34" w:rsidRDefault="00DC2A34" w:rsidP="00DC2A34">
            <w:pPr>
              <w:pStyle w:val="Header"/>
              <w:rPr>
                <w:rFonts w:cs="Arial"/>
                <w:color w:val="000000"/>
                <w:szCs w:val="20"/>
              </w:rPr>
            </w:pPr>
          </w:p>
          <w:p w14:paraId="51CBAF72" w14:textId="77777777" w:rsidR="00C13DCA" w:rsidRDefault="00DC2A34" w:rsidP="00DC2A34">
            <w:pPr>
              <w:pStyle w:val="Header"/>
              <w:rPr>
                <w:rFonts w:cs="Arial"/>
                <w:color w:val="000000"/>
                <w:szCs w:val="20"/>
              </w:rPr>
            </w:pPr>
            <w:r w:rsidRPr="00DC2A34">
              <w:rPr>
                <w:rFonts w:cs="Arial"/>
                <w:color w:val="000000"/>
                <w:szCs w:val="20"/>
              </w:rPr>
              <w:t>For additional information on system and assay technology, refer to</w:t>
            </w:r>
            <w:r>
              <w:rPr>
                <w:rFonts w:cs="Arial"/>
                <w:color w:val="000000"/>
                <w:szCs w:val="20"/>
              </w:rPr>
              <w:t xml:space="preserve"> </w:t>
            </w:r>
            <w:r w:rsidRPr="00DC2A34">
              <w:rPr>
                <w:rFonts w:cs="Arial"/>
                <w:color w:val="000000"/>
                <w:szCs w:val="20"/>
              </w:rPr>
              <w:t>the Alinity ci-series Operations Manual, Section 3.</w:t>
            </w:r>
          </w:p>
          <w:p w14:paraId="5CCFFF81" w14:textId="553E4AE2" w:rsidR="00DC2A34" w:rsidRPr="00DC7421" w:rsidRDefault="00DC2A34" w:rsidP="00DC2A34">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F94B0C0" w14:textId="455C0371" w:rsidR="00DC2A34" w:rsidRDefault="00DC2A34" w:rsidP="00DC2A34">
            <w:r>
              <w:t>Thyroxine (T4) is an iodine-containing hormone which has a molecular weight of approximately 777 daltons and is secreted by the thyroid gland. T4 and its associate thyroid hormone T3 are responsible for regulating diverse biochemical processes throughout the body which are essential for normal metabolic and neural activity.</w:t>
            </w:r>
          </w:p>
          <w:p w14:paraId="75FCEDC0" w14:textId="77777777" w:rsidR="00DC2A34" w:rsidRDefault="00DC2A34" w:rsidP="00DC2A34"/>
          <w:p w14:paraId="5B46AF6C" w14:textId="605B5BCE" w:rsidR="00DC2A34" w:rsidRDefault="00DC2A34" w:rsidP="00DC2A34">
            <w:r>
              <w:t xml:space="preserve">Although T3 has greater biologic potency2, T4 is normally present in human serum in approximately 50-fold excess of circulating T3 and accounts for more than 90% of the circulating protein-bound iodine. T4 is 99.9% bound to serum thyroxine binding proteins (TBP). The hormone is transported bound primarily to thyroxine binding globulin (TBG) and secondarily by thyroxine binding prealbumin (TBPA) and albumin.  Less than 0.05% of the total circulating T4 is unbound and therefore biologically active.  Clinically, T4 measurements have long been recognized as an aid in the assessment and diagnosis of thyroid status. Elevated T4 values are characteristically seen in patients with overt hyperthyroidism, while T4 levels are generally depressed in patients with overt hypothyroidism. Normal T4 levels accompanied by high T3 values are seen in patients with T3- thyrotoxicosis.  T4 levels are altered by physiological or pathological changes in TBP capacity. Thyroxine binding globulin (TBG) capacity has a pronounced effect on the concentration of thyroid hormones. Consequently, T4 levels may be elevated with increased concentrations of TBG, such as in pregnancy, administration of oral contraceptives or estrogen, infectious and chronic active hepatitis, biliary cirrhosis or congenital increase in TBG levels. Conversely, when TBG levels are decreased, such as in nephrotic syndrome, androgen therapy, glucocorticoid therapy, major systemic illness or congenital decrease of TBG, T4 may be reduced.  </w:t>
            </w:r>
          </w:p>
          <w:p w14:paraId="2FAFAA8C" w14:textId="77777777" w:rsidR="00DC2A34" w:rsidRDefault="00DC2A34" w:rsidP="00DC2A34"/>
          <w:p w14:paraId="71611F34" w14:textId="1C7576C7" w:rsidR="00DC2A34" w:rsidRDefault="00DC2A34" w:rsidP="00DC2A34">
            <w:r>
              <w:t xml:space="preserve">Drugs which compete for protein binding sites, such as </w:t>
            </w:r>
            <w:proofErr w:type="spellStart"/>
            <w:r>
              <w:t>phenylbutazone</w:t>
            </w:r>
            <w:proofErr w:type="spellEnd"/>
            <w:r>
              <w:t>, diphenylhydantoin or salicylates, can result in a depressed T4 measurement.  Serum T4 levels in neonates and infants are higher than values in the normal adult, due to the increased concentration of TBG in neonate serum.</w:t>
            </w:r>
          </w:p>
          <w:p w14:paraId="2CE8FD64" w14:textId="77777777" w:rsidR="00DC2A34" w:rsidRDefault="00DC2A34" w:rsidP="00DC2A34"/>
          <w:p w14:paraId="4C19A8A4" w14:textId="1EB15130" w:rsidR="00DC2A34" w:rsidRDefault="00DC2A34" w:rsidP="00DC2A34">
            <w:r>
              <w:t>While in many cases T4 values give good indications of thyroid status, T4 values should be normalized for individual variations in thyroxine binding protein (TBP) capacity. The Free Thyroxine Index (FTI) is conventionally used to achieve this measurement.</w:t>
            </w:r>
          </w:p>
          <w:p w14:paraId="13845FDA" w14:textId="77777777" w:rsidR="00DC2A34" w:rsidRDefault="00DC2A34" w:rsidP="00DC2A34"/>
          <w:p w14:paraId="6084FF30" w14:textId="77777777" w:rsidR="002462C0" w:rsidRDefault="00DC2A34" w:rsidP="00DC2A34">
            <w:r>
              <w:t>To ensure maximum diagnostic accuracy, the final definition of thyroid status should be determined in conjunction with other thyroid function tests such as TSH, Free T4, Total T3, FTI and clinical evaluation by the physician.</w:t>
            </w:r>
          </w:p>
          <w:p w14:paraId="5CCFFF86" w14:textId="2FBC2931" w:rsidR="00DC2A34" w:rsidRPr="00370B0F" w:rsidRDefault="00DC2A34" w:rsidP="00DC2A34"/>
        </w:tc>
      </w:tr>
      <w:tr w:rsidR="00E3253B" w14:paraId="5CCFFF8A" w14:textId="77777777" w:rsidTr="00504F3B">
        <w:trPr>
          <w:trHeight w:val="450"/>
          <w:tblHeader/>
        </w:trPr>
        <w:tc>
          <w:tcPr>
            <w:tcW w:w="1800" w:type="dxa"/>
            <w:tcBorders>
              <w:top w:val="nil"/>
              <w:left w:val="nil"/>
              <w:bottom w:val="nil"/>
              <w:right w:val="nil"/>
            </w:tcBorders>
          </w:tcPr>
          <w:p w14:paraId="5CCFFF88" w14:textId="585DF7A0" w:rsidR="00E3253B" w:rsidRPr="00C00B65" w:rsidRDefault="00E3253B">
            <w:pPr>
              <w:rPr>
                <w:rFonts w:cs="Arial"/>
                <w:b/>
                <w:bCs/>
                <w:color w:val="0000FF"/>
                <w:szCs w:val="20"/>
              </w:rPr>
            </w:pPr>
            <w:r w:rsidRPr="00C00B65">
              <w:rPr>
                <w:rFonts w:cs="Arial"/>
                <w:b/>
                <w:bCs/>
                <w:color w:val="0000FF"/>
                <w:szCs w:val="20"/>
              </w:rPr>
              <w:lastRenderedPageBreak/>
              <w:t>Analyzer</w:t>
            </w:r>
          </w:p>
        </w:tc>
        <w:tc>
          <w:tcPr>
            <w:tcW w:w="9360" w:type="dxa"/>
            <w:gridSpan w:val="4"/>
            <w:tcBorders>
              <w:top w:val="single" w:sz="18" w:space="0" w:color="BFBFBF"/>
              <w:left w:val="nil"/>
              <w:bottom w:val="single" w:sz="18" w:space="0" w:color="BFBFBF"/>
              <w:right w:val="nil"/>
            </w:tcBorders>
          </w:tcPr>
          <w:p w14:paraId="320CA4EC" w14:textId="77777777" w:rsidR="00DC2A34" w:rsidRPr="00DC7421" w:rsidRDefault="00DC2A34" w:rsidP="00DC2A34">
            <w:pPr>
              <w:autoSpaceDE w:val="0"/>
              <w:autoSpaceDN w:val="0"/>
              <w:adjustRightInd w:val="0"/>
              <w:rPr>
                <w:rFonts w:cs="Arial"/>
                <w:bCs/>
                <w:szCs w:val="20"/>
              </w:rPr>
            </w:pPr>
            <w:r>
              <w:rPr>
                <w:rFonts w:cs="Arial"/>
                <w:b/>
                <w:bCs/>
                <w:color w:val="7030A0"/>
                <w:szCs w:val="20"/>
              </w:rPr>
              <w:t>Minneapolis: Abbott Alinity i (Sunquest method code: MACI)</w:t>
            </w:r>
          </w:p>
          <w:p w14:paraId="2A1FB04D" w14:textId="68208A84" w:rsidR="00DC2A34" w:rsidRDefault="00DC2A34" w:rsidP="00DC2A34">
            <w:pPr>
              <w:pStyle w:val="BodyText2"/>
              <w:spacing w:after="60" w:line="240" w:lineRule="auto"/>
              <w:rPr>
                <w:rFonts w:cs="Arial"/>
                <w:bCs/>
                <w:szCs w:val="20"/>
              </w:rPr>
            </w:pPr>
            <w:r w:rsidRPr="002C5F6A">
              <w:rPr>
                <w:rFonts w:cs="Arial"/>
                <w:b/>
                <w:bCs/>
                <w:szCs w:val="20"/>
              </w:rPr>
              <w:t xml:space="preserve">Backup: </w:t>
            </w:r>
            <w:r w:rsidRPr="002C5F6A">
              <w:rPr>
                <w:rFonts w:cs="Arial"/>
                <w:bCs/>
                <w:szCs w:val="20"/>
              </w:rPr>
              <w:t>Hold samples until instrument is back in service.  If urgent or directed by provider, send to</w:t>
            </w:r>
            <w:r w:rsidR="00B01A63">
              <w:rPr>
                <w:rFonts w:cs="Arial"/>
                <w:bCs/>
                <w:szCs w:val="20"/>
              </w:rPr>
              <w:t xml:space="preserve"> Mayo Medical Laboratories (T4</w:t>
            </w:r>
            <w:r w:rsidRPr="002C5F6A">
              <w:rPr>
                <w:rFonts w:cs="Arial"/>
                <w:bCs/>
                <w:szCs w:val="20"/>
              </w:rPr>
              <w:t>)</w:t>
            </w:r>
          </w:p>
          <w:p w14:paraId="5CCFFF89" w14:textId="77A28D1E" w:rsidR="006200C0" w:rsidRPr="00DC7421" w:rsidRDefault="006200C0" w:rsidP="007B6E84">
            <w:pPr>
              <w:pStyle w:val="BodyText2"/>
              <w:spacing w:after="60" w:line="240" w:lineRule="auto"/>
              <w:rPr>
                <w:rFonts w:cs="Arial"/>
                <w:b/>
                <w:bCs/>
                <w:color w:val="7030A0"/>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49015425" w:rsidR="00370B0F" w:rsidRPr="00504F3B" w:rsidRDefault="00DC2A34" w:rsidP="00504F3B">
            <w:r w:rsidRPr="00DC2A34">
              <w:rPr>
                <w:b/>
              </w:rPr>
              <w:t>T4</w:t>
            </w:r>
            <w:r>
              <w:t xml:space="preserve">  Thyroxine Total</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0E5618CD"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7B6E84">
              <w:rPr>
                <w:rStyle w:val="BoldBodyText"/>
                <w:rFonts w:ascii="Arial" w:hAnsi="Arial" w:cs="Arial"/>
                <w:b w:val="0"/>
                <w:bCs w:val="0"/>
                <w:sz w:val="20"/>
                <w:szCs w:val="20"/>
              </w:rPr>
              <w:t>Plasma or Serum (with or without gel barrier)</w:t>
            </w:r>
          </w:p>
          <w:p w14:paraId="34021B1C" w14:textId="1802175D" w:rsidR="00981A4A" w:rsidRPr="007B6E84" w:rsidRDefault="0017089C">
            <w:pPr>
              <w:rPr>
                <w:rFonts w:cs="Arial"/>
                <w:szCs w:val="20"/>
              </w:rPr>
            </w:pPr>
            <w:r w:rsidRPr="009475C8">
              <w:rPr>
                <w:rFonts w:cs="Arial"/>
                <w:b/>
                <w:szCs w:val="20"/>
              </w:rPr>
              <w:t>Preferred:</w:t>
            </w:r>
            <w:r w:rsidR="006C5661" w:rsidRPr="009475C8">
              <w:rPr>
                <w:rFonts w:cs="Arial"/>
                <w:b/>
                <w:szCs w:val="20"/>
              </w:rPr>
              <w:t xml:space="preserve"> </w:t>
            </w:r>
            <w:r w:rsidR="007B6E84">
              <w:rPr>
                <w:rFonts w:cs="Arial"/>
                <w:szCs w:val="20"/>
              </w:rPr>
              <w:t>Lithium Heparin</w:t>
            </w:r>
          </w:p>
          <w:p w14:paraId="79ED6D89" w14:textId="77777777" w:rsidR="00B01A63" w:rsidRDefault="0017089C">
            <w:pPr>
              <w:rPr>
                <w:rFonts w:cs="Arial"/>
                <w:szCs w:val="20"/>
              </w:rPr>
            </w:pPr>
            <w:r w:rsidRPr="009475C8">
              <w:rPr>
                <w:rFonts w:cs="Arial"/>
                <w:b/>
                <w:szCs w:val="20"/>
              </w:rPr>
              <w:t>Alternative:</w:t>
            </w:r>
            <w:r w:rsidR="00013435">
              <w:rPr>
                <w:rFonts w:cs="Arial"/>
                <w:b/>
                <w:szCs w:val="20"/>
              </w:rPr>
              <w:t xml:space="preserve"> </w:t>
            </w:r>
            <w:r w:rsidR="00013435">
              <w:rPr>
                <w:rFonts w:cs="Arial"/>
                <w:szCs w:val="20"/>
              </w:rPr>
              <w:t>SST, Sodium Heparin, EDTA</w:t>
            </w:r>
          </w:p>
          <w:p w14:paraId="49255894" w14:textId="77777777" w:rsidR="00B01A63" w:rsidRDefault="00B01A63">
            <w:pPr>
              <w:rPr>
                <w:rFonts w:cs="Arial"/>
                <w:szCs w:val="20"/>
              </w:rPr>
            </w:pPr>
          </w:p>
          <w:p w14:paraId="60FE11B0" w14:textId="7EE943AB" w:rsidR="0017089C" w:rsidRPr="00B01A63" w:rsidRDefault="00B01A63" w:rsidP="00B01A63">
            <w:pPr>
              <w:pStyle w:val="ListParagraph"/>
              <w:numPr>
                <w:ilvl w:val="0"/>
                <w:numId w:val="42"/>
              </w:numPr>
              <w:rPr>
                <w:rFonts w:cs="Arial"/>
                <w:szCs w:val="20"/>
              </w:rPr>
            </w:pPr>
            <w:r w:rsidRPr="00B01A63">
              <w:rPr>
                <w:rFonts w:cs="Arial"/>
                <w:szCs w:val="20"/>
              </w:rPr>
              <w:t>When serial specimens are being evaluated, the same type of specimen should be used throughout the study.</w:t>
            </w:r>
          </w:p>
          <w:p w14:paraId="34F12611" w14:textId="77777777" w:rsidR="0017089C" w:rsidRPr="00DC7421" w:rsidRDefault="0017089C">
            <w:pPr>
              <w:rPr>
                <w:rFonts w:cs="Arial"/>
                <w:szCs w:val="20"/>
              </w:rPr>
            </w:pPr>
          </w:p>
          <w:p w14:paraId="5CCFFF96" w14:textId="15E62C8F"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013435">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013435">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4158F29F" w14:textId="77777777" w:rsidR="00013435" w:rsidRPr="00013435" w:rsidRDefault="00013435" w:rsidP="00013435"/>
          <w:p w14:paraId="028D7CF3" w14:textId="08FF331F" w:rsidR="00013435" w:rsidRDefault="00013435" w:rsidP="00013435">
            <w:pPr>
              <w:rPr>
                <w:rFonts w:cs="Arial"/>
                <w:szCs w:val="20"/>
              </w:rPr>
            </w:pPr>
            <w:r w:rsidRPr="00013435">
              <w:rPr>
                <w:rFonts w:cs="Arial"/>
                <w:szCs w:val="20"/>
              </w:rPr>
              <w:t>Maximum number of replicates sampled from the same sample</w:t>
            </w:r>
            <w:r>
              <w:rPr>
                <w:rFonts w:cs="Arial"/>
                <w:szCs w:val="20"/>
              </w:rPr>
              <w:t xml:space="preserve"> </w:t>
            </w:r>
            <w:r w:rsidRPr="00013435">
              <w:rPr>
                <w:rFonts w:cs="Arial"/>
                <w:szCs w:val="20"/>
              </w:rPr>
              <w:t>cup: 10</w:t>
            </w:r>
          </w:p>
          <w:p w14:paraId="0C609DBD" w14:textId="77777777" w:rsidR="00013435" w:rsidRPr="00013435" w:rsidRDefault="00013435" w:rsidP="00013435">
            <w:pPr>
              <w:rPr>
                <w:rFonts w:cs="Arial"/>
                <w:szCs w:val="20"/>
              </w:rPr>
            </w:pPr>
          </w:p>
          <w:p w14:paraId="35FBBF8A" w14:textId="7D7E03A9" w:rsidR="00013435" w:rsidRPr="00013435" w:rsidRDefault="00013435" w:rsidP="00013435">
            <w:pPr>
              <w:rPr>
                <w:rFonts w:cs="Arial"/>
                <w:szCs w:val="20"/>
              </w:rPr>
            </w:pPr>
            <w:r w:rsidRPr="00013435">
              <w:rPr>
                <w:rFonts w:cs="Arial"/>
                <w:szCs w:val="20"/>
              </w:rPr>
              <w:t>Priority</w:t>
            </w:r>
            <w:r w:rsidR="00DC2A34">
              <w:rPr>
                <w:rFonts w:cs="Arial"/>
                <w:szCs w:val="20"/>
              </w:rPr>
              <w:t xml:space="preserve"> loaded</w:t>
            </w:r>
            <w:r w:rsidRPr="00013435">
              <w:rPr>
                <w:rFonts w:cs="Arial"/>
                <w:szCs w:val="20"/>
              </w:rPr>
              <w:t>:</w:t>
            </w:r>
          </w:p>
          <w:p w14:paraId="1666F535" w14:textId="582EA834" w:rsidR="00013435" w:rsidRDefault="00013435" w:rsidP="00013435">
            <w:pPr>
              <w:rPr>
                <w:rFonts w:cs="Arial"/>
                <w:szCs w:val="20"/>
              </w:rPr>
            </w:pPr>
            <w:r>
              <w:rPr>
                <w:rFonts w:cs="Arial"/>
                <w:szCs w:val="20"/>
              </w:rPr>
              <w:t xml:space="preserve">     </w:t>
            </w:r>
            <w:r w:rsidR="00DC2A34">
              <w:rPr>
                <w:rFonts w:cs="Arial"/>
                <w:szCs w:val="20"/>
              </w:rPr>
              <w:t>Sample volume for first test: 7</w:t>
            </w:r>
            <w:r w:rsidRPr="00013435">
              <w:rPr>
                <w:rFonts w:cs="Arial"/>
                <w:szCs w:val="20"/>
              </w:rPr>
              <w:t xml:space="preserve">4 </w:t>
            </w:r>
            <w:r w:rsidRPr="00013435">
              <w:rPr>
                <w:rFonts w:cs="Arial" w:hint="eastAsia"/>
                <w:szCs w:val="20"/>
              </w:rPr>
              <w:t>μ</w:t>
            </w:r>
            <w:r w:rsidRPr="00013435">
              <w:rPr>
                <w:rFonts w:cs="Arial"/>
                <w:szCs w:val="20"/>
              </w:rPr>
              <w:t>L</w:t>
            </w:r>
          </w:p>
          <w:p w14:paraId="1A16FDB6" w14:textId="0CC0A489" w:rsidR="00013435" w:rsidRDefault="00013435" w:rsidP="00013435">
            <w:pPr>
              <w:rPr>
                <w:rFonts w:cs="Arial"/>
                <w:szCs w:val="20"/>
              </w:rPr>
            </w:pPr>
            <w:r>
              <w:rPr>
                <w:rFonts w:cs="Arial"/>
                <w:szCs w:val="20"/>
              </w:rPr>
              <w:t xml:space="preserve">     </w:t>
            </w:r>
            <w:r w:rsidRPr="00013435">
              <w:rPr>
                <w:rFonts w:cs="Arial"/>
                <w:szCs w:val="20"/>
              </w:rPr>
              <w:t>Sample volume for each additional test from same sample</w:t>
            </w:r>
            <w:r>
              <w:rPr>
                <w:rFonts w:cs="Arial"/>
                <w:szCs w:val="20"/>
              </w:rPr>
              <w:t xml:space="preserve"> </w:t>
            </w:r>
            <w:r w:rsidR="00DC2A34">
              <w:rPr>
                <w:rFonts w:cs="Arial"/>
                <w:szCs w:val="20"/>
              </w:rPr>
              <w:t>cup: 2</w:t>
            </w:r>
            <w:r w:rsidRPr="00013435">
              <w:rPr>
                <w:rFonts w:cs="Arial"/>
                <w:szCs w:val="20"/>
              </w:rPr>
              <w:t xml:space="preserve">4 </w:t>
            </w:r>
            <w:r w:rsidRPr="00013435">
              <w:rPr>
                <w:rFonts w:cs="Arial" w:hint="eastAsia"/>
                <w:szCs w:val="20"/>
              </w:rPr>
              <w:t>μ</w:t>
            </w:r>
            <w:r w:rsidRPr="00013435">
              <w:rPr>
                <w:rFonts w:cs="Arial"/>
                <w:szCs w:val="20"/>
              </w:rPr>
              <w:t>L</w:t>
            </w:r>
          </w:p>
          <w:p w14:paraId="33D20C4A" w14:textId="77777777" w:rsidR="00013435" w:rsidRPr="00013435" w:rsidRDefault="00013435" w:rsidP="00013435">
            <w:pPr>
              <w:rPr>
                <w:rFonts w:cs="Arial"/>
                <w:szCs w:val="20"/>
              </w:rPr>
            </w:pPr>
          </w:p>
          <w:p w14:paraId="7F0FFACB" w14:textId="32242569" w:rsidR="00013435" w:rsidRPr="00013435" w:rsidRDefault="00DC2A34" w:rsidP="00013435">
            <w:pPr>
              <w:rPr>
                <w:rFonts w:cs="Arial"/>
                <w:szCs w:val="20"/>
              </w:rPr>
            </w:pPr>
            <w:r>
              <w:rPr>
                <w:rFonts w:cs="Arial" w:hint="eastAsia"/>
                <w:szCs w:val="20"/>
              </w:rPr>
              <w:t>Loaded routinely</w:t>
            </w:r>
            <w:r w:rsidR="00013435" w:rsidRPr="00013435">
              <w:rPr>
                <w:rFonts w:cs="Arial"/>
                <w:szCs w:val="20"/>
              </w:rPr>
              <w:t>:</w:t>
            </w:r>
          </w:p>
          <w:p w14:paraId="2315291F" w14:textId="6A99E847" w:rsidR="00013435" w:rsidRPr="00013435" w:rsidRDefault="00013435" w:rsidP="00013435">
            <w:pPr>
              <w:rPr>
                <w:rFonts w:cs="Arial"/>
                <w:szCs w:val="20"/>
              </w:rPr>
            </w:pPr>
            <w:r>
              <w:rPr>
                <w:rFonts w:cs="Arial"/>
                <w:szCs w:val="20"/>
              </w:rPr>
              <w:t xml:space="preserve">     </w:t>
            </w:r>
            <w:r w:rsidRPr="00013435">
              <w:rPr>
                <w:rFonts w:cs="Arial"/>
                <w:szCs w:val="20"/>
              </w:rPr>
              <w:t xml:space="preserve">Sample volume for first test: 150 </w:t>
            </w:r>
            <w:r w:rsidRPr="00013435">
              <w:rPr>
                <w:rFonts w:cs="Arial" w:hint="eastAsia"/>
                <w:szCs w:val="20"/>
              </w:rPr>
              <w:t>μ</w:t>
            </w:r>
            <w:r w:rsidRPr="00013435">
              <w:rPr>
                <w:rFonts w:cs="Arial"/>
                <w:szCs w:val="20"/>
              </w:rPr>
              <w:t>L</w:t>
            </w:r>
          </w:p>
          <w:p w14:paraId="471779EF" w14:textId="2D70C9D4" w:rsidR="00013435" w:rsidRDefault="00013435" w:rsidP="00013435">
            <w:pPr>
              <w:rPr>
                <w:rFonts w:cs="Arial"/>
                <w:szCs w:val="20"/>
              </w:rPr>
            </w:pPr>
            <w:r>
              <w:rPr>
                <w:rFonts w:cs="Arial"/>
                <w:szCs w:val="20"/>
              </w:rPr>
              <w:t xml:space="preserve">     </w:t>
            </w:r>
            <w:r w:rsidRPr="00013435">
              <w:rPr>
                <w:rFonts w:cs="Arial"/>
                <w:szCs w:val="20"/>
              </w:rPr>
              <w:t>Sample volume for each additional test from same sample</w:t>
            </w:r>
            <w:r>
              <w:rPr>
                <w:rFonts w:cs="Arial"/>
                <w:szCs w:val="20"/>
              </w:rPr>
              <w:t xml:space="preserve"> </w:t>
            </w:r>
            <w:r w:rsidRPr="00013435">
              <w:rPr>
                <w:rFonts w:cs="Arial"/>
                <w:szCs w:val="20"/>
              </w:rPr>
              <w:t xml:space="preserve">cup: 34 </w:t>
            </w:r>
            <w:r w:rsidRPr="00013435">
              <w:rPr>
                <w:rFonts w:cs="Arial" w:hint="eastAsia"/>
                <w:szCs w:val="20"/>
              </w:rPr>
              <w:t>μ</w:t>
            </w:r>
            <w:r w:rsidRPr="00013435">
              <w:rPr>
                <w:rFonts w:cs="Arial"/>
                <w:szCs w:val="20"/>
              </w:rPr>
              <w:t>L</w:t>
            </w:r>
          </w:p>
          <w:p w14:paraId="1C30F171" w14:textId="77777777" w:rsidR="00013435" w:rsidRPr="00DC7421" w:rsidRDefault="00013435" w:rsidP="00013435">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1CBB4727" w:rsidR="0017089C" w:rsidRPr="00DC2A34" w:rsidRDefault="0017089C">
            <w:pPr>
              <w:pStyle w:val="Header"/>
              <w:tabs>
                <w:tab w:val="clear" w:pos="4320"/>
                <w:tab w:val="clear" w:pos="8640"/>
              </w:tabs>
              <w:rPr>
                <w:rFonts w:cs="Arial"/>
                <w:szCs w:val="20"/>
              </w:rPr>
            </w:pPr>
            <w:r w:rsidRPr="00DC2A34">
              <w:rPr>
                <w:rFonts w:cs="Arial"/>
                <w:b/>
                <w:szCs w:val="20"/>
              </w:rPr>
              <w:t>20 to 25°C</w:t>
            </w:r>
            <w:r w:rsidR="00437425" w:rsidRPr="00DC2A34">
              <w:rPr>
                <w:rFonts w:cs="Arial"/>
                <w:b/>
                <w:szCs w:val="20"/>
              </w:rPr>
              <w:tab/>
            </w:r>
            <w:r w:rsidR="00DC2A34">
              <w:rPr>
                <w:rFonts w:cs="Arial"/>
                <w:szCs w:val="20"/>
              </w:rPr>
              <w:t>Not specified.  Remove to storage at least once per shift.</w:t>
            </w:r>
          </w:p>
          <w:p w14:paraId="5CCFFF99" w14:textId="23048FD6" w:rsidR="00E3253B" w:rsidRPr="00DC2A34" w:rsidRDefault="00BD0AE4">
            <w:pPr>
              <w:pStyle w:val="Header"/>
              <w:tabs>
                <w:tab w:val="clear" w:pos="4320"/>
                <w:tab w:val="clear" w:pos="8640"/>
              </w:tabs>
              <w:rPr>
                <w:rFonts w:cs="Arial"/>
                <w:szCs w:val="20"/>
              </w:rPr>
            </w:pPr>
            <w:r w:rsidRPr="00DC2A34">
              <w:rPr>
                <w:rFonts w:cs="Arial"/>
                <w:b/>
                <w:szCs w:val="20"/>
              </w:rPr>
              <w:t>2 to 8°C</w:t>
            </w:r>
            <w:r w:rsidR="00437425" w:rsidRPr="00DC2A34">
              <w:rPr>
                <w:rFonts w:cs="Arial"/>
                <w:b/>
                <w:szCs w:val="20"/>
              </w:rPr>
              <w:tab/>
            </w:r>
            <w:r w:rsidR="00013435" w:rsidRPr="00DC2A34">
              <w:rPr>
                <w:rFonts w:cs="Arial"/>
                <w:szCs w:val="20"/>
              </w:rPr>
              <w:t>6 days</w:t>
            </w:r>
          </w:p>
          <w:p w14:paraId="594E4A3A" w14:textId="57A55A17" w:rsidR="00BD0AE4" w:rsidRDefault="00BD0AE4">
            <w:pPr>
              <w:pStyle w:val="Header"/>
              <w:tabs>
                <w:tab w:val="clear" w:pos="4320"/>
                <w:tab w:val="clear" w:pos="8640"/>
              </w:tabs>
              <w:rPr>
                <w:rFonts w:cs="Arial"/>
                <w:szCs w:val="20"/>
              </w:rPr>
            </w:pPr>
            <w:r w:rsidRPr="00DC2A34">
              <w:rPr>
                <w:rFonts w:cs="Arial"/>
                <w:b/>
                <w:szCs w:val="20"/>
              </w:rPr>
              <w:t>-20°C</w:t>
            </w:r>
            <w:r w:rsidR="00437425">
              <w:rPr>
                <w:rFonts w:cs="Arial"/>
                <w:szCs w:val="20"/>
              </w:rPr>
              <w:tab/>
            </w:r>
            <w:r w:rsidR="00437425">
              <w:rPr>
                <w:rFonts w:cs="Arial"/>
                <w:szCs w:val="20"/>
              </w:rPr>
              <w:tab/>
            </w:r>
            <w:r w:rsidR="00DC2A34">
              <w:rPr>
                <w:rFonts w:cs="Arial"/>
                <w:szCs w:val="20"/>
              </w:rPr>
              <w:t>14 days</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0D7D6279" w14:textId="77777777" w:rsidR="00EB61E3" w:rsidRPr="009E7068" w:rsidRDefault="00EB61E3" w:rsidP="00EB61E3">
            <w:pPr>
              <w:numPr>
                <w:ilvl w:val="0"/>
                <w:numId w:val="26"/>
              </w:numPr>
              <w:jc w:val="both"/>
              <w:rPr>
                <w:rFonts w:cs="Arial"/>
                <w:szCs w:val="20"/>
              </w:rPr>
            </w:pPr>
            <w:r w:rsidRPr="009E7068">
              <w:rPr>
                <w:rFonts w:cs="Arial"/>
                <w:szCs w:val="20"/>
              </w:rPr>
              <w:t>Whole blood specimens should be centrifuged following complete clot formation, according to Specimen Processing procedures prior to analysis.</w:t>
            </w:r>
          </w:p>
          <w:p w14:paraId="1E376552" w14:textId="77777777" w:rsidR="00EB61E3" w:rsidRPr="009E7068" w:rsidRDefault="00EB61E3" w:rsidP="00EB61E3">
            <w:pPr>
              <w:numPr>
                <w:ilvl w:val="0"/>
                <w:numId w:val="26"/>
              </w:numPr>
              <w:jc w:val="both"/>
              <w:rPr>
                <w:rFonts w:cs="Arial"/>
                <w:szCs w:val="20"/>
              </w:rPr>
            </w:pPr>
            <w:r w:rsidRPr="009E7068">
              <w:rPr>
                <w:rFonts w:cs="Arial"/>
                <w:szCs w:val="20"/>
              </w:rPr>
              <w:t>Serum or plasma should be physically separated from cells as soon as possible with a maximum limit of two hours from the time of collection.</w:t>
            </w:r>
          </w:p>
          <w:p w14:paraId="4E36B874" w14:textId="77777777" w:rsidR="00EB61E3" w:rsidRPr="009E7068" w:rsidRDefault="00EB61E3" w:rsidP="00EB61E3">
            <w:pPr>
              <w:numPr>
                <w:ilvl w:val="0"/>
                <w:numId w:val="26"/>
              </w:numPr>
              <w:jc w:val="both"/>
              <w:rPr>
                <w:rFonts w:cs="Arial"/>
                <w:szCs w:val="20"/>
              </w:rPr>
            </w:pPr>
            <w:r w:rsidRPr="009E7068">
              <w:rPr>
                <w:rFonts w:cs="Arial"/>
                <w:szCs w:val="20"/>
              </w:rPr>
              <w:t xml:space="preserve">Specimens should be free of particulate matter. </w:t>
            </w:r>
          </w:p>
          <w:p w14:paraId="244F26CA" w14:textId="77777777" w:rsidR="00EB61E3" w:rsidRPr="009E7068" w:rsidRDefault="00EB61E3" w:rsidP="00EB61E3">
            <w:pPr>
              <w:numPr>
                <w:ilvl w:val="0"/>
                <w:numId w:val="26"/>
              </w:numPr>
              <w:jc w:val="both"/>
              <w:rPr>
                <w:rFonts w:cs="Arial"/>
                <w:szCs w:val="20"/>
              </w:rPr>
            </w:pPr>
            <w:r w:rsidRPr="009E7068">
              <w:rPr>
                <w:rFonts w:cs="Arial"/>
                <w:szCs w:val="20"/>
              </w:rPr>
              <w:t xml:space="preserve">Transfer serum or plasma directly to a properly labeled pilot tube.  </w:t>
            </w:r>
          </w:p>
          <w:p w14:paraId="0B8FD566" w14:textId="77777777" w:rsidR="00EB61E3" w:rsidRPr="009E7068" w:rsidRDefault="00EB61E3" w:rsidP="00EB61E3">
            <w:pPr>
              <w:numPr>
                <w:ilvl w:val="0"/>
                <w:numId w:val="26"/>
              </w:numPr>
              <w:jc w:val="both"/>
              <w:rPr>
                <w:rFonts w:cs="Arial"/>
                <w:szCs w:val="20"/>
              </w:rPr>
            </w:pPr>
            <w:r w:rsidRPr="009E7068">
              <w:rPr>
                <w:rFonts w:cs="Arial"/>
                <w:szCs w:val="20"/>
              </w:rPr>
              <w:t xml:space="preserve">Architect and Alinity systems utilize a specimen level detect mechanism, so special racks specific to tube-type are not required.  </w:t>
            </w:r>
          </w:p>
          <w:p w14:paraId="27FA5E82" w14:textId="77777777" w:rsidR="00EB61E3" w:rsidRPr="009E7068" w:rsidRDefault="00EB61E3" w:rsidP="00EB61E3">
            <w:pPr>
              <w:numPr>
                <w:ilvl w:val="0"/>
                <w:numId w:val="26"/>
              </w:numPr>
              <w:jc w:val="both"/>
              <w:rPr>
                <w:rFonts w:cs="Arial"/>
                <w:szCs w:val="20"/>
              </w:rPr>
            </w:pPr>
            <w:r w:rsidRPr="009E7068">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E4A9A26" w14:textId="4AEEA424" w:rsidR="00013435" w:rsidRDefault="005125A4" w:rsidP="00013435">
            <w:pPr>
              <w:autoSpaceDE w:val="0"/>
              <w:autoSpaceDN w:val="0"/>
              <w:adjustRightInd w:val="0"/>
              <w:rPr>
                <w:rFonts w:cs="Arial"/>
                <w:bCs/>
                <w:szCs w:val="20"/>
              </w:rPr>
            </w:pPr>
            <w:r w:rsidRPr="00DC7421">
              <w:rPr>
                <w:rFonts w:cs="Arial"/>
                <w:b/>
                <w:bCs/>
                <w:color w:val="984806" w:themeColor="accent6" w:themeShade="80"/>
                <w:szCs w:val="20"/>
              </w:rPr>
              <w:t xml:space="preserve"> </w:t>
            </w:r>
          </w:p>
          <w:p w14:paraId="2D797EF1" w14:textId="3EE956D0" w:rsidR="00013435" w:rsidRDefault="00013435" w:rsidP="00013435">
            <w:pPr>
              <w:autoSpaceDE w:val="0"/>
              <w:autoSpaceDN w:val="0"/>
              <w:adjustRightInd w:val="0"/>
              <w:rPr>
                <w:rFonts w:cs="Arial"/>
                <w:bCs/>
                <w:szCs w:val="20"/>
              </w:rPr>
            </w:pPr>
            <w:r w:rsidRPr="00013435">
              <w:rPr>
                <w:rFonts w:cs="Arial"/>
                <w:bCs/>
                <w:szCs w:val="20"/>
              </w:rPr>
              <w:t>Upon receipt, gently invert the unopened reagent kit by rotating</w:t>
            </w:r>
            <w:r>
              <w:rPr>
                <w:rFonts w:cs="Arial"/>
                <w:bCs/>
                <w:szCs w:val="20"/>
              </w:rPr>
              <w:t xml:space="preserve"> </w:t>
            </w:r>
            <w:r w:rsidRPr="00013435">
              <w:rPr>
                <w:rFonts w:cs="Arial"/>
                <w:bCs/>
                <w:szCs w:val="20"/>
              </w:rPr>
              <w:t>it over and back for a full 180 degrees, 5 times with green label</w:t>
            </w:r>
            <w:r>
              <w:rPr>
                <w:rFonts w:cs="Arial"/>
                <w:bCs/>
                <w:szCs w:val="20"/>
              </w:rPr>
              <w:t xml:space="preserve"> </w:t>
            </w:r>
            <w:r w:rsidRPr="00013435">
              <w:rPr>
                <w:rFonts w:cs="Arial"/>
                <w:bCs/>
                <w:szCs w:val="20"/>
              </w:rPr>
              <w:t>stripe facing up and then 5 times with green label stripe facing</w:t>
            </w:r>
            <w:r>
              <w:rPr>
                <w:rFonts w:cs="Arial"/>
                <w:bCs/>
                <w:szCs w:val="20"/>
              </w:rPr>
              <w:t xml:space="preserve"> </w:t>
            </w:r>
            <w:r w:rsidRPr="00013435">
              <w:rPr>
                <w:rFonts w:cs="Arial"/>
                <w:bCs/>
                <w:szCs w:val="20"/>
              </w:rPr>
              <w:t>down. This ensures that liquid covers all sides of the bottles</w:t>
            </w:r>
            <w:r>
              <w:rPr>
                <w:rFonts w:cs="Arial"/>
                <w:bCs/>
                <w:szCs w:val="20"/>
              </w:rPr>
              <w:t xml:space="preserve"> </w:t>
            </w:r>
            <w:r w:rsidRPr="00013435">
              <w:rPr>
                <w:rFonts w:cs="Arial"/>
                <w:bCs/>
                <w:szCs w:val="20"/>
              </w:rPr>
              <w:t>within the cartr</w:t>
            </w:r>
            <w:r>
              <w:rPr>
                <w:rFonts w:cs="Arial"/>
                <w:bCs/>
                <w:szCs w:val="20"/>
              </w:rPr>
              <w:t xml:space="preserve">idges. During reagent shipment, </w:t>
            </w:r>
            <w:r w:rsidRPr="00013435">
              <w:rPr>
                <w:rFonts w:cs="Arial"/>
                <w:bCs/>
                <w:szCs w:val="20"/>
              </w:rPr>
              <w:t>microparticles</w:t>
            </w:r>
            <w:r>
              <w:rPr>
                <w:rFonts w:cs="Arial"/>
                <w:bCs/>
                <w:szCs w:val="20"/>
              </w:rPr>
              <w:t xml:space="preserve"> </w:t>
            </w:r>
            <w:r w:rsidRPr="00013435">
              <w:rPr>
                <w:rFonts w:cs="Arial"/>
                <w:bCs/>
                <w:szCs w:val="20"/>
              </w:rPr>
              <w:t>can settle on the reagent septum.</w:t>
            </w:r>
          </w:p>
          <w:p w14:paraId="18B43E75" w14:textId="77777777" w:rsidR="00013435" w:rsidRPr="00013435" w:rsidRDefault="00013435" w:rsidP="00013435">
            <w:pPr>
              <w:autoSpaceDE w:val="0"/>
              <w:autoSpaceDN w:val="0"/>
              <w:adjustRightInd w:val="0"/>
              <w:rPr>
                <w:rFonts w:cs="Arial"/>
                <w:bCs/>
                <w:szCs w:val="20"/>
              </w:rPr>
            </w:pPr>
          </w:p>
          <w:p w14:paraId="40B58B5B" w14:textId="6A62BF88" w:rsidR="00013435" w:rsidRPr="00EB61E3" w:rsidRDefault="00013435" w:rsidP="00013435">
            <w:pPr>
              <w:autoSpaceDE w:val="0"/>
              <w:autoSpaceDN w:val="0"/>
              <w:adjustRightInd w:val="0"/>
              <w:rPr>
                <w:rFonts w:cs="Arial"/>
                <w:b/>
                <w:bCs/>
                <w:szCs w:val="20"/>
              </w:rPr>
            </w:pPr>
            <w:r w:rsidRPr="00EB61E3">
              <w:rPr>
                <w:rFonts w:cs="Arial"/>
                <w:b/>
                <w:bCs/>
                <w:szCs w:val="20"/>
              </w:rPr>
              <w:t>Place a check in the square on the reagent kit to indicate to others that the inversions have been completed.</w:t>
            </w:r>
          </w:p>
          <w:p w14:paraId="695AC31C" w14:textId="77777777" w:rsidR="00013435" w:rsidRDefault="00013435" w:rsidP="00013435">
            <w:pPr>
              <w:autoSpaceDE w:val="0"/>
              <w:autoSpaceDN w:val="0"/>
              <w:adjustRightInd w:val="0"/>
              <w:rPr>
                <w:rFonts w:cs="Arial"/>
                <w:bCs/>
                <w:szCs w:val="20"/>
              </w:rPr>
            </w:pPr>
          </w:p>
          <w:p w14:paraId="3025A9E5" w14:textId="72C312CF" w:rsidR="007B410A" w:rsidRPr="00DC7421" w:rsidRDefault="00013435" w:rsidP="00013435">
            <w:pPr>
              <w:autoSpaceDE w:val="0"/>
              <w:autoSpaceDN w:val="0"/>
              <w:adjustRightInd w:val="0"/>
              <w:rPr>
                <w:rFonts w:cs="Arial"/>
                <w:color w:val="000000"/>
                <w:szCs w:val="20"/>
              </w:rPr>
            </w:pPr>
            <w:r>
              <w:rPr>
                <w:rFonts w:cs="Arial"/>
                <w:bCs/>
                <w:szCs w:val="20"/>
              </w:rPr>
              <w:t>After mixing place reagent kit in</w:t>
            </w:r>
            <w:r w:rsidR="007B410A">
              <w:rPr>
                <w:rFonts w:cs="Arial"/>
                <w:color w:val="000000"/>
                <w:szCs w:val="20"/>
              </w:rPr>
              <w:t xml:space="preserve"> upright position for 1 hour</w:t>
            </w:r>
            <w:r w:rsidR="007B410A" w:rsidRPr="00DC7421">
              <w:rPr>
                <w:rFonts w:cs="Arial"/>
                <w:color w:val="000000"/>
                <w:szCs w:val="20"/>
              </w:rPr>
              <w:t xml:space="preserve"> before use to allow bubbles that may have formed to dissipate. </w:t>
            </w:r>
          </w:p>
          <w:p w14:paraId="666CE016" w14:textId="4DC1A06E"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013435">
              <w:rPr>
                <w:rFonts w:cs="Arial"/>
                <w:color w:val="000000"/>
                <w:szCs w:val="20"/>
              </w:rPr>
              <w:t xml:space="preserve">1 </w:t>
            </w:r>
            <w:r w:rsidRPr="00DC7421">
              <w:rPr>
                <w:rFonts w:cs="Arial"/>
                <w:color w:val="000000"/>
                <w:szCs w:val="20"/>
              </w:rPr>
              <w:t xml:space="preserve">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47BB3415"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29EEC2FD" w:rsidR="0081197E" w:rsidRPr="00DC7421" w:rsidRDefault="00EB61E3" w:rsidP="00115DD6">
                  <w:pPr>
                    <w:autoSpaceDE w:val="0"/>
                    <w:autoSpaceDN w:val="0"/>
                    <w:adjustRightInd w:val="0"/>
                    <w:rPr>
                      <w:rFonts w:cs="Arial"/>
                      <w:szCs w:val="20"/>
                    </w:rPr>
                  </w:pPr>
                  <w:r>
                    <w:rPr>
                      <w:rFonts w:cs="Arial"/>
                      <w:szCs w:val="20"/>
                    </w:rPr>
                    <w:t>Alinity i Total</w:t>
                  </w:r>
                  <w:r w:rsidR="005C29DB" w:rsidRPr="005C29DB">
                    <w:rPr>
                      <w:rFonts w:cs="Arial"/>
                      <w:szCs w:val="20"/>
                    </w:rPr>
                    <w:t xml:space="preserve"> T4 </w:t>
                  </w:r>
                  <w:r w:rsidR="005C29DB">
                    <w:rPr>
                      <w:rFonts w:cs="Arial"/>
                      <w:szCs w:val="20"/>
                    </w:rPr>
                    <w:t xml:space="preserve">Reagent Kit </w:t>
                  </w:r>
                </w:p>
              </w:tc>
              <w:tc>
                <w:tcPr>
                  <w:tcW w:w="1710" w:type="dxa"/>
                  <w:vAlign w:val="center"/>
                </w:tcPr>
                <w:p w14:paraId="78062055" w14:textId="6E54ADB6" w:rsidR="0081197E" w:rsidRPr="00DC7421" w:rsidRDefault="005C29DB" w:rsidP="0081197E">
                  <w:pPr>
                    <w:pStyle w:val="BodyText"/>
                    <w:tabs>
                      <w:tab w:val="left" w:pos="3240"/>
                    </w:tabs>
                    <w:rPr>
                      <w:rFonts w:cs="Arial"/>
                      <w:szCs w:val="20"/>
                    </w:rPr>
                  </w:pPr>
                  <w:r w:rsidRPr="005C29DB">
                    <w:rPr>
                      <w:rFonts w:cs="Arial"/>
                      <w:szCs w:val="20"/>
                    </w:rPr>
                    <w:t>07P70</w:t>
                  </w:r>
                  <w:r w:rsidR="00EB61E3">
                    <w:rPr>
                      <w:rFonts w:cs="Arial"/>
                      <w:szCs w:val="20"/>
                    </w:rPr>
                    <w:t>20</w:t>
                  </w:r>
                </w:p>
              </w:tc>
              <w:tc>
                <w:tcPr>
                  <w:tcW w:w="4533" w:type="dxa"/>
                  <w:vAlign w:val="center"/>
                </w:tcPr>
                <w:p w14:paraId="1E13427C" w14:textId="04074B6A"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5C29DB" w:rsidRPr="005C29DB">
                    <w:rPr>
                      <w:rFonts w:ascii="Arial" w:hAnsi="Arial" w:cs="Arial"/>
                      <w:bCs/>
                    </w:rPr>
                    <w:t>2 to 8°C</w:t>
                  </w:r>
                </w:p>
                <w:p w14:paraId="188F00FD" w14:textId="66CC8EC0" w:rsidR="00115DD6" w:rsidRPr="00EB61E3" w:rsidRDefault="0081197E" w:rsidP="00EB61E3">
                  <w:pPr>
                    <w:autoSpaceDE w:val="0"/>
                    <w:autoSpaceDN w:val="0"/>
                    <w:adjustRightInd w:val="0"/>
                    <w:rPr>
                      <w:rFonts w:cs="Arial"/>
                      <w:b/>
                      <w:bCs/>
                      <w:szCs w:val="20"/>
                    </w:rPr>
                  </w:pPr>
                  <w:r w:rsidRPr="00DC7421">
                    <w:rPr>
                      <w:rFonts w:cs="Arial"/>
                      <w:b/>
                      <w:bCs/>
                    </w:rPr>
                    <w:t xml:space="preserve">Unopened: </w:t>
                  </w:r>
                  <w:r w:rsidR="00115DD6" w:rsidRPr="005C29DB">
                    <w:rPr>
                      <w:rFonts w:cs="Arial"/>
                      <w:bCs/>
                    </w:rPr>
                    <w:t xml:space="preserve">Until expiration </w:t>
                  </w:r>
                  <w:r w:rsidR="005C29DB">
                    <w:rPr>
                      <w:rFonts w:cs="Arial"/>
                      <w:bCs/>
                    </w:rPr>
                    <w:t>d</w:t>
                  </w:r>
                  <w:r w:rsidR="00115DD6" w:rsidRPr="005C29DB">
                    <w:rPr>
                      <w:rFonts w:cs="Arial"/>
                      <w:bCs/>
                    </w:rPr>
                    <w:t>ate</w:t>
                  </w:r>
                  <w:r w:rsidR="00EB61E3">
                    <w:rPr>
                      <w:rFonts w:cs="Arial"/>
                      <w:bCs/>
                    </w:rPr>
                    <w:t xml:space="preserve">.  </w:t>
                  </w:r>
                  <w:r w:rsidR="00EB61E3" w:rsidRPr="00EB61E3">
                    <w:rPr>
                      <w:rFonts w:eastAsia="HelenPro-Regular" w:cs="Arial"/>
                      <w:szCs w:val="20"/>
                    </w:rPr>
                    <w:t xml:space="preserve">Store in </w:t>
                  </w:r>
                  <w:r w:rsidR="00EB61E3">
                    <w:rPr>
                      <w:rFonts w:eastAsia="HelenPro-Regular" w:cs="Arial"/>
                      <w:szCs w:val="20"/>
                    </w:rPr>
                    <w:t>u</w:t>
                  </w:r>
                  <w:r w:rsidR="00EB61E3" w:rsidRPr="00EB61E3">
                    <w:rPr>
                      <w:rFonts w:eastAsia="HelenPro-Regular" w:cs="Arial"/>
                      <w:szCs w:val="20"/>
                    </w:rPr>
                    <w:t>pright position.</w:t>
                  </w:r>
                  <w:r w:rsidR="00EB61E3">
                    <w:rPr>
                      <w:rFonts w:eastAsia="HelenPro-Regular" w:cs="Arial"/>
                      <w:szCs w:val="20"/>
                    </w:rPr>
                    <w:t xml:space="preserve"> </w:t>
                  </w:r>
                  <w:r w:rsidR="00EB61E3" w:rsidRPr="00EB61E3">
                    <w:rPr>
                      <w:rFonts w:eastAsia="HelenPro-Regular" w:cs="Arial"/>
                      <w:szCs w:val="20"/>
                    </w:rPr>
                    <w:t>If cartridge does not</w:t>
                  </w:r>
                  <w:r w:rsidR="00EB61E3">
                    <w:rPr>
                      <w:rFonts w:eastAsia="HelenPro-Regular" w:cs="Arial"/>
                      <w:szCs w:val="20"/>
                    </w:rPr>
                    <w:t xml:space="preserve"> </w:t>
                  </w:r>
                  <w:r w:rsidR="00EB61E3" w:rsidRPr="00EB61E3">
                    <w:rPr>
                      <w:rFonts w:eastAsia="HelenPro-Regular" w:cs="Arial"/>
                      <w:szCs w:val="20"/>
                    </w:rPr>
                    <w:t>remain upright, gently</w:t>
                  </w:r>
                  <w:r w:rsidR="00EB61E3">
                    <w:rPr>
                      <w:rFonts w:eastAsia="HelenPro-Regular" w:cs="Arial"/>
                      <w:szCs w:val="20"/>
                    </w:rPr>
                    <w:t xml:space="preserve"> </w:t>
                  </w:r>
                  <w:r w:rsidR="00EB61E3" w:rsidRPr="00EB61E3">
                    <w:rPr>
                      <w:rFonts w:eastAsia="HelenPro-Regular" w:cs="Arial"/>
                      <w:szCs w:val="20"/>
                    </w:rPr>
                    <w:t>invert the cartridge 10</w:t>
                  </w:r>
                  <w:r w:rsidR="00EB61E3">
                    <w:rPr>
                      <w:rFonts w:eastAsia="HelenPro-Regular" w:cs="Arial"/>
                      <w:szCs w:val="20"/>
                    </w:rPr>
                    <w:t xml:space="preserve"> </w:t>
                  </w:r>
                  <w:r w:rsidR="00EB61E3" w:rsidRPr="00EB61E3">
                    <w:rPr>
                      <w:rFonts w:eastAsia="HelenPro-Regular" w:cs="Arial"/>
                      <w:szCs w:val="20"/>
                    </w:rPr>
                    <w:t>times and place in an</w:t>
                  </w:r>
                  <w:r w:rsidR="00EB61E3">
                    <w:rPr>
                      <w:rFonts w:eastAsia="HelenPro-Regular" w:cs="Arial"/>
                      <w:szCs w:val="20"/>
                    </w:rPr>
                    <w:t xml:space="preserve"> </w:t>
                  </w:r>
                  <w:r w:rsidR="00EB61E3" w:rsidRPr="00EB61E3">
                    <w:rPr>
                      <w:rFonts w:eastAsia="HelenPro-Regular" w:cs="Arial"/>
                      <w:szCs w:val="20"/>
                    </w:rPr>
                    <w:t>upright position for 1 hour</w:t>
                  </w:r>
                  <w:r w:rsidR="00EB61E3">
                    <w:rPr>
                      <w:rFonts w:eastAsia="HelenPro-Regular" w:cs="Arial"/>
                      <w:szCs w:val="20"/>
                    </w:rPr>
                    <w:t xml:space="preserve"> </w:t>
                  </w:r>
                  <w:r w:rsidR="00EB61E3" w:rsidRPr="00EB61E3">
                    <w:rPr>
                      <w:rFonts w:eastAsia="HelenPro-Regular" w:cs="Arial"/>
                      <w:szCs w:val="20"/>
                    </w:rPr>
                    <w:t>before use.</w:t>
                  </w:r>
                </w:p>
                <w:p w14:paraId="2EC74C2E" w14:textId="27D48E12"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5C29DB">
                    <w:rPr>
                      <w:rFonts w:ascii="Arial" w:hAnsi="Arial" w:cs="Arial"/>
                      <w:bCs/>
                    </w:rPr>
                    <w:t>30 days</w:t>
                  </w:r>
                </w:p>
                <w:p w14:paraId="7DDF67AF" w14:textId="5EE61E03" w:rsidR="00EB61E3" w:rsidRPr="00EB61E3" w:rsidRDefault="00EB61E3" w:rsidP="00EB61E3">
                  <w:pPr>
                    <w:pStyle w:val="Reagents"/>
                    <w:spacing w:after="80"/>
                    <w:rPr>
                      <w:rFonts w:ascii="Arial" w:hAnsi="Arial" w:cs="Arial"/>
                      <w:bCs/>
                    </w:rPr>
                  </w:pPr>
                  <w:r w:rsidRPr="00EB61E3">
                    <w:rPr>
                      <w:rFonts w:ascii="Arial" w:hAnsi="Arial" w:cs="Arial"/>
                      <w:bCs/>
                    </w:rPr>
                    <w:t>Store in upright position.</w:t>
                  </w:r>
                  <w:r>
                    <w:rPr>
                      <w:rFonts w:ascii="Arial" w:hAnsi="Arial" w:cs="Arial"/>
                      <w:bCs/>
                    </w:rPr>
                    <w:t xml:space="preserve"> </w:t>
                  </w:r>
                  <w:r w:rsidRPr="00EB61E3">
                    <w:rPr>
                      <w:rFonts w:ascii="Arial" w:hAnsi="Arial" w:cs="Arial"/>
                      <w:bCs/>
                    </w:rPr>
                    <w:t>If cartridge does not</w:t>
                  </w:r>
                  <w:r>
                    <w:rPr>
                      <w:rFonts w:ascii="Arial" w:hAnsi="Arial" w:cs="Arial"/>
                      <w:bCs/>
                    </w:rPr>
                    <w:t xml:space="preserve"> </w:t>
                  </w:r>
                  <w:r w:rsidRPr="00EB61E3">
                    <w:rPr>
                      <w:rFonts w:ascii="Arial" w:hAnsi="Arial" w:cs="Arial"/>
                      <w:bCs/>
                    </w:rPr>
                    <w:t>remain upright during</w:t>
                  </w:r>
                  <w:r>
                    <w:rPr>
                      <w:rFonts w:ascii="Arial" w:hAnsi="Arial" w:cs="Arial"/>
                      <w:bCs/>
                    </w:rPr>
                    <w:t xml:space="preserve"> </w:t>
                  </w:r>
                  <w:r w:rsidRPr="00EB61E3">
                    <w:rPr>
                      <w:rFonts w:ascii="Arial" w:hAnsi="Arial" w:cs="Arial"/>
                      <w:bCs/>
                    </w:rPr>
                    <w:t>storage, discard the</w:t>
                  </w:r>
                  <w:r>
                    <w:rPr>
                      <w:rFonts w:ascii="Arial" w:hAnsi="Arial" w:cs="Arial"/>
                      <w:bCs/>
                    </w:rPr>
                    <w:t xml:space="preserve"> </w:t>
                  </w:r>
                  <w:r w:rsidRPr="00EB61E3">
                    <w:rPr>
                      <w:rFonts w:ascii="Arial" w:hAnsi="Arial" w:cs="Arial"/>
                      <w:bCs/>
                    </w:rPr>
                    <w:t>cartridge.</w:t>
                  </w:r>
                </w:p>
                <w:p w14:paraId="37A5CA75" w14:textId="77777777" w:rsidR="0081197E" w:rsidRDefault="00EB61E3" w:rsidP="00EB61E3">
                  <w:pPr>
                    <w:pStyle w:val="Reagents"/>
                    <w:spacing w:after="80"/>
                    <w:rPr>
                      <w:rFonts w:ascii="Arial" w:hAnsi="Arial" w:cs="Arial"/>
                      <w:bCs/>
                    </w:rPr>
                  </w:pPr>
                  <w:r w:rsidRPr="00EB61E3">
                    <w:rPr>
                      <w:rFonts w:ascii="Arial" w:hAnsi="Arial" w:cs="Arial"/>
                      <w:bCs/>
                    </w:rPr>
                    <w:t>Do not reuse original</w:t>
                  </w:r>
                  <w:r>
                    <w:rPr>
                      <w:rFonts w:ascii="Arial" w:hAnsi="Arial" w:cs="Arial"/>
                      <w:bCs/>
                    </w:rPr>
                    <w:t xml:space="preserve"> </w:t>
                  </w:r>
                  <w:r w:rsidRPr="00EB61E3">
                    <w:rPr>
                      <w:rFonts w:ascii="Arial" w:hAnsi="Arial" w:cs="Arial"/>
                      <w:bCs/>
                    </w:rPr>
                    <w:t>reagent caps or</w:t>
                  </w:r>
                  <w:r>
                    <w:rPr>
                      <w:rFonts w:ascii="Arial" w:hAnsi="Arial" w:cs="Arial"/>
                      <w:bCs/>
                    </w:rPr>
                    <w:t xml:space="preserve"> </w:t>
                  </w:r>
                  <w:r w:rsidRPr="00EB61E3">
                    <w:rPr>
                      <w:rFonts w:ascii="Arial" w:hAnsi="Arial" w:cs="Arial"/>
                      <w:bCs/>
                    </w:rPr>
                    <w:t>replacement caps due to</w:t>
                  </w:r>
                  <w:r>
                    <w:rPr>
                      <w:rFonts w:ascii="Arial" w:hAnsi="Arial" w:cs="Arial"/>
                      <w:bCs/>
                    </w:rPr>
                    <w:t xml:space="preserve"> </w:t>
                  </w:r>
                  <w:r w:rsidRPr="00EB61E3">
                    <w:rPr>
                      <w:rFonts w:ascii="Arial" w:hAnsi="Arial" w:cs="Arial"/>
                      <w:bCs/>
                    </w:rPr>
                    <w:t xml:space="preserve">the risk of </w:t>
                  </w:r>
                  <w:r>
                    <w:rPr>
                      <w:rFonts w:ascii="Arial" w:hAnsi="Arial" w:cs="Arial"/>
                      <w:bCs/>
                    </w:rPr>
                    <w:t>c</w:t>
                  </w:r>
                  <w:r w:rsidRPr="00EB61E3">
                    <w:rPr>
                      <w:rFonts w:ascii="Arial" w:hAnsi="Arial" w:cs="Arial"/>
                      <w:bCs/>
                    </w:rPr>
                    <w:t>ontamination</w:t>
                  </w:r>
                  <w:r>
                    <w:rPr>
                      <w:rFonts w:ascii="Arial" w:hAnsi="Arial" w:cs="Arial"/>
                      <w:bCs/>
                    </w:rPr>
                    <w:t xml:space="preserve"> </w:t>
                  </w:r>
                  <w:r w:rsidRPr="00EB61E3">
                    <w:rPr>
                      <w:rFonts w:ascii="Arial" w:hAnsi="Arial" w:cs="Arial"/>
                      <w:bCs/>
                    </w:rPr>
                    <w:t>and potential to</w:t>
                  </w:r>
                  <w:r>
                    <w:rPr>
                      <w:rFonts w:ascii="Arial" w:hAnsi="Arial" w:cs="Arial"/>
                      <w:bCs/>
                    </w:rPr>
                    <w:t xml:space="preserve"> </w:t>
                  </w:r>
                  <w:r w:rsidRPr="00EB61E3">
                    <w:rPr>
                      <w:rFonts w:ascii="Arial" w:hAnsi="Arial" w:cs="Arial"/>
                      <w:bCs/>
                    </w:rPr>
                    <w:t>compromise reagent</w:t>
                  </w:r>
                  <w:r>
                    <w:rPr>
                      <w:rFonts w:ascii="Arial" w:hAnsi="Arial" w:cs="Arial"/>
                      <w:bCs/>
                    </w:rPr>
                    <w:t xml:space="preserve"> </w:t>
                  </w:r>
                  <w:r w:rsidRPr="00EB61E3">
                    <w:rPr>
                      <w:rFonts w:ascii="Arial" w:hAnsi="Arial" w:cs="Arial"/>
                      <w:bCs/>
                    </w:rPr>
                    <w:t>performance.</w:t>
                  </w:r>
                </w:p>
                <w:p w14:paraId="2EC23D08" w14:textId="1856090C" w:rsidR="00EB61E3" w:rsidRPr="003F688A" w:rsidRDefault="00EB61E3" w:rsidP="00EB61E3">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11D755C2" w:rsidR="0081197E" w:rsidRPr="00DC7421" w:rsidRDefault="00EB61E3" w:rsidP="0081197E">
                  <w:pPr>
                    <w:pStyle w:val="BodyText"/>
                    <w:spacing w:after="0"/>
                    <w:rPr>
                      <w:rFonts w:cs="Arial"/>
                      <w:szCs w:val="20"/>
                    </w:rPr>
                  </w:pPr>
                  <w:r>
                    <w:rPr>
                      <w:rFonts w:cs="Arial"/>
                      <w:szCs w:val="20"/>
                    </w:rPr>
                    <w:t>Alinity i Total T4 Calibrator</w:t>
                  </w:r>
                  <w:r w:rsidRPr="00EB61E3">
                    <w:rPr>
                      <w:rFonts w:cs="Arial"/>
                      <w:szCs w:val="20"/>
                    </w:rPr>
                    <w:t xml:space="preserve"> Kit</w:t>
                  </w:r>
                </w:p>
              </w:tc>
              <w:tc>
                <w:tcPr>
                  <w:tcW w:w="1710" w:type="dxa"/>
                  <w:vAlign w:val="center"/>
                </w:tcPr>
                <w:p w14:paraId="1C065F4D" w14:textId="712517E1" w:rsidR="0081197E" w:rsidRPr="00DC7421" w:rsidRDefault="005C29DB" w:rsidP="005C29DB">
                  <w:pPr>
                    <w:rPr>
                      <w:rFonts w:cs="Arial"/>
                      <w:szCs w:val="20"/>
                    </w:rPr>
                  </w:pPr>
                  <w:r w:rsidRPr="005C29DB">
                    <w:rPr>
                      <w:rFonts w:cs="Arial"/>
                      <w:bCs/>
                      <w:szCs w:val="20"/>
                    </w:rPr>
                    <w:t>07P7001</w:t>
                  </w:r>
                </w:p>
              </w:tc>
              <w:tc>
                <w:tcPr>
                  <w:tcW w:w="4533" w:type="dxa"/>
                  <w:vAlign w:val="center"/>
                </w:tcPr>
                <w:p w14:paraId="3B82C64B" w14:textId="4A7AB9ED"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5C29DB" w:rsidRPr="005C29DB">
                    <w:rPr>
                      <w:rFonts w:ascii="Arial" w:hAnsi="Arial" w:cs="Arial"/>
                      <w:bCs/>
                    </w:rPr>
                    <w:t>2 to 8°C</w:t>
                  </w:r>
                </w:p>
                <w:p w14:paraId="22FE035D" w14:textId="0D01B591"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005C29DB" w:rsidRPr="005C29DB">
                    <w:rPr>
                      <w:rFonts w:ascii="Arial" w:hAnsi="Arial" w:cs="Arial"/>
                      <w:bCs/>
                    </w:rPr>
                    <w:t xml:space="preserve">Until </w:t>
                  </w:r>
                  <w:r w:rsidR="00EB61E3">
                    <w:rPr>
                      <w:rFonts w:ascii="Arial" w:hAnsi="Arial" w:cs="Arial"/>
                      <w:bCs/>
                    </w:rPr>
                    <w:t xml:space="preserve">printed </w:t>
                  </w:r>
                  <w:r w:rsidR="005C29DB" w:rsidRPr="005C29DB">
                    <w:rPr>
                      <w:rFonts w:ascii="Arial" w:hAnsi="Arial" w:cs="Arial"/>
                      <w:bCs/>
                    </w:rPr>
                    <w:t xml:space="preserve">expiration </w:t>
                  </w:r>
                  <w:r w:rsidR="005C29DB">
                    <w:rPr>
                      <w:rFonts w:ascii="Arial" w:hAnsi="Arial" w:cs="Arial"/>
                      <w:bCs/>
                    </w:rPr>
                    <w:t>d</w:t>
                  </w:r>
                  <w:r w:rsidR="005C29DB" w:rsidRPr="005C29DB">
                    <w:rPr>
                      <w:rFonts w:ascii="Arial" w:hAnsi="Arial" w:cs="Arial"/>
                      <w:bCs/>
                    </w:rPr>
                    <w:t>ate</w:t>
                  </w:r>
                </w:p>
                <w:p w14:paraId="381332A9" w14:textId="1A20D9C6" w:rsidR="00EB61E3" w:rsidRPr="00EB61E3" w:rsidRDefault="0081197E" w:rsidP="00EB61E3">
                  <w:pPr>
                    <w:pStyle w:val="BodyText"/>
                    <w:spacing w:after="80"/>
                    <w:rPr>
                      <w:rFonts w:cs="Arial"/>
                      <w:bCs/>
                    </w:rPr>
                  </w:pPr>
                  <w:r w:rsidRPr="00DC7421">
                    <w:rPr>
                      <w:rFonts w:cs="Arial"/>
                      <w:b/>
                      <w:bCs/>
                      <w:szCs w:val="20"/>
                    </w:rPr>
                    <w:t xml:space="preserve">Opened expiration: </w:t>
                  </w:r>
                  <w:r w:rsidR="005C29DB" w:rsidRPr="005C29DB">
                    <w:rPr>
                      <w:rFonts w:cs="Arial"/>
                      <w:bCs/>
                    </w:rPr>
                    <w:t xml:space="preserve">Until expiration </w:t>
                  </w:r>
                  <w:r w:rsidR="005C29DB">
                    <w:rPr>
                      <w:rFonts w:cs="Arial"/>
                      <w:bCs/>
                    </w:rPr>
                    <w:t>d</w:t>
                  </w:r>
                  <w:r w:rsidR="005C29DB" w:rsidRPr="005C29DB">
                    <w:rPr>
                      <w:rFonts w:cs="Arial"/>
                      <w:bCs/>
                    </w:rPr>
                    <w:t>ate</w:t>
                  </w:r>
                  <w:r w:rsidR="00EB61E3">
                    <w:rPr>
                      <w:rFonts w:cs="Arial"/>
                      <w:bCs/>
                    </w:rPr>
                    <w:t xml:space="preserve">. </w:t>
                  </w:r>
                  <w:r w:rsidR="00EB61E3" w:rsidRPr="00EB61E3">
                    <w:rPr>
                      <w:rFonts w:cs="Arial"/>
                      <w:bCs/>
                    </w:rPr>
                    <w:t>Store</w:t>
                  </w:r>
                  <w:r w:rsidR="00EB61E3">
                    <w:rPr>
                      <w:rFonts w:cs="Arial"/>
                      <w:bCs/>
                    </w:rPr>
                    <w:t xml:space="preserve"> tightly capped with </w:t>
                  </w:r>
                  <w:r w:rsidR="00EB61E3" w:rsidRPr="00EB61E3">
                    <w:rPr>
                      <w:rFonts w:cs="Arial"/>
                      <w:bCs/>
                    </w:rPr>
                    <w:t>new replacement cap.</w:t>
                  </w:r>
                </w:p>
                <w:p w14:paraId="39EF0C08" w14:textId="77777777" w:rsidR="0081197E" w:rsidRDefault="00EB61E3" w:rsidP="00EB61E3">
                  <w:pPr>
                    <w:pStyle w:val="BodyText"/>
                    <w:spacing w:after="80"/>
                    <w:rPr>
                      <w:rFonts w:cs="Arial"/>
                      <w:bCs/>
                    </w:rPr>
                  </w:pPr>
                  <w:r w:rsidRPr="00EB61E3">
                    <w:rPr>
                      <w:rFonts w:cs="Arial"/>
                      <w:bCs/>
                    </w:rPr>
                    <w:t>Return to refrigerated</w:t>
                  </w:r>
                  <w:r>
                    <w:rPr>
                      <w:rFonts w:cs="Arial"/>
                      <w:bCs/>
                    </w:rPr>
                    <w:t xml:space="preserve"> </w:t>
                  </w:r>
                  <w:r w:rsidRPr="00EB61E3">
                    <w:rPr>
                      <w:rFonts w:cs="Arial"/>
                      <w:bCs/>
                    </w:rPr>
                    <w:t>storage after use.</w:t>
                  </w:r>
                  <w:r>
                    <w:rPr>
                      <w:rFonts w:cs="Arial"/>
                      <w:bCs/>
                    </w:rPr>
                    <w:t xml:space="preserve"> </w:t>
                  </w:r>
                </w:p>
                <w:p w14:paraId="40392E01" w14:textId="18C87D85" w:rsidR="00EB61E3" w:rsidRPr="00EB61E3" w:rsidRDefault="00EB61E3" w:rsidP="00EB61E3">
                  <w:pPr>
                    <w:pStyle w:val="BodyText"/>
                    <w:spacing w:after="80"/>
                    <w:rPr>
                      <w:rFonts w:cs="Arial"/>
                      <w:szCs w:val="20"/>
                    </w:rPr>
                  </w:pPr>
                  <w:r w:rsidRPr="00EB61E3">
                    <w:rPr>
                      <w:rFonts w:cs="Arial"/>
                      <w:szCs w:val="20"/>
                    </w:rPr>
                    <w:t>The analyzer will track In-use Stability, which is the time the</w:t>
                  </w:r>
                  <w:r>
                    <w:rPr>
                      <w:rFonts w:cs="Arial"/>
                      <w:szCs w:val="20"/>
                    </w:rPr>
                    <w:t xml:space="preserve"> </w:t>
                  </w:r>
                  <w:r w:rsidRPr="00EB61E3">
                    <w:rPr>
                      <w:rFonts w:cs="Arial"/>
                      <w:szCs w:val="20"/>
                    </w:rPr>
                    <w:t>calibrator is outside of refrigerated storage while on the analyzer.</w:t>
                  </w:r>
                </w:p>
                <w:p w14:paraId="4F217090" w14:textId="09048EB1" w:rsidR="00EB61E3" w:rsidRPr="00EB61E3" w:rsidRDefault="00EB61E3" w:rsidP="00EB61E3">
                  <w:pPr>
                    <w:pStyle w:val="BodyText"/>
                    <w:spacing w:after="80"/>
                    <w:rPr>
                      <w:rFonts w:cs="Arial"/>
                      <w:szCs w:val="20"/>
                    </w:rPr>
                  </w:pPr>
                  <w:r w:rsidRPr="00EB61E3">
                    <w:rPr>
                      <w:rFonts w:cs="Arial"/>
                      <w:szCs w:val="20"/>
                    </w:rPr>
                    <w:t>The analyzer will not allow the use of the calibrator if the In-use</w:t>
                  </w:r>
                  <w:r>
                    <w:rPr>
                      <w:rFonts w:cs="Arial"/>
                      <w:szCs w:val="20"/>
                    </w:rPr>
                    <w:t xml:space="preserve"> </w:t>
                  </w:r>
                  <w:r w:rsidRPr="00EB61E3">
                    <w:rPr>
                      <w:rFonts w:cs="Arial"/>
                      <w:szCs w:val="20"/>
                    </w:rPr>
                    <w:t>Stability has been exceeded. Maximum In-use Stability can be</w:t>
                  </w:r>
                  <w:r>
                    <w:rPr>
                      <w:rFonts w:cs="Arial"/>
                      <w:szCs w:val="20"/>
                    </w:rPr>
                    <w:t xml:space="preserve"> </w:t>
                  </w:r>
                  <w:r w:rsidRPr="00EB61E3">
                    <w:rPr>
                      <w:rFonts w:cs="Arial"/>
                      <w:szCs w:val="20"/>
                    </w:rPr>
                    <w:t>found in the Assay Parameter Report. For</w:t>
                  </w:r>
                  <w:r>
                    <w:rPr>
                      <w:rFonts w:cs="Arial"/>
                      <w:szCs w:val="20"/>
                    </w:rPr>
                    <w:t xml:space="preserve"> additional information on </w:t>
                  </w:r>
                  <w:r w:rsidRPr="00EB61E3">
                    <w:rPr>
                      <w:rFonts w:cs="Arial"/>
                      <w:szCs w:val="20"/>
                    </w:rPr>
                    <w:t>calibrator In-use</w:t>
                  </w:r>
                  <w:r>
                    <w:rPr>
                      <w:rFonts w:cs="Arial"/>
                      <w:szCs w:val="20"/>
                    </w:rPr>
                    <w:t xml:space="preserve"> </w:t>
                  </w:r>
                  <w:r w:rsidRPr="00EB61E3">
                    <w:rPr>
                      <w:rFonts w:cs="Arial"/>
                      <w:szCs w:val="20"/>
                    </w:rPr>
                    <w:t>Stability, refer to the Alinity ci-series Operations</w:t>
                  </w:r>
                  <w:r>
                    <w:rPr>
                      <w:rFonts w:cs="Arial"/>
                      <w:szCs w:val="20"/>
                    </w:rPr>
                    <w:t xml:space="preserve"> </w:t>
                  </w:r>
                  <w:r w:rsidRPr="00EB61E3">
                    <w:rPr>
                      <w:rFonts w:cs="Arial"/>
                      <w:szCs w:val="20"/>
                    </w:rPr>
                    <w:t>Manual, Section 5.</w:t>
                  </w:r>
                </w:p>
                <w:p w14:paraId="407A8D2E" w14:textId="77777777" w:rsidR="00EB61E3" w:rsidRDefault="00EB61E3" w:rsidP="00EB61E3">
                  <w:pPr>
                    <w:pStyle w:val="BodyText"/>
                    <w:spacing w:after="80"/>
                    <w:rPr>
                      <w:rFonts w:cs="Arial"/>
                      <w:szCs w:val="20"/>
                    </w:rPr>
                  </w:pPr>
                  <w:r w:rsidRPr="00EB61E3">
                    <w:rPr>
                      <w:rFonts w:cs="Arial"/>
                      <w:szCs w:val="20"/>
                    </w:rPr>
                    <w:t>For additional information on printing assay parameters, refer to the</w:t>
                  </w:r>
                  <w:r>
                    <w:rPr>
                      <w:rFonts w:cs="Arial"/>
                      <w:szCs w:val="20"/>
                    </w:rPr>
                    <w:t xml:space="preserve"> </w:t>
                  </w:r>
                  <w:r w:rsidRPr="00EB61E3">
                    <w:rPr>
                      <w:rFonts w:cs="Arial"/>
                      <w:szCs w:val="20"/>
                    </w:rPr>
                    <w:t>Alinity ci-series Operations Manual, Section 5.</w:t>
                  </w:r>
                </w:p>
                <w:p w14:paraId="05D3D1A4" w14:textId="2D4162DD" w:rsidR="00EB61E3" w:rsidRPr="00DC7421" w:rsidRDefault="00EB61E3" w:rsidP="00EB61E3">
                  <w:pPr>
                    <w:pStyle w:val="BodyText"/>
                    <w:spacing w:after="80"/>
                    <w:rPr>
                      <w:rFonts w:cs="Arial"/>
                      <w:szCs w:val="20"/>
                    </w:rPr>
                  </w:pP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48B06969" w14:textId="0F60D9A7" w:rsidR="008577F5" w:rsidRDefault="005C29DB" w:rsidP="00645AF5">
            <w:pPr>
              <w:rPr>
                <w:szCs w:val="20"/>
              </w:rPr>
            </w:pPr>
            <w:r w:rsidRPr="005C29DB">
              <w:rPr>
                <w:b/>
                <w:bCs/>
                <w:szCs w:val="20"/>
              </w:rPr>
              <w:t xml:space="preserve">CAUTION: </w:t>
            </w:r>
            <w:r w:rsidRPr="005C29DB">
              <w:rPr>
                <w:szCs w:val="20"/>
              </w:rPr>
              <w:t>This product requires the handling of human specimens.</w:t>
            </w:r>
            <w:r>
              <w:rPr>
                <w:szCs w:val="20"/>
              </w:rPr>
              <w:t xml:space="preserve"> </w:t>
            </w:r>
            <w:r w:rsidRPr="005C29DB">
              <w:rPr>
                <w:szCs w:val="20"/>
              </w:rPr>
              <w:t>It is recommended that all human-sourced materials be considered</w:t>
            </w:r>
            <w:r>
              <w:rPr>
                <w:szCs w:val="20"/>
              </w:rPr>
              <w:t xml:space="preserve"> </w:t>
            </w:r>
            <w:r w:rsidRPr="005C29DB">
              <w:rPr>
                <w:szCs w:val="20"/>
              </w:rPr>
              <w:t>potentially infectious and handled in accordance with the OSHA</w:t>
            </w:r>
            <w:r>
              <w:rPr>
                <w:szCs w:val="20"/>
              </w:rPr>
              <w:t xml:space="preserve"> </w:t>
            </w:r>
            <w:r w:rsidRPr="005C29DB">
              <w:rPr>
                <w:szCs w:val="20"/>
              </w:rPr>
              <w:t>Standard on Bloodborne Pathogens. Biosafety Level 2 or other</w:t>
            </w:r>
            <w:r>
              <w:rPr>
                <w:szCs w:val="20"/>
              </w:rPr>
              <w:t xml:space="preserve"> </w:t>
            </w:r>
            <w:r w:rsidRPr="005C29DB">
              <w:rPr>
                <w:szCs w:val="20"/>
              </w:rPr>
              <w:t>appropriate biosafety practices should be used for materials that</w:t>
            </w:r>
            <w:r>
              <w:rPr>
                <w:szCs w:val="20"/>
              </w:rPr>
              <w:t xml:space="preserve"> </w:t>
            </w:r>
            <w:r w:rsidRPr="005C29DB">
              <w:rPr>
                <w:szCs w:val="20"/>
              </w:rPr>
              <w:t>contain or are suspected of containing infectious agents</w:t>
            </w:r>
          </w:p>
          <w:p w14:paraId="029F39FC" w14:textId="77777777" w:rsidR="00645AF5" w:rsidRDefault="00645AF5" w:rsidP="008577F5">
            <w:pPr>
              <w:rPr>
                <w:szCs w:val="20"/>
              </w:rPr>
            </w:pPr>
          </w:p>
          <w:p w14:paraId="5641D035" w14:textId="56011569" w:rsidR="008577F5" w:rsidRDefault="00645AF5" w:rsidP="008577F5">
            <w:pPr>
              <w:rPr>
                <w:szCs w:val="20"/>
              </w:rPr>
            </w:pPr>
            <w:r>
              <w:rPr>
                <w:szCs w:val="20"/>
              </w:rPr>
              <w:t xml:space="preserve"> Special reagent disposal not indicated. </w:t>
            </w:r>
          </w:p>
          <w:p w14:paraId="31802E0C" w14:textId="77777777" w:rsidR="00645AF5" w:rsidRPr="005C29DB" w:rsidRDefault="00645AF5" w:rsidP="008577F5">
            <w:pPr>
              <w:rPr>
                <w:szCs w:val="20"/>
              </w:rPr>
            </w:pPr>
          </w:p>
          <w:p w14:paraId="09CAE554" w14:textId="77777777" w:rsidR="007B2A3E" w:rsidRDefault="009475C8" w:rsidP="007B2A3E">
            <w:r>
              <w:rPr>
                <w:szCs w:val="20"/>
              </w:rPr>
              <w:t xml:space="preserve">Safety data sheets (MSDS/SDS) available on </w:t>
            </w:r>
            <w:hyperlink r:id="rId12" w:history="1">
              <w:r w:rsidRPr="00D302B9">
                <w:rPr>
                  <w:rStyle w:val="Hyperlink"/>
                  <w:szCs w:val="20"/>
                </w:rPr>
                <w:t>Children’s Intranet</w:t>
              </w:r>
            </w:hyperlink>
          </w:p>
          <w:p w14:paraId="5CCFFFD0" w14:textId="118A82DC" w:rsidR="00645AF5" w:rsidRPr="00645AF5" w:rsidRDefault="00645AF5" w:rsidP="007B2A3E"/>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3886EFD5"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42A77523" w:rsidR="00F50200" w:rsidRPr="00DC7421" w:rsidRDefault="00EB61E3" w:rsidP="00A32948">
                  <w:pPr>
                    <w:pStyle w:val="CalVerTable"/>
                    <w:ind w:left="0" w:firstLine="0"/>
                    <w:rPr>
                      <w:rFonts w:ascii="Arial" w:hAnsi="Arial" w:cs="Arial"/>
                    </w:rPr>
                  </w:pPr>
                  <w:r>
                    <w:rPr>
                      <w:rFonts w:ascii="Arial" w:hAnsi="Arial" w:cs="Arial"/>
                    </w:rPr>
                    <w:t xml:space="preserve">3.0 – 24.0 </w:t>
                  </w:r>
                  <w:r w:rsidRPr="00EB61E3">
                    <w:rPr>
                      <w:rFonts w:ascii="Arial" w:hAnsi="Arial" w:cs="Arial"/>
                    </w:rPr>
                    <w:t>µg/dL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57099EC7" w:rsidR="00F50200" w:rsidRPr="00DC7421" w:rsidRDefault="00EB61E3" w:rsidP="00440E37">
                  <w:pPr>
                    <w:pStyle w:val="BodyText"/>
                    <w:rPr>
                      <w:rFonts w:cs="Arial"/>
                      <w:szCs w:val="20"/>
                    </w:rPr>
                  </w:pPr>
                  <w:r w:rsidRPr="00EB61E3">
                    <w:rPr>
                      <w:rFonts w:cs="Arial"/>
                      <w:szCs w:val="20"/>
                    </w:rPr>
                    <w:t>Alinity i Total T4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271D2684" w14:textId="77777777" w:rsidR="005B66A7" w:rsidRDefault="00EB61E3" w:rsidP="001D1786">
                  <w:pPr>
                    <w:pStyle w:val="CalVerTable"/>
                    <w:ind w:left="0" w:firstLine="0"/>
                    <w:rPr>
                      <w:rFonts w:ascii="Arial" w:hAnsi="Arial" w:cs="Arial"/>
                    </w:rPr>
                  </w:pPr>
                  <w:r>
                    <w:rPr>
                      <w:rFonts w:ascii="Arial" w:hAnsi="Arial" w:cs="Arial"/>
                    </w:rPr>
                    <w:t>CAL A: 0.0</w:t>
                  </w:r>
                </w:p>
                <w:p w14:paraId="5E3965D4" w14:textId="77777777" w:rsidR="00EB61E3" w:rsidRDefault="00EB61E3" w:rsidP="001D1786">
                  <w:pPr>
                    <w:pStyle w:val="CalVerTable"/>
                    <w:ind w:left="0" w:firstLine="0"/>
                    <w:rPr>
                      <w:rFonts w:ascii="Arial" w:hAnsi="Arial" w:cs="Arial"/>
                    </w:rPr>
                  </w:pPr>
                  <w:r>
                    <w:rPr>
                      <w:rFonts w:ascii="Arial" w:hAnsi="Arial" w:cs="Arial"/>
                    </w:rPr>
                    <w:t>CAL B: 3.0</w:t>
                  </w:r>
                </w:p>
                <w:p w14:paraId="5D2604D1" w14:textId="77777777" w:rsidR="00EB61E3" w:rsidRDefault="00EB61E3" w:rsidP="001D1786">
                  <w:pPr>
                    <w:pStyle w:val="CalVerTable"/>
                    <w:ind w:left="0" w:firstLine="0"/>
                    <w:rPr>
                      <w:rFonts w:ascii="Arial" w:hAnsi="Arial" w:cs="Arial"/>
                    </w:rPr>
                  </w:pPr>
                  <w:r>
                    <w:rPr>
                      <w:rFonts w:ascii="Arial" w:hAnsi="Arial" w:cs="Arial"/>
                    </w:rPr>
                    <w:t>CAL C: 6.0</w:t>
                  </w:r>
                </w:p>
                <w:p w14:paraId="38849274" w14:textId="77777777" w:rsidR="00EB61E3" w:rsidRDefault="00EB61E3" w:rsidP="001D1786">
                  <w:pPr>
                    <w:pStyle w:val="CalVerTable"/>
                    <w:ind w:left="0" w:firstLine="0"/>
                    <w:rPr>
                      <w:rFonts w:ascii="Arial" w:hAnsi="Arial" w:cs="Arial"/>
                    </w:rPr>
                  </w:pPr>
                  <w:r>
                    <w:rPr>
                      <w:rFonts w:ascii="Arial" w:hAnsi="Arial" w:cs="Arial"/>
                    </w:rPr>
                    <w:t>CAL D: 12.0</w:t>
                  </w:r>
                </w:p>
                <w:p w14:paraId="778ADAC5" w14:textId="77777777" w:rsidR="00EB61E3" w:rsidRDefault="00EB61E3" w:rsidP="001D1786">
                  <w:pPr>
                    <w:pStyle w:val="CalVerTable"/>
                    <w:ind w:left="0" w:firstLine="0"/>
                    <w:rPr>
                      <w:rFonts w:ascii="Arial" w:hAnsi="Arial" w:cs="Arial"/>
                    </w:rPr>
                  </w:pPr>
                  <w:r>
                    <w:rPr>
                      <w:rFonts w:ascii="Arial" w:hAnsi="Arial" w:cs="Arial"/>
                    </w:rPr>
                    <w:t>CAL E: 18.0</w:t>
                  </w:r>
                </w:p>
                <w:p w14:paraId="5CCFFFE0" w14:textId="4CC52429" w:rsidR="00EB61E3" w:rsidRPr="00DC7421" w:rsidRDefault="00EB61E3" w:rsidP="001D1786">
                  <w:pPr>
                    <w:pStyle w:val="CalVerTable"/>
                    <w:ind w:left="0" w:firstLine="0"/>
                    <w:rPr>
                      <w:rFonts w:ascii="Arial" w:hAnsi="Arial" w:cs="Arial"/>
                    </w:rPr>
                  </w:pPr>
                  <w:r>
                    <w:rPr>
                      <w:rFonts w:ascii="Arial" w:hAnsi="Arial" w:cs="Arial"/>
                    </w:rPr>
                    <w:t>CAL F: 24.0</w:t>
                  </w:r>
                </w:p>
              </w:tc>
            </w:tr>
            <w:tr w:rsidR="00F50200" w:rsidRPr="00DC7421" w14:paraId="5CCFFFE4" w14:textId="77777777" w:rsidTr="001C1CFA">
              <w:tc>
                <w:tcPr>
                  <w:tcW w:w="2947" w:type="dxa"/>
                </w:tcPr>
                <w:p w14:paraId="5CCFFFE2" w14:textId="24F7AD6E"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716E68D7" w:rsidR="00F50200" w:rsidRPr="00EB61E3" w:rsidRDefault="00EB61E3" w:rsidP="005B66A7">
                  <w:pPr>
                    <w:pStyle w:val="CalVerTable"/>
                    <w:ind w:left="0" w:firstLine="0"/>
                    <w:rPr>
                      <w:rFonts w:ascii="Arial" w:hAnsi="Arial" w:cs="Arial"/>
                    </w:rPr>
                  </w:pPr>
                  <w:r>
                    <w:rPr>
                      <w:rFonts w:ascii="Arial" w:hAnsi="Arial" w:cs="Arial"/>
                    </w:rPr>
                    <w:t>6</w:t>
                  </w:r>
                  <w:r w:rsidR="009475C8" w:rsidRPr="00EB61E3">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AB719F5" w:rsidR="00F50200" w:rsidRPr="00EB61E3" w:rsidRDefault="00EB61E3" w:rsidP="004A698D">
                  <w:pPr>
                    <w:pStyle w:val="Pa10"/>
                    <w:rPr>
                      <w:rFonts w:ascii="Arial" w:hAnsi="Arial" w:cs="Arial"/>
                      <w:sz w:val="20"/>
                      <w:szCs w:val="20"/>
                    </w:rPr>
                  </w:pPr>
                  <w:r w:rsidRPr="00EB61E3">
                    <w:rPr>
                      <w:rFonts w:ascii="Arial" w:hAnsi="Arial" w:cs="Arial"/>
                      <w:sz w:val="20"/>
                      <w:szCs w:val="20"/>
                    </w:rPr>
                    <w:t>With every new lot number, after maintenance or service of major instrument parts, as indicated by quality controls, and as directed by field service representatives.</w:t>
                  </w:r>
                  <w:r>
                    <w:rPr>
                      <w:rFonts w:ascii="Arial" w:hAnsi="Arial" w:cs="Arial"/>
                      <w:sz w:val="20"/>
                      <w:szCs w:val="20"/>
                    </w:rPr>
                    <w:t xml:space="preserve"> </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1AF4A7B8" w:rsidR="00F50200" w:rsidRPr="00EB61E3" w:rsidRDefault="009475C8" w:rsidP="00EB61E3">
                  <w:pPr>
                    <w:autoSpaceDE w:val="0"/>
                    <w:autoSpaceDN w:val="0"/>
                    <w:adjustRightInd w:val="0"/>
                    <w:rPr>
                      <w:rFonts w:cs="Arial"/>
                      <w:szCs w:val="20"/>
                    </w:rPr>
                  </w:pPr>
                  <w:r w:rsidRPr="00EB61E3">
                    <w:rPr>
                      <w:rFonts w:cs="Arial"/>
                      <w:szCs w:val="20"/>
                    </w:rPr>
                    <w:t xml:space="preserve">AMR is verified </w:t>
                  </w:r>
                  <w:r w:rsidR="00EB61E3">
                    <w:rPr>
                      <w:rFonts w:cs="Arial"/>
                      <w:szCs w:val="20"/>
                    </w:rPr>
                    <w:t>with every calibration at least every six months.</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38463D2B" w14:textId="77777777" w:rsidR="00EB61E3" w:rsidRDefault="00EB61E3" w:rsidP="00EB61E3">
            <w:pPr>
              <w:pStyle w:val="Default"/>
              <w:rPr>
                <w:sz w:val="20"/>
                <w:szCs w:val="20"/>
              </w:rPr>
            </w:pPr>
            <w:r>
              <w:rPr>
                <w:b/>
                <w:sz w:val="20"/>
                <w:szCs w:val="20"/>
              </w:rPr>
              <w:t xml:space="preserve">QC Material: </w:t>
            </w:r>
            <w:r>
              <w:rPr>
                <w:sz w:val="20"/>
                <w:szCs w:val="20"/>
              </w:rPr>
              <w:t xml:space="preserve">BioRad Liquichek Immunoassay Plus Levels 1,2 and 3 </w:t>
            </w:r>
          </w:p>
          <w:p w14:paraId="79A57475" w14:textId="77777777" w:rsidR="00EB61E3" w:rsidRDefault="00EB61E3" w:rsidP="00EB61E3">
            <w:pPr>
              <w:pStyle w:val="Default"/>
              <w:rPr>
                <w:sz w:val="20"/>
                <w:szCs w:val="20"/>
              </w:rPr>
            </w:pPr>
          </w:p>
          <w:p w14:paraId="5B71A48A" w14:textId="77777777" w:rsidR="00EB61E3" w:rsidRDefault="00EB61E3" w:rsidP="00EB61E3">
            <w:pPr>
              <w:pStyle w:val="Default"/>
              <w:rPr>
                <w:sz w:val="20"/>
                <w:szCs w:val="20"/>
              </w:rPr>
            </w:pPr>
            <w:r>
              <w:rPr>
                <w:b/>
                <w:bCs/>
                <w:sz w:val="20"/>
                <w:szCs w:val="20"/>
              </w:rPr>
              <w:t xml:space="preserve">Frequency: </w:t>
            </w:r>
            <w:r>
              <w:rPr>
                <w:sz w:val="20"/>
                <w:szCs w:val="20"/>
              </w:rPr>
              <w:t xml:space="preserve">Three levels each day of use. </w:t>
            </w:r>
          </w:p>
          <w:p w14:paraId="31C21BAC" w14:textId="77777777" w:rsidR="00EB61E3" w:rsidRDefault="00EB61E3" w:rsidP="00EB61E3">
            <w:pPr>
              <w:pStyle w:val="Default"/>
              <w:rPr>
                <w:sz w:val="20"/>
                <w:szCs w:val="20"/>
              </w:rPr>
            </w:pPr>
          </w:p>
          <w:p w14:paraId="7EAC71A5" w14:textId="77777777" w:rsidR="00EB61E3" w:rsidRDefault="00EB61E3" w:rsidP="00EB61E3">
            <w:pPr>
              <w:pStyle w:val="Default"/>
              <w:rPr>
                <w:sz w:val="20"/>
                <w:szCs w:val="20"/>
              </w:rPr>
            </w:pPr>
            <w:r>
              <w:rPr>
                <w:b/>
                <w:bCs/>
                <w:sz w:val="20"/>
                <w:szCs w:val="20"/>
              </w:rPr>
              <w:t xml:space="preserve">Stability: </w:t>
            </w:r>
            <w:r>
              <w:rPr>
                <w:sz w:val="20"/>
                <w:szCs w:val="20"/>
              </w:rPr>
              <w:t xml:space="preserve">5 Days at 2-8°C (due to the inclusion and use of Estradiol in this control) </w:t>
            </w:r>
          </w:p>
          <w:p w14:paraId="3890B0D1" w14:textId="77777777" w:rsidR="00EB61E3" w:rsidRDefault="00EB61E3" w:rsidP="00EB61E3">
            <w:pPr>
              <w:pStyle w:val="Default"/>
              <w:rPr>
                <w:sz w:val="20"/>
                <w:szCs w:val="20"/>
              </w:rPr>
            </w:pPr>
          </w:p>
          <w:p w14:paraId="21DC0EBB" w14:textId="77777777" w:rsidR="00EB61E3" w:rsidRDefault="00EB61E3" w:rsidP="00EB61E3">
            <w:pPr>
              <w:pStyle w:val="Default"/>
              <w:rPr>
                <w:sz w:val="20"/>
                <w:szCs w:val="20"/>
              </w:rPr>
            </w:pPr>
            <w:r>
              <w:rPr>
                <w:b/>
                <w:bCs/>
                <w:sz w:val="20"/>
                <w:szCs w:val="20"/>
              </w:rPr>
              <w:t>Preparation</w:t>
            </w:r>
            <w:r>
              <w:rPr>
                <w:sz w:val="20"/>
                <w:szCs w:val="20"/>
              </w:rPr>
              <w:t xml:space="preserve">: </w:t>
            </w:r>
            <w:r w:rsidRPr="00960541">
              <w:rPr>
                <w:sz w:val="20"/>
                <w:szCs w:val="20"/>
              </w:rPr>
              <w:t xml:space="preserve">Let vials thaw for 30 minutes at room temperature and gently swirl to ensure homogeneity. Do not allow to stand at room temperature longer than 20 minutes after completely thawed.   </w:t>
            </w:r>
          </w:p>
          <w:p w14:paraId="122DD661" w14:textId="77777777" w:rsidR="00EB61E3" w:rsidRDefault="00EB61E3" w:rsidP="00EB61E3">
            <w:pPr>
              <w:pStyle w:val="Default"/>
              <w:rPr>
                <w:sz w:val="20"/>
                <w:szCs w:val="20"/>
              </w:rPr>
            </w:pPr>
          </w:p>
          <w:p w14:paraId="038614CB" w14:textId="77777777" w:rsidR="00EB61E3" w:rsidRPr="00DC7421" w:rsidRDefault="00EB61E3" w:rsidP="00EB61E3">
            <w:pPr>
              <w:jc w:val="both"/>
              <w:rPr>
                <w:rFonts w:cs="Arial"/>
                <w:szCs w:val="20"/>
              </w:rPr>
            </w:pPr>
            <w:r w:rsidRPr="00DC7421">
              <w:rPr>
                <w:rFonts w:cs="Arial"/>
                <w:b/>
                <w:bCs/>
                <w:szCs w:val="20"/>
              </w:rPr>
              <w:t>Acceptable ranges:</w:t>
            </w:r>
            <w:r w:rsidRPr="00DC7421">
              <w:rPr>
                <w:rFonts w:cs="Arial"/>
                <w:szCs w:val="20"/>
              </w:rPr>
              <w:t xml:space="preserve"> </w:t>
            </w:r>
          </w:p>
          <w:p w14:paraId="49D86326" w14:textId="77777777" w:rsidR="00EB61E3" w:rsidRPr="00DC7421" w:rsidRDefault="00EB61E3" w:rsidP="00EB61E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0D607383" w14:textId="77777777" w:rsidR="00EB61E3" w:rsidRPr="00DC7421" w:rsidRDefault="00EB61E3" w:rsidP="00EB61E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483C1FBD" w14:textId="77777777" w:rsidR="00EB61E3" w:rsidRPr="00DC7421" w:rsidRDefault="00EB61E3" w:rsidP="00EB61E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459A6383" w14:textId="77777777" w:rsidR="00EB61E3" w:rsidRPr="00DC7421" w:rsidRDefault="00EB61E3" w:rsidP="00EB61E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4EE867DD" w14:textId="77777777" w:rsidR="00EB61E3" w:rsidRPr="00DC7421" w:rsidRDefault="00EB61E3" w:rsidP="00EB61E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44E569DE" w14:textId="77777777" w:rsidR="00EB61E3" w:rsidRPr="00DC7421" w:rsidRDefault="00EB61E3" w:rsidP="00EB61E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045B2926" w:rsidR="00DC7421" w:rsidRPr="00DC7421" w:rsidRDefault="00DC7421" w:rsidP="00DF2DEC">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3D6E271E" w14:textId="5B337458" w:rsidR="002840D7" w:rsidRDefault="002840D7" w:rsidP="002840D7">
            <w:pPr>
              <w:autoSpaceDE w:val="0"/>
              <w:autoSpaceDN w:val="0"/>
              <w:adjustRightInd w:val="0"/>
              <w:jc w:val="both"/>
              <w:rPr>
                <w:rFonts w:cs="Arial"/>
                <w:szCs w:val="20"/>
              </w:rPr>
            </w:pPr>
            <w:r w:rsidRPr="002840D7">
              <w:rPr>
                <w:rFonts w:cs="Arial"/>
                <w:szCs w:val="20"/>
              </w:rPr>
              <w:t>A study was performed based on guidance from CLSI document</w:t>
            </w:r>
            <w:r>
              <w:rPr>
                <w:rFonts w:cs="Arial"/>
                <w:szCs w:val="20"/>
              </w:rPr>
              <w:t xml:space="preserve"> </w:t>
            </w:r>
            <w:r w:rsidRPr="002840D7">
              <w:rPr>
                <w:rFonts w:cs="Arial"/>
                <w:szCs w:val="20"/>
              </w:rPr>
              <w:t>EP7-A</w:t>
            </w:r>
            <w:r>
              <w:t xml:space="preserve"> </w:t>
            </w:r>
            <w:r>
              <w:rPr>
                <w:rFonts w:cs="Arial"/>
                <w:szCs w:val="20"/>
              </w:rPr>
              <w:t>on the ARCHITECT i System</w:t>
            </w:r>
            <w:r w:rsidRPr="002840D7">
              <w:rPr>
                <w:rFonts w:cs="Arial"/>
                <w:szCs w:val="20"/>
              </w:rPr>
              <w:t>. Potential interference was assessed with the ARCHITECT</w:t>
            </w:r>
            <w:r>
              <w:rPr>
                <w:rFonts w:cs="Arial"/>
                <w:szCs w:val="20"/>
              </w:rPr>
              <w:t xml:space="preserve"> </w:t>
            </w:r>
            <w:r w:rsidRPr="002840D7">
              <w:rPr>
                <w:rFonts w:cs="Arial"/>
                <w:szCs w:val="20"/>
              </w:rPr>
              <w:t>Total T4 assay and the mean interference was determined to be</w:t>
            </w:r>
            <w:r>
              <w:rPr>
                <w:rFonts w:cs="Arial"/>
                <w:szCs w:val="20"/>
              </w:rPr>
              <w:t xml:space="preserve"> </w:t>
            </w:r>
            <w:r w:rsidRPr="002840D7">
              <w:rPr>
                <w:rFonts w:cs="Arial"/>
                <w:szCs w:val="20"/>
              </w:rPr>
              <w:t>&lt; 10% for hemoglobin, bilirubin, triglycerides, and protein at the levels</w:t>
            </w:r>
            <w:r>
              <w:rPr>
                <w:rFonts w:cs="Arial"/>
                <w:szCs w:val="20"/>
              </w:rPr>
              <w:t xml:space="preserve"> indicated below:</w:t>
            </w:r>
          </w:p>
          <w:p w14:paraId="1D4C3CD1" w14:textId="0B650499" w:rsidR="008577F5" w:rsidRPr="008577F5" w:rsidRDefault="008577F5" w:rsidP="002840D7">
            <w:pPr>
              <w:autoSpaceDE w:val="0"/>
              <w:autoSpaceDN w:val="0"/>
              <w:adjustRightInd w:val="0"/>
              <w:jc w:val="both"/>
              <w:rPr>
                <w:rFonts w:cs="Arial"/>
                <w:szCs w:val="20"/>
              </w:rPr>
            </w:pPr>
            <w:r w:rsidRPr="008577F5">
              <w:rPr>
                <w:rFonts w:cs="Arial"/>
                <w:szCs w:val="20"/>
              </w:rPr>
              <w:t xml:space="preserve">Hemoglobin </w:t>
            </w:r>
            <w:r>
              <w:rPr>
                <w:rFonts w:cs="Arial"/>
                <w:szCs w:val="20"/>
              </w:rPr>
              <w:t xml:space="preserve">      </w:t>
            </w:r>
            <w:r w:rsidRPr="008577F5">
              <w:rPr>
                <w:rFonts w:cs="Arial"/>
                <w:szCs w:val="20"/>
              </w:rPr>
              <w:t>≤ 500 mg/dL</w:t>
            </w:r>
          </w:p>
          <w:p w14:paraId="10C5F1D9" w14:textId="478C7EBE" w:rsidR="008577F5" w:rsidRPr="008577F5" w:rsidRDefault="008577F5" w:rsidP="008577F5">
            <w:pPr>
              <w:autoSpaceDE w:val="0"/>
              <w:autoSpaceDN w:val="0"/>
              <w:adjustRightInd w:val="0"/>
              <w:jc w:val="both"/>
              <w:rPr>
                <w:rFonts w:cs="Arial"/>
                <w:szCs w:val="20"/>
              </w:rPr>
            </w:pPr>
            <w:r w:rsidRPr="008577F5">
              <w:rPr>
                <w:rFonts w:cs="Arial"/>
                <w:szCs w:val="20"/>
              </w:rPr>
              <w:t xml:space="preserve">Bilirubin </w:t>
            </w:r>
            <w:r>
              <w:rPr>
                <w:rFonts w:cs="Arial"/>
                <w:szCs w:val="20"/>
              </w:rPr>
              <w:t xml:space="preserve">            </w:t>
            </w:r>
            <w:r w:rsidRPr="008577F5">
              <w:rPr>
                <w:rFonts w:cs="Arial"/>
                <w:szCs w:val="20"/>
              </w:rPr>
              <w:t>≤ 20 mg/dL</w:t>
            </w:r>
          </w:p>
          <w:p w14:paraId="14DBD618" w14:textId="73E716C3" w:rsidR="008577F5" w:rsidRPr="008577F5" w:rsidRDefault="008577F5" w:rsidP="008577F5">
            <w:pPr>
              <w:autoSpaceDE w:val="0"/>
              <w:autoSpaceDN w:val="0"/>
              <w:adjustRightInd w:val="0"/>
              <w:jc w:val="both"/>
              <w:rPr>
                <w:rFonts w:cs="Arial"/>
                <w:szCs w:val="20"/>
              </w:rPr>
            </w:pPr>
            <w:r w:rsidRPr="008577F5">
              <w:rPr>
                <w:rFonts w:cs="Arial"/>
                <w:szCs w:val="20"/>
              </w:rPr>
              <w:t xml:space="preserve">Triglycerides </w:t>
            </w:r>
            <w:r>
              <w:rPr>
                <w:rFonts w:cs="Arial"/>
                <w:szCs w:val="20"/>
              </w:rPr>
              <w:t xml:space="preserve">     </w:t>
            </w:r>
            <w:r w:rsidRPr="008577F5">
              <w:rPr>
                <w:rFonts w:cs="Arial"/>
                <w:szCs w:val="20"/>
              </w:rPr>
              <w:t>≤ 3000 mg/dL</w:t>
            </w:r>
          </w:p>
          <w:p w14:paraId="60032BEF" w14:textId="77777777" w:rsidR="000244AC" w:rsidRDefault="008577F5" w:rsidP="008577F5">
            <w:pPr>
              <w:autoSpaceDE w:val="0"/>
              <w:autoSpaceDN w:val="0"/>
              <w:adjustRightInd w:val="0"/>
              <w:jc w:val="both"/>
              <w:rPr>
                <w:rFonts w:cs="Arial"/>
                <w:szCs w:val="20"/>
              </w:rPr>
            </w:pPr>
            <w:r w:rsidRPr="008577F5">
              <w:rPr>
                <w:rFonts w:cs="Arial"/>
                <w:szCs w:val="20"/>
              </w:rPr>
              <w:t xml:space="preserve">Protein </w:t>
            </w:r>
            <w:r>
              <w:rPr>
                <w:rFonts w:cs="Arial"/>
                <w:szCs w:val="20"/>
              </w:rPr>
              <w:t xml:space="preserve">              </w:t>
            </w:r>
            <w:r w:rsidRPr="008577F5">
              <w:rPr>
                <w:rFonts w:cs="Arial"/>
                <w:szCs w:val="20"/>
              </w:rPr>
              <w:t>≤ 12 g/dL</w:t>
            </w:r>
          </w:p>
          <w:p w14:paraId="5CD00011" w14:textId="41D1A69B" w:rsidR="002840D7" w:rsidRPr="00DC7421" w:rsidRDefault="002840D7" w:rsidP="008577F5">
            <w:pPr>
              <w:autoSpaceDE w:val="0"/>
              <w:autoSpaceDN w:val="0"/>
              <w:adjustRightInd w:val="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45DF72F4" w:rsidR="00E3253B" w:rsidRDefault="00250A09" w:rsidP="0039587D">
            <w:pPr>
              <w:rPr>
                <w:rFonts w:cs="Arial"/>
                <w:b/>
                <w:bCs/>
                <w:color w:val="0000FF"/>
                <w:szCs w:val="20"/>
              </w:rPr>
            </w:pPr>
            <w:r>
              <w:rPr>
                <w:rFonts w:cs="Arial"/>
                <w:b/>
                <w:bCs/>
                <w:color w:val="0000FF"/>
                <w:szCs w:val="20"/>
              </w:rPr>
              <w:lastRenderedPageBreak/>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0A4FDFD8" w14:textId="77777777" w:rsidR="002840D7" w:rsidRDefault="002840D7" w:rsidP="0039587D">
            <w:pPr>
              <w:rPr>
                <w:rFonts w:cs="Arial"/>
                <w:szCs w:val="20"/>
              </w:rPr>
            </w:pPr>
            <w:r w:rsidRPr="002840D7">
              <w:rPr>
                <w:rFonts w:cs="Arial"/>
                <w:b/>
                <w:szCs w:val="20"/>
              </w:rPr>
              <w:t>Male and Female</w:t>
            </w:r>
            <w:r w:rsidRPr="002840D7">
              <w:rPr>
                <w:rFonts w:cs="Arial"/>
                <w:szCs w:val="20"/>
              </w:rPr>
              <w:t xml:space="preserve">: </w:t>
            </w:r>
          </w:p>
          <w:p w14:paraId="019BEA94" w14:textId="57B4CE2B" w:rsidR="002840D7" w:rsidRDefault="002840D7" w:rsidP="0039587D">
            <w:pPr>
              <w:rPr>
                <w:rFonts w:cs="Arial"/>
                <w:szCs w:val="20"/>
              </w:rPr>
            </w:pPr>
            <w:r>
              <w:rPr>
                <w:rFonts w:cs="Arial"/>
                <w:szCs w:val="20"/>
              </w:rPr>
              <w:t>0</w:t>
            </w:r>
            <w:r w:rsidRPr="002840D7">
              <w:rPr>
                <w:rFonts w:cs="Arial"/>
                <w:szCs w:val="20"/>
              </w:rPr>
              <w:t xml:space="preserve"> to &lt;1 year: </w:t>
            </w:r>
            <w:r w:rsidR="00B01A63">
              <w:rPr>
                <w:rFonts w:cs="Arial"/>
                <w:szCs w:val="20"/>
              </w:rPr>
              <w:t xml:space="preserve">  </w:t>
            </w:r>
            <w:r w:rsidRPr="002840D7">
              <w:rPr>
                <w:rFonts w:cs="Arial"/>
                <w:szCs w:val="20"/>
              </w:rPr>
              <w:t xml:space="preserve">5.87 - 13.7 </w:t>
            </w:r>
          </w:p>
          <w:p w14:paraId="1B00DFEE" w14:textId="439574F6" w:rsidR="002840D7" w:rsidRDefault="002840D7" w:rsidP="0039587D">
            <w:pPr>
              <w:rPr>
                <w:rFonts w:cs="Arial"/>
                <w:szCs w:val="20"/>
              </w:rPr>
            </w:pPr>
            <w:r w:rsidRPr="002840D7">
              <w:rPr>
                <w:rFonts w:cs="Arial"/>
                <w:szCs w:val="20"/>
              </w:rPr>
              <w:t>1 to &lt;9 years</w:t>
            </w:r>
            <w:r w:rsidR="00B01A63">
              <w:rPr>
                <w:rFonts w:cs="Arial"/>
                <w:szCs w:val="20"/>
              </w:rPr>
              <w:t xml:space="preserve">:  </w:t>
            </w:r>
            <w:r w:rsidRPr="002840D7">
              <w:rPr>
                <w:rFonts w:cs="Arial"/>
                <w:szCs w:val="20"/>
              </w:rPr>
              <w:t xml:space="preserve"> 6.16-10.3 </w:t>
            </w:r>
          </w:p>
          <w:p w14:paraId="6480963C" w14:textId="77777777" w:rsidR="002840D7" w:rsidRDefault="002840D7" w:rsidP="0039587D">
            <w:pPr>
              <w:rPr>
                <w:rFonts w:cs="Arial"/>
                <w:szCs w:val="20"/>
              </w:rPr>
            </w:pPr>
            <w:r w:rsidRPr="002840D7">
              <w:rPr>
                <w:rFonts w:cs="Arial"/>
                <w:szCs w:val="20"/>
              </w:rPr>
              <w:t xml:space="preserve">9 to &lt;12years: 5.48 to 9.31 </w:t>
            </w:r>
          </w:p>
          <w:p w14:paraId="2F2A7C7D" w14:textId="77777777" w:rsidR="00B01A63" w:rsidRDefault="00B01A63" w:rsidP="0039587D">
            <w:pPr>
              <w:rPr>
                <w:rFonts w:cs="Arial"/>
                <w:szCs w:val="20"/>
              </w:rPr>
            </w:pPr>
            <w:r>
              <w:rPr>
                <w:rFonts w:cs="Arial"/>
                <w:szCs w:val="20"/>
              </w:rPr>
              <w:t xml:space="preserve">12 to &lt;14 years: </w:t>
            </w:r>
          </w:p>
          <w:p w14:paraId="40103E8A" w14:textId="052A1C6D" w:rsidR="00B01A63" w:rsidRDefault="00B01A63" w:rsidP="00B01A63">
            <w:pPr>
              <w:pStyle w:val="ListParagraph"/>
              <w:rPr>
                <w:rFonts w:cs="Arial"/>
                <w:szCs w:val="20"/>
              </w:rPr>
            </w:pPr>
            <w:r>
              <w:rPr>
                <w:rFonts w:cs="Arial"/>
                <w:szCs w:val="20"/>
              </w:rPr>
              <w:t>F</w:t>
            </w:r>
            <w:r w:rsidRPr="00B01A63">
              <w:rPr>
                <w:rFonts w:cs="Arial"/>
                <w:szCs w:val="20"/>
              </w:rPr>
              <w:t>emale:</w:t>
            </w:r>
            <w:r w:rsidR="002840D7" w:rsidRPr="00B01A63">
              <w:rPr>
                <w:rFonts w:cs="Arial"/>
                <w:szCs w:val="20"/>
              </w:rPr>
              <w:t xml:space="preserve"> 5.08 - 8.34 </w:t>
            </w:r>
          </w:p>
          <w:p w14:paraId="07CDD318" w14:textId="4E56286E" w:rsidR="00B01A63" w:rsidRPr="00B01A63" w:rsidRDefault="00B01A63" w:rsidP="00B01A63">
            <w:pPr>
              <w:pStyle w:val="ListParagraph"/>
              <w:rPr>
                <w:rFonts w:cs="Arial"/>
                <w:szCs w:val="20"/>
              </w:rPr>
            </w:pPr>
            <w:r>
              <w:rPr>
                <w:rFonts w:cs="Arial"/>
                <w:szCs w:val="20"/>
              </w:rPr>
              <w:t>M</w:t>
            </w:r>
            <w:r w:rsidR="002840D7" w:rsidRPr="00B01A63">
              <w:rPr>
                <w:rFonts w:cs="Arial"/>
                <w:szCs w:val="20"/>
              </w:rPr>
              <w:t>ale</w:t>
            </w:r>
            <w:r>
              <w:rPr>
                <w:rFonts w:cs="Arial"/>
                <w:szCs w:val="20"/>
              </w:rPr>
              <w:t xml:space="preserve">: </w:t>
            </w:r>
            <w:r w:rsidR="002840D7" w:rsidRPr="00B01A63">
              <w:rPr>
                <w:rFonts w:cs="Arial"/>
                <w:szCs w:val="20"/>
              </w:rPr>
              <w:t xml:space="preserve"> </w:t>
            </w:r>
            <w:r>
              <w:rPr>
                <w:rFonts w:cs="Arial"/>
                <w:szCs w:val="20"/>
              </w:rPr>
              <w:t xml:space="preserve">  </w:t>
            </w:r>
            <w:r w:rsidR="002840D7" w:rsidRPr="00B01A63">
              <w:rPr>
                <w:rFonts w:cs="Arial"/>
                <w:szCs w:val="20"/>
              </w:rPr>
              <w:t xml:space="preserve">5.01 - 8.28  </w:t>
            </w:r>
          </w:p>
          <w:p w14:paraId="79F43D87" w14:textId="77777777" w:rsidR="00B01A63" w:rsidRDefault="002840D7" w:rsidP="0039587D">
            <w:pPr>
              <w:rPr>
                <w:rFonts w:cs="Arial"/>
                <w:szCs w:val="20"/>
              </w:rPr>
            </w:pPr>
            <w:r w:rsidRPr="002840D7">
              <w:rPr>
                <w:rFonts w:cs="Arial"/>
                <w:szCs w:val="20"/>
              </w:rPr>
              <w:t xml:space="preserve">14 to &lt;19 years: </w:t>
            </w:r>
          </w:p>
          <w:p w14:paraId="7733B399" w14:textId="3BE21811" w:rsidR="00B01A63" w:rsidRDefault="00B01A63" w:rsidP="00B01A63">
            <w:pPr>
              <w:ind w:left="720"/>
              <w:rPr>
                <w:rFonts w:cs="Arial"/>
                <w:szCs w:val="20"/>
              </w:rPr>
            </w:pPr>
            <w:r>
              <w:rPr>
                <w:rFonts w:cs="Arial"/>
                <w:szCs w:val="20"/>
              </w:rPr>
              <w:t>F</w:t>
            </w:r>
            <w:r w:rsidR="002840D7" w:rsidRPr="002840D7">
              <w:rPr>
                <w:rFonts w:cs="Arial"/>
                <w:szCs w:val="20"/>
              </w:rPr>
              <w:t>emale</w:t>
            </w:r>
            <w:r>
              <w:rPr>
                <w:rFonts w:cs="Arial"/>
                <w:szCs w:val="20"/>
              </w:rPr>
              <w:t>:</w:t>
            </w:r>
            <w:r w:rsidR="002840D7" w:rsidRPr="002840D7">
              <w:rPr>
                <w:rFonts w:cs="Arial"/>
                <w:szCs w:val="20"/>
              </w:rPr>
              <w:t xml:space="preserve"> 5.46 - 13.0 </w:t>
            </w:r>
          </w:p>
          <w:p w14:paraId="6B849596" w14:textId="5A59D183" w:rsidR="00B01A63" w:rsidRDefault="00B01A63" w:rsidP="00B01A63">
            <w:pPr>
              <w:ind w:left="720"/>
              <w:rPr>
                <w:rFonts w:cs="Arial"/>
                <w:szCs w:val="20"/>
              </w:rPr>
            </w:pPr>
            <w:r>
              <w:rPr>
                <w:rFonts w:cs="Arial"/>
                <w:szCs w:val="20"/>
              </w:rPr>
              <w:t>M</w:t>
            </w:r>
            <w:r w:rsidR="002840D7" w:rsidRPr="002840D7">
              <w:rPr>
                <w:rFonts w:cs="Arial"/>
                <w:szCs w:val="20"/>
              </w:rPr>
              <w:t>ale</w:t>
            </w:r>
            <w:r>
              <w:rPr>
                <w:rFonts w:cs="Arial"/>
                <w:szCs w:val="20"/>
              </w:rPr>
              <w:t xml:space="preserve">:   </w:t>
            </w:r>
            <w:r w:rsidR="002840D7" w:rsidRPr="002840D7">
              <w:rPr>
                <w:rFonts w:cs="Arial"/>
                <w:szCs w:val="20"/>
              </w:rPr>
              <w:t xml:space="preserve"> 4.68 - 8.62 </w:t>
            </w:r>
          </w:p>
          <w:p w14:paraId="47CC6BDB" w14:textId="77777777" w:rsidR="0039587D" w:rsidRDefault="002840D7" w:rsidP="0039587D">
            <w:pPr>
              <w:rPr>
                <w:rFonts w:cs="Arial"/>
                <w:szCs w:val="20"/>
              </w:rPr>
            </w:pPr>
            <w:r w:rsidRPr="00B01A63">
              <w:rPr>
                <w:rFonts w:cs="Arial"/>
                <w:b/>
                <w:szCs w:val="20"/>
              </w:rPr>
              <w:t>Adult</w:t>
            </w:r>
            <w:r w:rsidRPr="002840D7">
              <w:rPr>
                <w:rFonts w:cs="Arial"/>
                <w:szCs w:val="20"/>
              </w:rPr>
              <w:t>: 4.87 - 11.72</w:t>
            </w:r>
          </w:p>
          <w:p w14:paraId="5CD00018" w14:textId="586B806B" w:rsidR="00645AF5" w:rsidRPr="00DC7421" w:rsidRDefault="00645AF5"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42C7685B" w:rsidR="00E3253B" w:rsidRPr="00DC7421" w:rsidRDefault="00B01A63"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6870F601" w14:textId="77777777" w:rsidR="00B01A63" w:rsidRPr="00B01A63" w:rsidRDefault="00B01A63" w:rsidP="00B01A63">
            <w:pPr>
              <w:autoSpaceDE w:val="0"/>
              <w:autoSpaceDN w:val="0"/>
              <w:adjustRightInd w:val="0"/>
              <w:rPr>
                <w:rFonts w:cs="Arial"/>
                <w:bCs/>
                <w:szCs w:val="20"/>
              </w:rPr>
            </w:pPr>
            <w:r w:rsidRPr="00B01A63">
              <w:rPr>
                <w:rFonts w:cs="Arial"/>
                <w:bCs/>
                <w:szCs w:val="20"/>
              </w:rPr>
              <w:t>For diagnostic purposes, results should be used in conjunction with other data; e.g., symptoms, results of other thyroid tests, clinical impressions, etc.</w:t>
            </w:r>
          </w:p>
          <w:p w14:paraId="509A683E" w14:textId="77777777" w:rsidR="00B01A63" w:rsidRPr="00B01A63" w:rsidRDefault="00B01A63" w:rsidP="00B01A63">
            <w:pPr>
              <w:autoSpaceDE w:val="0"/>
              <w:autoSpaceDN w:val="0"/>
              <w:adjustRightInd w:val="0"/>
              <w:rPr>
                <w:rFonts w:cs="Arial"/>
                <w:bCs/>
                <w:szCs w:val="20"/>
              </w:rPr>
            </w:pPr>
          </w:p>
          <w:p w14:paraId="1C3C550E" w14:textId="62211663" w:rsidR="00DC7421" w:rsidRDefault="00645AF5" w:rsidP="00B01A63">
            <w:pPr>
              <w:autoSpaceDE w:val="0"/>
              <w:autoSpaceDN w:val="0"/>
              <w:adjustRightInd w:val="0"/>
              <w:rPr>
                <w:rFonts w:cs="Arial"/>
                <w:bCs/>
                <w:szCs w:val="20"/>
              </w:rPr>
            </w:pPr>
            <w:r>
              <w:rPr>
                <w:rFonts w:cs="Arial"/>
                <w:bCs/>
                <w:szCs w:val="20"/>
              </w:rPr>
              <w:t>If the Total T4</w:t>
            </w:r>
            <w:r w:rsidR="00B01A63" w:rsidRPr="00B01A63">
              <w:rPr>
                <w:rFonts w:cs="Arial"/>
                <w:bCs/>
                <w:szCs w:val="20"/>
              </w:rPr>
              <w:t xml:space="preserve"> results are inconsistent with clinical evidence, additional testing is suggested to confirm the result.  It is recommended that neonates be tested by another method if results do not coincide with other data; e.g., symptoms, results of other thyroid tests, clinical impressions, etc.</w:t>
            </w:r>
          </w:p>
          <w:p w14:paraId="42F2DE99" w14:textId="77777777" w:rsidR="00B01A63" w:rsidRDefault="00B01A63" w:rsidP="00B01A63">
            <w:pPr>
              <w:autoSpaceDE w:val="0"/>
              <w:autoSpaceDN w:val="0"/>
              <w:adjustRightInd w:val="0"/>
              <w:rPr>
                <w:rFonts w:cs="Arial"/>
                <w:bCs/>
                <w:szCs w:val="20"/>
              </w:rPr>
            </w:pPr>
            <w:r>
              <w:rPr>
                <w:rFonts w:cs="Arial"/>
                <w:bCs/>
                <w:szCs w:val="20"/>
              </w:rPr>
              <w:t xml:space="preserve"> </w:t>
            </w:r>
          </w:p>
          <w:p w14:paraId="2A64C99B" w14:textId="77777777" w:rsidR="00B01A63" w:rsidRDefault="00B01A63" w:rsidP="00B01A63">
            <w:pPr>
              <w:autoSpaceDE w:val="0"/>
              <w:autoSpaceDN w:val="0"/>
              <w:adjustRightInd w:val="0"/>
              <w:rPr>
                <w:rFonts w:cs="Arial"/>
                <w:bCs/>
                <w:szCs w:val="20"/>
              </w:rPr>
            </w:pPr>
            <w:r w:rsidRPr="00B01A63">
              <w:rPr>
                <w:rFonts w:cs="Arial"/>
                <w:bCs/>
                <w:szCs w:val="20"/>
              </w:rPr>
              <w:t>When serial specimens are being evaluated, the same type of</w:t>
            </w:r>
            <w:r>
              <w:rPr>
                <w:rFonts w:cs="Arial"/>
                <w:bCs/>
                <w:szCs w:val="20"/>
              </w:rPr>
              <w:t xml:space="preserve"> </w:t>
            </w:r>
            <w:r w:rsidRPr="00B01A63">
              <w:rPr>
                <w:rFonts w:cs="Arial"/>
                <w:bCs/>
                <w:szCs w:val="20"/>
              </w:rPr>
              <w:t>specimen should be used throughout the study.</w:t>
            </w:r>
          </w:p>
          <w:p w14:paraId="5CD00021" w14:textId="4BE70D13" w:rsidR="00645AF5" w:rsidRPr="00DC7421" w:rsidRDefault="00645AF5" w:rsidP="00B01A63">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4909A7F0" w14:textId="77777777" w:rsidR="00B73BD5" w:rsidRDefault="00B73BD5" w:rsidP="00B73BD5">
            <w:pPr>
              <w:autoSpaceDE w:val="0"/>
              <w:autoSpaceDN w:val="0"/>
              <w:adjustRightInd w:val="0"/>
              <w:rPr>
                <w:rFonts w:cs="Arial"/>
                <w:bCs/>
                <w:szCs w:val="20"/>
              </w:rPr>
            </w:pPr>
          </w:p>
          <w:p w14:paraId="528B6760" w14:textId="4A4C33D9" w:rsidR="00F83DB0" w:rsidRDefault="00645AF5" w:rsidP="00B73BD5">
            <w:pPr>
              <w:autoSpaceDE w:val="0"/>
              <w:autoSpaceDN w:val="0"/>
              <w:adjustRightInd w:val="0"/>
              <w:rPr>
                <w:rFonts w:cs="Arial"/>
                <w:bCs/>
                <w:szCs w:val="20"/>
              </w:rPr>
            </w:pPr>
            <w:r>
              <w:rPr>
                <w:rFonts w:cs="Arial"/>
                <w:bCs/>
                <w:szCs w:val="20"/>
              </w:rPr>
              <w:t>Samples should not</w:t>
            </w:r>
            <w:r w:rsidR="00B73BD5" w:rsidRPr="00B73BD5">
              <w:rPr>
                <w:rFonts w:cs="Arial"/>
                <w:bCs/>
                <w:szCs w:val="20"/>
              </w:rPr>
              <w:t xml:space="preserve"> be</w:t>
            </w:r>
            <w:r>
              <w:rPr>
                <w:rFonts w:cs="Arial"/>
                <w:bCs/>
                <w:szCs w:val="20"/>
              </w:rPr>
              <w:t xml:space="preserve"> diluted for the Alinity i Total </w:t>
            </w:r>
            <w:r w:rsidR="00B73BD5" w:rsidRPr="00B73BD5">
              <w:rPr>
                <w:rFonts w:cs="Arial"/>
                <w:bCs/>
                <w:szCs w:val="20"/>
              </w:rPr>
              <w:t>T4 assay.</w:t>
            </w:r>
          </w:p>
          <w:p w14:paraId="6811B3C2" w14:textId="664BBEF7" w:rsidR="00B73BD5" w:rsidRPr="00DC7421" w:rsidRDefault="00B73BD5" w:rsidP="00B73BD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6E1BBDE6"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645AF5">
              <w:rPr>
                <w:rFonts w:cs="Arial"/>
                <w:szCs w:val="20"/>
              </w:rPr>
              <w:t>3.0</w:t>
            </w:r>
            <w:r w:rsidR="00E47DE5">
              <w:rPr>
                <w:rFonts w:cs="Arial"/>
                <w:szCs w:val="20"/>
              </w:rPr>
              <w:t xml:space="preserve"> </w:t>
            </w:r>
            <w:r>
              <w:rPr>
                <w:rFonts w:cs="Arial"/>
                <w:szCs w:val="20"/>
              </w:rPr>
              <w:t xml:space="preserve">and </w:t>
            </w:r>
            <w:r w:rsidR="00645AF5">
              <w:rPr>
                <w:rFonts w:cs="Arial"/>
                <w:szCs w:val="20"/>
              </w:rPr>
              <w:t>24.0</w:t>
            </w:r>
            <w:r w:rsidR="00E47DE5" w:rsidRPr="00DC7421">
              <w:rPr>
                <w:rFonts w:cs="Arial"/>
                <w:szCs w:val="20"/>
              </w:rPr>
              <w:t xml:space="preserve"> </w:t>
            </w:r>
            <w:r w:rsidRPr="00DC7421">
              <w:rPr>
                <w:rFonts w:cs="Arial"/>
                <w:szCs w:val="20"/>
              </w:rPr>
              <w:t>without error messages are released</w:t>
            </w:r>
          </w:p>
          <w:p w14:paraId="512DB6C5" w14:textId="253F2E26" w:rsidR="00F84C8E" w:rsidRPr="00DC7421" w:rsidRDefault="00F84C8E" w:rsidP="00645AF5">
            <w:pPr>
              <w:numPr>
                <w:ilvl w:val="0"/>
                <w:numId w:val="40"/>
              </w:numPr>
              <w:rPr>
                <w:rFonts w:cs="Arial"/>
                <w:szCs w:val="20"/>
              </w:rPr>
            </w:pPr>
            <w:r>
              <w:rPr>
                <w:rFonts w:cs="Arial"/>
                <w:szCs w:val="20"/>
              </w:rPr>
              <w:t xml:space="preserve">Results below </w:t>
            </w:r>
            <w:r w:rsidR="00DB1751">
              <w:rPr>
                <w:rFonts w:cs="Arial"/>
                <w:szCs w:val="20"/>
              </w:rPr>
              <w:t>3.0</w:t>
            </w:r>
            <w:r w:rsidR="00E47DE5">
              <w:rPr>
                <w:rFonts w:cs="Arial"/>
                <w:szCs w:val="20"/>
              </w:rPr>
              <w:t xml:space="preserve"> </w:t>
            </w:r>
            <w:r>
              <w:rPr>
                <w:rFonts w:cs="Arial"/>
                <w:szCs w:val="20"/>
              </w:rPr>
              <w:t xml:space="preserve">without error messages are reported as &lt; </w:t>
            </w:r>
            <w:r w:rsidR="00DB1751">
              <w:rPr>
                <w:rFonts w:cs="Arial"/>
                <w:szCs w:val="20"/>
              </w:rPr>
              <w:t>3.0</w:t>
            </w:r>
            <w:r w:rsidR="00645AF5">
              <w:t xml:space="preserve"> </w:t>
            </w:r>
            <w:r w:rsidR="00645AF5" w:rsidRPr="00645AF5">
              <w:rPr>
                <w:rFonts w:cs="Arial"/>
                <w:szCs w:val="20"/>
              </w:rPr>
              <w:t>µg/dL</w:t>
            </w:r>
            <w:r>
              <w:rPr>
                <w:rFonts w:cs="Arial"/>
                <w:szCs w:val="20"/>
              </w:rPr>
              <w:t>.</w:t>
            </w:r>
          </w:p>
          <w:p w14:paraId="1516BBCC" w14:textId="456A5FC0" w:rsidR="00EA580E" w:rsidRPr="00F84C8E" w:rsidRDefault="00F84C8E" w:rsidP="00DB1751">
            <w:pPr>
              <w:numPr>
                <w:ilvl w:val="0"/>
                <w:numId w:val="40"/>
              </w:numPr>
              <w:rPr>
                <w:rFonts w:cs="Arial"/>
                <w:szCs w:val="20"/>
              </w:rPr>
            </w:pPr>
            <w:r>
              <w:rPr>
                <w:rFonts w:cs="Arial"/>
                <w:szCs w:val="20"/>
              </w:rPr>
              <w:t xml:space="preserve">Results &gt; </w:t>
            </w:r>
            <w:r w:rsidR="00DB1751">
              <w:rPr>
                <w:rFonts w:cs="Arial"/>
                <w:szCs w:val="20"/>
              </w:rPr>
              <w:t>24.0</w:t>
            </w:r>
            <w:r w:rsidR="00E47DE5" w:rsidRPr="00A166AA">
              <w:rPr>
                <w:rFonts w:cs="Arial"/>
                <w:szCs w:val="20"/>
              </w:rPr>
              <w:t xml:space="preserve"> </w:t>
            </w:r>
            <w:bookmarkStart w:id="0" w:name="_GoBack"/>
            <w:bookmarkEnd w:id="0"/>
            <w:r>
              <w:rPr>
                <w:rFonts w:cs="Arial"/>
                <w:szCs w:val="20"/>
              </w:rPr>
              <w:t xml:space="preserve">are reported as &gt; </w:t>
            </w:r>
            <w:r w:rsidR="00DB1751">
              <w:rPr>
                <w:rFonts w:cs="Arial"/>
                <w:szCs w:val="20"/>
              </w:rPr>
              <w:t>24.0</w:t>
            </w:r>
            <w:r w:rsidR="00DB1751">
              <w:t xml:space="preserve"> </w:t>
            </w:r>
            <w:r w:rsidR="00DB1751" w:rsidRPr="00DB1751">
              <w:rPr>
                <w:rFonts w:cs="Arial"/>
                <w:szCs w:val="20"/>
              </w:rPr>
              <w:t>µg/dL</w:t>
            </w:r>
            <w:r w:rsidRPr="00A166AA">
              <w:rPr>
                <w:rFonts w:cs="Arial"/>
                <w:szCs w:val="20"/>
              </w:rPr>
              <w:t>.</w:t>
            </w:r>
          </w:p>
          <w:p w14:paraId="5CD0003C" w14:textId="77777777" w:rsidR="00F83DB0" w:rsidRPr="00DC7421" w:rsidRDefault="00F83DB0" w:rsidP="00DB1751">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1155BA4C"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DB1751">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24952962" w14:textId="7CC694D8" w:rsidR="00DB1751" w:rsidRPr="00960541" w:rsidRDefault="00DB1751" w:rsidP="00DB1751">
            <w:pPr>
              <w:numPr>
                <w:ilvl w:val="0"/>
                <w:numId w:val="33"/>
              </w:numPr>
              <w:rPr>
                <w:rFonts w:cs="Arial"/>
                <w:szCs w:val="20"/>
              </w:rPr>
            </w:pPr>
            <w:r>
              <w:rPr>
                <w:rFonts w:cs="Arial"/>
                <w:szCs w:val="20"/>
              </w:rPr>
              <w:t>Abbott Alinity i Total T4</w:t>
            </w:r>
            <w:r w:rsidRPr="00960541">
              <w:rPr>
                <w:rFonts w:cs="Arial"/>
                <w:szCs w:val="20"/>
              </w:rPr>
              <w:t xml:space="preserve"> Reagent Instructions for Use, Abbott Diagnostics Division, Abbott</w:t>
            </w:r>
            <w:r>
              <w:rPr>
                <w:rFonts w:cs="Arial"/>
                <w:szCs w:val="20"/>
              </w:rPr>
              <w:t xml:space="preserve"> Park, IL USA.  Revised February 2018</w:t>
            </w:r>
          </w:p>
          <w:p w14:paraId="096152DF" w14:textId="219B5F58" w:rsidR="00DB1751" w:rsidRDefault="00DB1751" w:rsidP="00DB1751">
            <w:pPr>
              <w:numPr>
                <w:ilvl w:val="0"/>
                <w:numId w:val="33"/>
              </w:numPr>
              <w:rPr>
                <w:rFonts w:cs="Arial"/>
                <w:szCs w:val="20"/>
              </w:rPr>
            </w:pPr>
            <w:r>
              <w:rPr>
                <w:rFonts w:cs="Arial"/>
                <w:szCs w:val="20"/>
              </w:rPr>
              <w:t>Abbott Alinity i Total T4</w:t>
            </w:r>
            <w:r w:rsidRPr="00960541">
              <w:rPr>
                <w:rFonts w:cs="Arial"/>
                <w:szCs w:val="20"/>
              </w:rPr>
              <w:t xml:space="preserve"> Calibrator Kit Package Insert, Abbott Diagnostics Division, Abbott Park, IL USA.  Revised </w:t>
            </w:r>
            <w:r>
              <w:rPr>
                <w:rFonts w:cs="Arial"/>
                <w:szCs w:val="20"/>
              </w:rPr>
              <w:t>February</w:t>
            </w:r>
            <w:r w:rsidRPr="00960541">
              <w:rPr>
                <w:rFonts w:cs="Arial"/>
                <w:szCs w:val="20"/>
              </w:rPr>
              <w:t xml:space="preserve"> 2018</w:t>
            </w:r>
          </w:p>
          <w:p w14:paraId="37F478D5" w14:textId="77777777" w:rsidR="00DB1751" w:rsidRPr="0092319D" w:rsidRDefault="00FB5ED8" w:rsidP="00DB1751">
            <w:pPr>
              <w:numPr>
                <w:ilvl w:val="0"/>
                <w:numId w:val="33"/>
              </w:numPr>
              <w:rPr>
                <w:rFonts w:cs="Arial"/>
                <w:szCs w:val="20"/>
              </w:rPr>
            </w:pPr>
            <w:hyperlink r:id="rId14" w:anchor="/login;next=search;queryParams=%7B%7D" w:history="1">
              <w:r w:rsidR="00DB1751" w:rsidRPr="0000237D">
                <w:rPr>
                  <w:rStyle w:val="Hyperlink"/>
                  <w:rFonts w:cs="Arial"/>
                  <w:szCs w:val="20"/>
                </w:rPr>
                <w:t>CALIPER Reference Interval Studies</w:t>
              </w:r>
            </w:hyperlink>
            <w:r w:rsidR="00DB1751">
              <w:rPr>
                <w:rFonts w:cs="Arial"/>
                <w:szCs w:val="20"/>
              </w:rPr>
              <w:t>, accessed 10/27/2020.</w:t>
            </w:r>
          </w:p>
          <w:p w14:paraId="38CC6144" w14:textId="77777777" w:rsidR="00DB1751" w:rsidRPr="0092319D" w:rsidRDefault="00DB1751" w:rsidP="00DB1751">
            <w:pPr>
              <w:pStyle w:val="ListParagraph"/>
              <w:numPr>
                <w:ilvl w:val="0"/>
                <w:numId w:val="33"/>
              </w:numPr>
              <w:rPr>
                <w:rFonts w:cs="Arial"/>
                <w:szCs w:val="20"/>
              </w:rPr>
            </w:pPr>
            <w:r w:rsidRPr="0092319D">
              <w:rPr>
                <w:rFonts w:cs="Arial"/>
                <w:szCs w:val="20"/>
              </w:rPr>
              <w:t>BioRad Liquichek Immunoassay Plus Quality Control Package Insert, BioRad Laboratories, Irvine, CA.  Revised April 2020</w:t>
            </w:r>
          </w:p>
          <w:p w14:paraId="5CD00046" w14:textId="77777777" w:rsidR="00E3253B" w:rsidRPr="00DC7421" w:rsidRDefault="00E3253B" w:rsidP="00DB1751">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1A510A2" w:rsidR="00F50200" w:rsidRPr="00DC7421" w:rsidRDefault="00DB1751">
            <w:pPr>
              <w:rPr>
                <w:rFonts w:cs="Arial"/>
                <w:szCs w:val="20"/>
              </w:rPr>
            </w:pPr>
            <w:r>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3F71E322" w:rsidR="00F50200" w:rsidRPr="00DC7421" w:rsidRDefault="00DB1751">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1" w14:textId="59EC6C7A" w:rsidR="00F50200" w:rsidRPr="00DC7421" w:rsidRDefault="00DB1751">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2" w14:textId="106CB919" w:rsidR="00F50200" w:rsidRPr="00DC7421" w:rsidRDefault="00824C10">
            <w:pPr>
              <w:rPr>
                <w:rFonts w:cs="Arial"/>
                <w:iCs/>
                <w:szCs w:val="20"/>
              </w:rPr>
            </w:pPr>
            <w:r w:rsidRPr="00DC7421">
              <w:rPr>
                <w:rFonts w:cs="Arial"/>
                <w:iCs/>
                <w:szCs w:val="20"/>
              </w:rPr>
              <w:t>New Procedure for Abbott</w:t>
            </w:r>
            <w:r w:rsidR="00DB1751">
              <w:rPr>
                <w:rFonts w:cs="Arial"/>
                <w:iCs/>
                <w:szCs w:val="20"/>
              </w:rPr>
              <w:t xml:space="preserve"> Alinity analyzer</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54D006D3" w:rsidR="00F50200" w:rsidRPr="00F84C8E" w:rsidRDefault="00F50200">
            <w:pPr>
              <w:rPr>
                <w:rFonts w:cs="Arial"/>
                <w:iCs/>
                <w:szCs w:val="20"/>
              </w:rPr>
            </w:pPr>
          </w:p>
        </w:tc>
        <w:tc>
          <w:tcPr>
            <w:tcW w:w="1530" w:type="dxa"/>
            <w:tcBorders>
              <w:top w:val="single" w:sz="4" w:space="0" w:color="auto"/>
              <w:left w:val="single" w:sz="4" w:space="0" w:color="auto"/>
              <w:bottom w:val="single" w:sz="4" w:space="0" w:color="auto"/>
              <w:right w:val="single" w:sz="4" w:space="0" w:color="auto"/>
            </w:tcBorders>
          </w:tcPr>
          <w:p w14:paraId="5CD00057" w14:textId="39B44BE3" w:rsidR="00F50200" w:rsidRPr="00F84C8E"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8" w14:textId="4BA2B1CE" w:rsidR="00F50200" w:rsidRPr="00F84C8E" w:rsidRDefault="00F50200">
            <w:pPr>
              <w:rPr>
                <w:rFonts w:cs="Arial"/>
                <w:iCs/>
                <w:szCs w:val="20"/>
              </w:rPr>
            </w:pPr>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1F9C517B" w:rsidR="00B13C1A" w:rsidRPr="002E718D" w:rsidRDefault="00B13C1A" w:rsidP="002E718D">
    <w:pPr>
      <w:ind w:left="-1260" w:right="-1260"/>
      <w:rPr>
        <w:rFonts w:cs="Arial"/>
        <w:sz w:val="16"/>
      </w:rPr>
    </w:pPr>
    <w:r>
      <w:rPr>
        <w:rFonts w:cs="Arial"/>
        <w:sz w:val="16"/>
      </w:rPr>
      <w:t>Laboratory, Chi</w:t>
    </w:r>
    <w:r w:rsidR="00EB61E3">
      <w:rPr>
        <w:rFonts w:cs="Arial"/>
        <w:sz w:val="16"/>
      </w:rPr>
      <w:t>ldren’s 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FB5ED8">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FB5ED8">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56AAF6FA"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C51E93">
      <w:rPr>
        <w:rFonts w:cs="Arial"/>
      </w:rPr>
      <w:t>6.821 Thyroxine, Total</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5EE9FDD9" w:rsidR="00B13C1A" w:rsidRDefault="00B13C1A">
    <w:pPr>
      <w:ind w:left="-1260" w:right="-1260"/>
      <w:rPr>
        <w:rFonts w:cs="Arial"/>
      </w:rPr>
    </w:pPr>
    <w:r>
      <w:rPr>
        <w:rFonts w:cs="Arial"/>
      </w:rPr>
      <w:t xml:space="preserve">Effective Date: </w:t>
    </w:r>
    <w:r w:rsidR="00C51E93">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6431AC"/>
    <w:multiLevelType w:val="hybridMultilevel"/>
    <w:tmpl w:val="B30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5131C"/>
    <w:multiLevelType w:val="hybridMultilevel"/>
    <w:tmpl w:val="98B6F8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5"/>
  </w:num>
  <w:num w:numId="3">
    <w:abstractNumId w:val="31"/>
  </w:num>
  <w:num w:numId="4">
    <w:abstractNumId w:val="35"/>
  </w:num>
  <w:num w:numId="5">
    <w:abstractNumId w:val="6"/>
  </w:num>
  <w:num w:numId="6">
    <w:abstractNumId w:val="11"/>
  </w:num>
  <w:num w:numId="7">
    <w:abstractNumId w:val="27"/>
  </w:num>
  <w:num w:numId="8">
    <w:abstractNumId w:val="22"/>
  </w:num>
  <w:num w:numId="9">
    <w:abstractNumId w:val="14"/>
  </w:num>
  <w:num w:numId="10">
    <w:abstractNumId w:val="2"/>
  </w:num>
  <w:num w:numId="11">
    <w:abstractNumId w:val="28"/>
  </w:num>
  <w:num w:numId="12">
    <w:abstractNumId w:val="9"/>
  </w:num>
  <w:num w:numId="13">
    <w:abstractNumId w:val="29"/>
  </w:num>
  <w:num w:numId="14">
    <w:abstractNumId w:val="38"/>
  </w:num>
  <w:num w:numId="15">
    <w:abstractNumId w:val="20"/>
  </w:num>
  <w:num w:numId="16">
    <w:abstractNumId w:val="1"/>
  </w:num>
  <w:num w:numId="17">
    <w:abstractNumId w:val="41"/>
  </w:num>
  <w:num w:numId="18">
    <w:abstractNumId w:val="12"/>
  </w:num>
  <w:num w:numId="19">
    <w:abstractNumId w:val="19"/>
  </w:num>
  <w:num w:numId="20">
    <w:abstractNumId w:val="26"/>
  </w:num>
  <w:num w:numId="21">
    <w:abstractNumId w:val="33"/>
  </w:num>
  <w:num w:numId="22">
    <w:abstractNumId w:val="39"/>
  </w:num>
  <w:num w:numId="23">
    <w:abstractNumId w:val="24"/>
  </w:num>
  <w:num w:numId="24">
    <w:abstractNumId w:val="7"/>
  </w:num>
  <w:num w:numId="25">
    <w:abstractNumId w:val="18"/>
  </w:num>
  <w:num w:numId="26">
    <w:abstractNumId w:val="13"/>
  </w:num>
  <w:num w:numId="27">
    <w:abstractNumId w:val="8"/>
  </w:num>
  <w:num w:numId="28">
    <w:abstractNumId w:val="23"/>
  </w:num>
  <w:num w:numId="29">
    <w:abstractNumId w:val="32"/>
  </w:num>
  <w:num w:numId="30">
    <w:abstractNumId w:val="30"/>
  </w:num>
  <w:num w:numId="31">
    <w:abstractNumId w:val="21"/>
  </w:num>
  <w:num w:numId="32">
    <w:abstractNumId w:val="17"/>
  </w:num>
  <w:num w:numId="33">
    <w:abstractNumId w:val="5"/>
  </w:num>
  <w:num w:numId="34">
    <w:abstractNumId w:val="36"/>
  </w:num>
  <w:num w:numId="35">
    <w:abstractNumId w:val="34"/>
  </w:num>
  <w:num w:numId="36">
    <w:abstractNumId w:val="16"/>
  </w:num>
  <w:num w:numId="37">
    <w:abstractNumId w:val="40"/>
  </w:num>
  <w:num w:numId="38">
    <w:abstractNumId w:val="0"/>
  </w:num>
  <w:num w:numId="39">
    <w:abstractNumId w:val="10"/>
  </w:num>
  <w:num w:numId="40">
    <w:abstractNumId w:val="25"/>
  </w:num>
  <w:num w:numId="41">
    <w:abstractNumId w:val="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13435"/>
    <w:rsid w:val="0002281F"/>
    <w:rsid w:val="000244AC"/>
    <w:rsid w:val="00025B50"/>
    <w:rsid w:val="0002771B"/>
    <w:rsid w:val="00064AD2"/>
    <w:rsid w:val="000A3E5A"/>
    <w:rsid w:val="000E63E3"/>
    <w:rsid w:val="001102B2"/>
    <w:rsid w:val="00115DD6"/>
    <w:rsid w:val="001241E4"/>
    <w:rsid w:val="0017089C"/>
    <w:rsid w:val="001A1584"/>
    <w:rsid w:val="001B58ED"/>
    <w:rsid w:val="001C1CFA"/>
    <w:rsid w:val="001C641E"/>
    <w:rsid w:val="001D1786"/>
    <w:rsid w:val="001D284B"/>
    <w:rsid w:val="001F5D12"/>
    <w:rsid w:val="00233AA0"/>
    <w:rsid w:val="00234774"/>
    <w:rsid w:val="002462C0"/>
    <w:rsid w:val="00250A09"/>
    <w:rsid w:val="00252F1D"/>
    <w:rsid w:val="002840D7"/>
    <w:rsid w:val="002A3FA3"/>
    <w:rsid w:val="002C12BF"/>
    <w:rsid w:val="002C29CB"/>
    <w:rsid w:val="002C3006"/>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A7373"/>
    <w:rsid w:val="005B66A7"/>
    <w:rsid w:val="005C29DB"/>
    <w:rsid w:val="005C6F36"/>
    <w:rsid w:val="006200C0"/>
    <w:rsid w:val="00645AF5"/>
    <w:rsid w:val="00646E63"/>
    <w:rsid w:val="00655B61"/>
    <w:rsid w:val="00685D61"/>
    <w:rsid w:val="00693888"/>
    <w:rsid w:val="006A26B2"/>
    <w:rsid w:val="006A2770"/>
    <w:rsid w:val="006A41B1"/>
    <w:rsid w:val="006A5A84"/>
    <w:rsid w:val="006B78CE"/>
    <w:rsid w:val="006C5661"/>
    <w:rsid w:val="006C7814"/>
    <w:rsid w:val="006F3EAE"/>
    <w:rsid w:val="007132A9"/>
    <w:rsid w:val="00747868"/>
    <w:rsid w:val="007B1809"/>
    <w:rsid w:val="007B2A3E"/>
    <w:rsid w:val="007B410A"/>
    <w:rsid w:val="007B6E84"/>
    <w:rsid w:val="007F5B07"/>
    <w:rsid w:val="008044BA"/>
    <w:rsid w:val="0081197E"/>
    <w:rsid w:val="0081598A"/>
    <w:rsid w:val="00824C10"/>
    <w:rsid w:val="008577F5"/>
    <w:rsid w:val="008A71A5"/>
    <w:rsid w:val="008A7CDA"/>
    <w:rsid w:val="008B53E5"/>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1A63"/>
    <w:rsid w:val="00B067D8"/>
    <w:rsid w:val="00B109AB"/>
    <w:rsid w:val="00B11633"/>
    <w:rsid w:val="00B13C1A"/>
    <w:rsid w:val="00B2749D"/>
    <w:rsid w:val="00B415C8"/>
    <w:rsid w:val="00B73BD5"/>
    <w:rsid w:val="00BB3F98"/>
    <w:rsid w:val="00BC1DCC"/>
    <w:rsid w:val="00BD0AE4"/>
    <w:rsid w:val="00BD0E0F"/>
    <w:rsid w:val="00BD3CED"/>
    <w:rsid w:val="00C00B65"/>
    <w:rsid w:val="00C13C50"/>
    <w:rsid w:val="00C13DCA"/>
    <w:rsid w:val="00C36A46"/>
    <w:rsid w:val="00C51E93"/>
    <w:rsid w:val="00CD06C7"/>
    <w:rsid w:val="00CE07E8"/>
    <w:rsid w:val="00CE16FB"/>
    <w:rsid w:val="00CF08A6"/>
    <w:rsid w:val="00D271B1"/>
    <w:rsid w:val="00D302B9"/>
    <w:rsid w:val="00D63C07"/>
    <w:rsid w:val="00D75850"/>
    <w:rsid w:val="00D955F6"/>
    <w:rsid w:val="00DB1751"/>
    <w:rsid w:val="00DC24D6"/>
    <w:rsid w:val="00DC2A34"/>
    <w:rsid w:val="00DC7091"/>
    <w:rsid w:val="00DC7421"/>
    <w:rsid w:val="00DF2DEC"/>
    <w:rsid w:val="00DF5549"/>
    <w:rsid w:val="00DF6343"/>
    <w:rsid w:val="00E049CF"/>
    <w:rsid w:val="00E246BA"/>
    <w:rsid w:val="00E3253B"/>
    <w:rsid w:val="00E47DE5"/>
    <w:rsid w:val="00E55C7B"/>
    <w:rsid w:val="00E93074"/>
    <w:rsid w:val="00EA2B3F"/>
    <w:rsid w:val="00EA580E"/>
    <w:rsid w:val="00EB4B6C"/>
    <w:rsid w:val="00EB61E3"/>
    <w:rsid w:val="00EE145B"/>
    <w:rsid w:val="00EF1741"/>
    <w:rsid w:val="00F0405E"/>
    <w:rsid w:val="00F236AF"/>
    <w:rsid w:val="00F50200"/>
    <w:rsid w:val="00F52BBA"/>
    <w:rsid w:val="00F6060A"/>
    <w:rsid w:val="00F63DA5"/>
    <w:rsid w:val="00F83DB0"/>
    <w:rsid w:val="00F84C8E"/>
    <w:rsid w:val="00FB5ED8"/>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liper.research.sickkid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schemas.microsoft.com/office/2006/documentManagement/types"/>
    <ds:schemaRef ds:uri="http://schemas.microsoft.com/sharepoint/v3"/>
    <ds:schemaRef ds:uri="http://purl.org/dc/terms/"/>
    <ds:schemaRef ds:uri="http://purl.org/dc/dcmitype/"/>
    <ds:schemaRef ds:uri="http://schemas.microsoft.com/office/2006/metadata/properties"/>
    <ds:schemaRef ds:uri="http://schemas.microsoft.com/office/infopath/2007/PartnerControls"/>
    <ds:schemaRef ds:uri="http://schemas.microsoft.com/sharepoint.v3"/>
    <ds:schemaRef ds:uri="http://purl.org/dc/elements/1.1/"/>
    <ds:schemaRef ds:uri="http://schemas.openxmlformats.org/package/2006/metadata/core-properties"/>
    <ds:schemaRef ds:uri="c1848e11-9cf6-4ce4-877e-6837d2c2fa23"/>
    <ds:schemaRef ds:uri="http://schemas.microsoft.com/sharepoint/v3/fields"/>
    <ds:schemaRef ds:uri="199f0838-75a6-4f0c-9be1-f2c07140bccc"/>
    <ds:schemaRef ds:uri="http://www.w3.org/XML/1998/namespace"/>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8720403E-CA33-478C-8A5D-3216C1BC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1977</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13244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2020-11-23T23:18:00Z</dcterms:created>
  <dcterms:modified xsi:type="dcterms:W3CDTF">2020-11-24T01:44:00Z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