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1068"/>
        <w:gridCol w:w="1634"/>
        <w:gridCol w:w="364"/>
        <w:gridCol w:w="8"/>
        <w:gridCol w:w="1431"/>
        <w:gridCol w:w="163"/>
        <w:gridCol w:w="738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945CD" w:rsidRDefault="00795268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GeneXpert </w:t>
            </w:r>
            <w:proofErr w:type="spellStart"/>
            <w:r>
              <w:rPr>
                <w:rFonts w:ascii="Arial" w:hAnsi="Arial"/>
                <w:color w:val="0000FF"/>
              </w:rPr>
              <w:t>Xpert</w:t>
            </w:r>
            <w:proofErr w:type="spellEnd"/>
            <w:r>
              <w:rPr>
                <w:rFonts w:ascii="Arial" w:hAnsi="Arial"/>
                <w:color w:val="0000FF"/>
              </w:rPr>
              <w:t xml:space="preserve"> Enterovirus (EV) Assay Quality Control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795268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This procedure provides instruction for </w:t>
            </w:r>
            <w:r w:rsidR="00795268" w:rsidRPr="00795268">
              <w:rPr>
                <w:rFonts w:ascii="Arial" w:hAnsi="Arial"/>
                <w:sz w:val="20"/>
                <w:szCs w:val="20"/>
              </w:rPr>
              <w:t xml:space="preserve">Quality Control procedures required for the </w:t>
            </w:r>
            <w:proofErr w:type="spellStart"/>
            <w:r w:rsidR="00795268" w:rsidRPr="00795268">
              <w:rPr>
                <w:rFonts w:ascii="Arial" w:hAnsi="Arial"/>
                <w:sz w:val="20"/>
                <w:szCs w:val="20"/>
              </w:rPr>
              <w:t>Xpert</w:t>
            </w:r>
            <w:proofErr w:type="spellEnd"/>
            <w:r w:rsidR="00795268" w:rsidRPr="00795268">
              <w:rPr>
                <w:rFonts w:ascii="Arial" w:hAnsi="Arial"/>
                <w:sz w:val="20"/>
                <w:szCs w:val="20"/>
              </w:rPr>
              <w:t xml:space="preserve"> EV Assay.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="00795268">
              <w:rPr>
                <w:rFonts w:ascii="Arial" w:hAnsi="Arial"/>
                <w:sz w:val="20"/>
                <w:szCs w:val="20"/>
              </w:rPr>
              <w:t>Microbiologists who perform testing in the Rapid Molecular area</w:t>
            </w:r>
            <w:r w:rsidR="009945CD">
              <w:rPr>
                <w:rFonts w:ascii="Arial" w:hAnsi="Arial"/>
              </w:rPr>
              <w:t>.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7952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795268" w:rsidTr="007952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795268" w:rsidRDefault="0079526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795268" w:rsidTr="007952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795268" w:rsidRDefault="0079526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Microbiologics Enterovirus (EV) </w:t>
            </w:r>
            <w:r w:rsidR="002C5548">
              <w:rPr>
                <w:rFonts w:ascii="Arial" w:hAnsi="Arial"/>
                <w:sz w:val="20"/>
              </w:rPr>
              <w:t>Positive &amp; Negative Control 8190</w:t>
            </w:r>
          </w:p>
          <w:p w:rsidR="002C554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Tris</w:t>
            </w:r>
            <w:proofErr w:type="spellEnd"/>
            <w:r>
              <w:rPr>
                <w:rFonts w:ascii="Arial" w:hAnsi="Arial"/>
                <w:sz w:val="20"/>
              </w:rPr>
              <w:t>-EDTA (TE) buffer</w:t>
            </w:r>
          </w:p>
          <w:p w:rsidR="00795268" w:rsidRDefault="002C554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10%</w:t>
            </w:r>
            <w:r w:rsidR="00795268">
              <w:rPr>
                <w:rFonts w:ascii="Arial" w:hAnsi="Arial"/>
                <w:sz w:val="20"/>
              </w:rPr>
              <w:t xml:space="preserve"> bleach</w:t>
            </w:r>
          </w:p>
          <w:p w:rsidR="00795268" w:rsidRPr="004A0608" w:rsidRDefault="00795268" w:rsidP="00795268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70% ethanol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Xpert</w:t>
            </w:r>
            <w:proofErr w:type="spellEnd"/>
            <w:r>
              <w:rPr>
                <w:rFonts w:ascii="Arial" w:hAnsi="Arial"/>
                <w:sz w:val="20"/>
              </w:rPr>
              <w:t xml:space="preserve"> Enterovirus cartridges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Nuclease-Free Water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Transfer pipettes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Pipette tips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Sample racks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Cartridge transfer tray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Absorbent biohazard squares 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Culturette swabs</w:t>
            </w:r>
          </w:p>
          <w:p w:rsidR="00795268" w:rsidRDefault="00795268" w:rsidP="0079526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extended pipette tips</w:t>
            </w:r>
          </w:p>
          <w:p w:rsidR="00795268" w:rsidRPr="002C5548" w:rsidRDefault="002C5548" w:rsidP="002C5548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ml conical tubes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Biosafety Hood</w:t>
            </w:r>
          </w:p>
          <w:p w:rsidR="00795268" w:rsidRPr="00C2377C" w:rsidRDefault="00795268" w:rsidP="0079526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7C">
              <w:rPr>
                <w:rFonts w:ascii="Arial" w:hAnsi="Arial" w:cs="Arial"/>
                <w:sz w:val="20"/>
                <w:szCs w:val="20"/>
              </w:rPr>
              <w:t>Cepheid GeneXpert Instrument and computer</w:t>
            </w:r>
          </w:p>
          <w:p w:rsidR="00795268" w:rsidRDefault="00795268" w:rsidP="0079526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Printer</w:t>
            </w:r>
          </w:p>
          <w:p w:rsidR="00795268" w:rsidRDefault="00795268" w:rsidP="0079526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Pipettes</w:t>
            </w:r>
          </w:p>
          <w:p w:rsidR="00795268" w:rsidRPr="004A0608" w:rsidRDefault="00795268" w:rsidP="00795268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79526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795268" w:rsidRP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  <w:r w:rsidRPr="00795268">
              <w:rPr>
                <w:rFonts w:ascii="Arial" w:hAnsi="Arial"/>
                <w:b/>
                <w:sz w:val="20"/>
              </w:rPr>
              <w:t>New Lot/Shipment and Monthly Quality control:</w:t>
            </w:r>
          </w:p>
          <w:p w:rsidR="00795268" w:rsidRPr="00795268" w:rsidRDefault="00795268" w:rsidP="00795268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Microbiologics Enterovirus (EV) negative controls</w:t>
            </w:r>
          </w:p>
          <w:p w:rsidR="00795268" w:rsidRPr="00795268" w:rsidRDefault="00795268" w:rsidP="00795268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Microbiologics Enterovirus (EV) positive controls</w:t>
            </w:r>
          </w:p>
          <w:p w:rsidR="00795268" w:rsidRPr="00795268" w:rsidRDefault="00795268" w:rsidP="00795268">
            <w:pPr>
              <w:jc w:val="left"/>
              <w:rPr>
                <w:rFonts w:ascii="Arial" w:hAnsi="Arial"/>
                <w:sz w:val="20"/>
              </w:rPr>
            </w:pPr>
          </w:p>
          <w:p w:rsidR="00795268" w:rsidRP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  <w:r w:rsidRPr="00795268">
              <w:rPr>
                <w:rFonts w:ascii="Arial" w:hAnsi="Arial"/>
                <w:b/>
                <w:sz w:val="20"/>
              </w:rPr>
              <w:t>Wipe test control (monthly):</w:t>
            </w:r>
          </w:p>
          <w:p w:rsidR="00795268" w:rsidRPr="00795268" w:rsidRDefault="00795268" w:rsidP="00795268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 xml:space="preserve">Culturette swab collection and placed into </w:t>
            </w:r>
            <w:proofErr w:type="spellStart"/>
            <w:r w:rsidRPr="00795268">
              <w:rPr>
                <w:rFonts w:ascii="Arial" w:hAnsi="Arial"/>
                <w:sz w:val="20"/>
              </w:rPr>
              <w:t>tris</w:t>
            </w:r>
            <w:proofErr w:type="spellEnd"/>
            <w:r w:rsidRPr="00795268">
              <w:rPr>
                <w:rFonts w:ascii="Arial" w:hAnsi="Arial"/>
                <w:sz w:val="20"/>
              </w:rPr>
              <w:t>-EDTA (TE) buffer</w:t>
            </w:r>
          </w:p>
          <w:p w:rsidR="00795268" w:rsidRPr="00795268" w:rsidRDefault="00795268" w:rsidP="00795268">
            <w:pPr>
              <w:jc w:val="left"/>
              <w:rPr>
                <w:rFonts w:ascii="Arial" w:hAnsi="Arial"/>
                <w:sz w:val="20"/>
              </w:rPr>
            </w:pPr>
          </w:p>
          <w:p w:rsidR="00795268" w:rsidRP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  <w:r w:rsidRPr="00795268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795268" w:rsidRPr="00795268" w:rsidRDefault="00795268" w:rsidP="00795268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Controls </w:t>
            </w:r>
          </w:p>
          <w:p w:rsidR="00846D75" w:rsidRDefault="00846D75" w:rsidP="0079526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4E2C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  <w:r w:rsidR="00131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035">
              <w:rPr>
                <w:rFonts w:ascii="Arial" w:hAnsi="Arial" w:cs="Arial"/>
                <w:sz w:val="20"/>
              </w:rPr>
              <w:t xml:space="preserve">Refer to the safety policies located in the safety section of the </w:t>
            </w:r>
            <w:r w:rsidR="00131035" w:rsidRPr="00AF3855">
              <w:rPr>
                <w:rFonts w:ascii="Arial" w:hAnsi="Arial" w:cs="Arial"/>
                <w:i/>
                <w:sz w:val="20"/>
              </w:rPr>
              <w:t>Microbiology Procedure Manual</w:t>
            </w:r>
            <w:r w:rsidR="00131035" w:rsidRPr="00AF3855">
              <w:rPr>
                <w:rFonts w:ascii="Arial" w:hAnsi="Arial" w:cs="Arial"/>
                <w:b/>
                <w:sz w:val="20"/>
              </w:rPr>
              <w:t>.</w:t>
            </w:r>
          </w:p>
          <w:p w:rsidR="00846D75" w:rsidRDefault="00A4275E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46D75" w:rsidRPr="00846D75" w:rsidRDefault="00A4275E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846D75" w:rsidRPr="00131035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846D75" w:rsidRDefault="00A4275E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Saf</w:t>
              </w:r>
              <w:r w:rsidR="00C13CC1" w:rsidRPr="00131035">
                <w:rPr>
                  <w:rStyle w:val="Hyperlink"/>
                  <w:rFonts w:ascii="Arial" w:hAnsi="Arial" w:cs="Arial"/>
                  <w:i/>
                  <w:sz w:val="20"/>
                </w:rPr>
                <w:t>ety in the Microbiology</w:t>
              </w:r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Laboratory</w:t>
              </w:r>
            </w:hyperlink>
          </w:p>
          <w:p w:rsidR="00927AD8" w:rsidRDefault="00927AD8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5E0385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385" w:rsidRDefault="005E0385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85" w:rsidRDefault="005E0385">
            <w:pPr>
              <w:rPr>
                <w:rFonts w:ascii="Arial" w:hAnsi="Arial"/>
                <w:sz w:val="20"/>
              </w:rPr>
            </w:pPr>
          </w:p>
          <w:p w:rsidR="00795268" w:rsidRDefault="00795268" w:rsidP="00795268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Store kits at 2-28</w:t>
            </w:r>
            <w:r w:rsidRPr="00795268">
              <w:rPr>
                <w:rFonts w:ascii="Arial" w:hAnsi="Arial" w:cs="Arial"/>
                <w:sz w:val="20"/>
              </w:rPr>
              <w:t>°</w:t>
            </w:r>
            <w:r w:rsidRPr="00795268">
              <w:rPr>
                <w:rFonts w:ascii="Arial" w:hAnsi="Arial"/>
                <w:sz w:val="20"/>
              </w:rPr>
              <w:t xml:space="preserve">C.  Kits are stable until the expiration date printed on the outer box.   </w:t>
            </w:r>
          </w:p>
          <w:p w:rsidR="005E0385" w:rsidRPr="00795268" w:rsidRDefault="00795268" w:rsidP="00795268">
            <w:pPr>
              <w:numPr>
                <w:ilvl w:val="0"/>
                <w:numId w:val="7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2C5548">
              <w:rPr>
                <w:rFonts w:ascii="Arial" w:hAnsi="Arial"/>
                <w:sz w:val="20"/>
              </w:rPr>
              <w:t>Store controls at 2-25</w:t>
            </w:r>
            <w:r w:rsidRPr="002C5548">
              <w:rPr>
                <w:rFonts w:ascii="Arial" w:hAnsi="Arial" w:cs="Arial"/>
                <w:sz w:val="20"/>
              </w:rPr>
              <w:t>°</w:t>
            </w:r>
            <w:r w:rsidRPr="002C5548">
              <w:rPr>
                <w:rFonts w:ascii="Arial" w:hAnsi="Arial"/>
                <w:sz w:val="20"/>
              </w:rPr>
              <w:t>C.</w:t>
            </w:r>
            <w:r w:rsidRPr="00795268">
              <w:rPr>
                <w:rFonts w:ascii="Arial" w:hAnsi="Arial"/>
                <w:sz w:val="20"/>
              </w:rPr>
              <w:t xml:space="preserve">  Swabs are stable until the expiration date printed on the package.</w:t>
            </w:r>
          </w:p>
          <w:p w:rsidR="005E0385" w:rsidRDefault="005E0385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95268" w:rsidRDefault="00795268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95268" w:rsidRDefault="00795268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9657C" w:rsidRDefault="005E0385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A95" w:rsidRDefault="002F2A95">
            <w:pPr>
              <w:rPr>
                <w:rFonts w:ascii="Arial" w:hAnsi="Arial"/>
                <w:sz w:val="20"/>
              </w:rPr>
            </w:pPr>
          </w:p>
          <w:p w:rsid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 QC:</w:t>
            </w:r>
          </w:p>
          <w:p w:rsidR="00795268" w:rsidRPr="00795268" w:rsidRDefault="00795268" w:rsidP="0079526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Every 30 days</w:t>
            </w:r>
          </w:p>
          <w:p w:rsidR="00795268" w:rsidRPr="00795268" w:rsidRDefault="00795268" w:rsidP="0079526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Receipt of new shipments</w:t>
            </w:r>
          </w:p>
          <w:p w:rsidR="00795268" w:rsidRPr="00795268" w:rsidRDefault="00795268" w:rsidP="0079526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Receipt of new lots</w:t>
            </w:r>
          </w:p>
          <w:p w:rsidR="00795268" w:rsidRPr="00795268" w:rsidRDefault="00795268" w:rsidP="0079526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Drift in results (e.g., unexpected significantly increasing/decreasing positivity rates)</w:t>
            </w:r>
          </w:p>
          <w:p w:rsidR="00795268" w:rsidRPr="00795268" w:rsidRDefault="00795268" w:rsidP="0079526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Potential contamination (negative control)</w:t>
            </w:r>
          </w:p>
          <w:p w:rsidR="00795268" w:rsidRPr="00795268" w:rsidRDefault="00795268" w:rsidP="0079526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After drastic system maintenance</w:t>
            </w:r>
          </w:p>
          <w:p w:rsidR="00795268" w:rsidRPr="00795268" w:rsidRDefault="00795268" w:rsidP="0079526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 xml:space="preserve">Wipe testing: Monthly </w:t>
            </w:r>
          </w:p>
          <w:p w:rsid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795268" w:rsidRP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  <w:r w:rsidRPr="00795268">
              <w:rPr>
                <w:rFonts w:ascii="Arial" w:hAnsi="Arial"/>
                <w:b/>
                <w:sz w:val="20"/>
              </w:rPr>
              <w:t>New Lot/Shipment and Monthly Quality control:</w:t>
            </w:r>
          </w:p>
          <w:p w:rsid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Obtain a</w:t>
            </w:r>
            <w:r w:rsidR="002C5548">
              <w:rPr>
                <w:rFonts w:ascii="Arial" w:hAnsi="Arial" w:cs="Arial"/>
                <w:sz w:val="20"/>
                <w:szCs w:val="20"/>
              </w:rPr>
              <w:t xml:space="preserve"> positive and negative control and nuclease-free water.</w:t>
            </w:r>
          </w:p>
          <w:p w:rsidR="002C5548" w:rsidRPr="00795268" w:rsidRDefault="002C554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Aliquot 3 ml nuclease-free water into 2 15 ml conical tubes (3 ml into each tube). 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Clean hood and supplies: 10% bleach dilution followed by 70% ethanol. 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Obtain two test cartridges.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Label cartridges </w:t>
            </w:r>
            <w:r w:rsidR="002C5548">
              <w:rPr>
                <w:rFonts w:ascii="Arial" w:hAnsi="Arial" w:cs="Arial"/>
                <w:sz w:val="20"/>
                <w:szCs w:val="20"/>
              </w:rPr>
              <w:t xml:space="preserve">and conical tubes </w:t>
            </w:r>
            <w:r w:rsidRPr="00795268">
              <w:rPr>
                <w:rFonts w:ascii="Arial" w:hAnsi="Arial" w:cs="Arial"/>
                <w:sz w:val="20"/>
                <w:szCs w:val="20"/>
              </w:rPr>
              <w:t>for the positive and negative controls.</w:t>
            </w:r>
          </w:p>
          <w:p w:rsidR="00795268" w:rsidRPr="00795268" w:rsidRDefault="00795268" w:rsidP="0079526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Set up the positive control first.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Insert the swab into the nuclease-free water and break shaft off using and absorbent biohazard pad) orange as a barrier on the top of the tube.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Vortex the vial for 10 seconds. 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Change gloves in-between processing of controls AND before moving to the instrument.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Run cartridges as patient samples. (see GeneXpert </w:t>
            </w:r>
            <w:proofErr w:type="spellStart"/>
            <w:r w:rsidRPr="00795268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Pr="00795268">
              <w:rPr>
                <w:rFonts w:ascii="Arial" w:hAnsi="Arial" w:cs="Arial"/>
                <w:sz w:val="20"/>
                <w:szCs w:val="20"/>
              </w:rPr>
              <w:t xml:space="preserve"> EV procedure)</w:t>
            </w:r>
          </w:p>
          <w:p w:rsidR="00795268" w:rsidRPr="00795268" w:rsidRDefault="00795268" w:rsidP="0079526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Under the “Test Type” field select “Positive Control 1” or “Negative Control 1”.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Clean hood with 10% bleach dilution followed by 70% ethanol.</w:t>
            </w:r>
          </w:p>
          <w:p w:rsidR="00795268" w:rsidRPr="00795268" w:rsidRDefault="00795268" w:rsidP="0079526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Document QC in the GeneXpert Assay binder.  </w:t>
            </w:r>
          </w:p>
          <w:p w:rsidR="00795268" w:rsidRPr="00795268" w:rsidRDefault="00795268" w:rsidP="0079526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795268" w:rsidRPr="00795268" w:rsidRDefault="00795268" w:rsidP="0079526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Rotate modules for QC testing.</w:t>
            </w:r>
          </w:p>
          <w:p w:rsidR="00795268" w:rsidRPr="00795268" w:rsidRDefault="00795268" w:rsidP="00795268">
            <w:pPr>
              <w:rPr>
                <w:rFonts w:ascii="Arial" w:hAnsi="Arial"/>
                <w:sz w:val="20"/>
              </w:rPr>
            </w:pPr>
          </w:p>
          <w:p w:rsidR="00795268" w:rsidRPr="00795268" w:rsidRDefault="00795268" w:rsidP="00795268">
            <w:pPr>
              <w:rPr>
                <w:rFonts w:ascii="Arial" w:hAnsi="Arial"/>
                <w:sz w:val="20"/>
              </w:rPr>
            </w:pPr>
          </w:p>
          <w:p w:rsidR="00795268" w:rsidRP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  <w:r w:rsidRPr="00795268">
              <w:rPr>
                <w:rFonts w:ascii="Arial" w:hAnsi="Arial"/>
                <w:b/>
                <w:sz w:val="20"/>
              </w:rPr>
              <w:t>Wipe test:</w:t>
            </w:r>
          </w:p>
          <w:p w:rsidR="00795268" w:rsidRPr="00795268" w:rsidRDefault="00795268" w:rsidP="00795268">
            <w:pPr>
              <w:numPr>
                <w:ilvl w:val="0"/>
                <w:numId w:val="9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 xml:space="preserve">Aliquot 500 </w:t>
            </w:r>
            <w:proofErr w:type="spellStart"/>
            <w:r w:rsidRPr="00795268">
              <w:rPr>
                <w:rFonts w:ascii="Arial" w:hAnsi="Arial"/>
                <w:sz w:val="20"/>
              </w:rPr>
              <w:t>uL</w:t>
            </w:r>
            <w:proofErr w:type="spellEnd"/>
            <w:r w:rsidRPr="00795268">
              <w:rPr>
                <w:rFonts w:ascii="Arial" w:hAnsi="Arial"/>
                <w:sz w:val="20"/>
              </w:rPr>
              <w:t xml:space="preserve"> TE buffer into a </w:t>
            </w:r>
            <w:proofErr w:type="spellStart"/>
            <w:r w:rsidRPr="00795268">
              <w:rPr>
                <w:rFonts w:ascii="Arial" w:hAnsi="Arial"/>
                <w:sz w:val="20"/>
              </w:rPr>
              <w:t>cryovial</w:t>
            </w:r>
            <w:proofErr w:type="spellEnd"/>
            <w:r w:rsidRPr="00795268">
              <w:rPr>
                <w:rFonts w:ascii="Arial" w:hAnsi="Arial"/>
                <w:sz w:val="20"/>
              </w:rPr>
              <w:t>.</w:t>
            </w:r>
          </w:p>
          <w:p w:rsidR="00795268" w:rsidRPr="00795268" w:rsidRDefault="00795268" w:rsidP="00795268">
            <w:pPr>
              <w:numPr>
                <w:ilvl w:val="0"/>
                <w:numId w:val="9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Dip a culturette swab in the TE buffer and swab the processing hood surface, counter around the GeneXpert instrument (including the keyboard, mouse, and scanner), and door handles on the instrument.</w:t>
            </w:r>
          </w:p>
          <w:p w:rsidR="00795268" w:rsidRPr="00795268" w:rsidRDefault="00795268" w:rsidP="00795268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/>
                <w:sz w:val="20"/>
                <w:szCs w:val="32"/>
              </w:rPr>
              <w:t xml:space="preserve">Break swab off into the </w:t>
            </w:r>
            <w:proofErr w:type="spellStart"/>
            <w:r w:rsidRPr="00795268">
              <w:rPr>
                <w:rFonts w:ascii="Arial" w:hAnsi="Arial"/>
                <w:sz w:val="20"/>
                <w:szCs w:val="32"/>
              </w:rPr>
              <w:t>cryovial</w:t>
            </w:r>
            <w:proofErr w:type="spellEnd"/>
            <w:r w:rsidRPr="00795268">
              <w:rPr>
                <w:rFonts w:ascii="Arial" w:hAnsi="Arial"/>
                <w:sz w:val="20"/>
                <w:szCs w:val="32"/>
              </w:rPr>
              <w:t xml:space="preserve"> </w:t>
            </w:r>
            <w:r w:rsidRPr="00795268">
              <w:rPr>
                <w:rFonts w:ascii="Arial" w:hAnsi="Arial" w:cs="Arial"/>
                <w:sz w:val="20"/>
                <w:szCs w:val="20"/>
              </w:rPr>
              <w:t>using an absorbent biohazard pad (orange) as a barrier on the top of the tube.</w:t>
            </w:r>
          </w:p>
          <w:p w:rsidR="00795268" w:rsidRPr="00795268" w:rsidRDefault="00795268" w:rsidP="00795268">
            <w:pPr>
              <w:numPr>
                <w:ilvl w:val="0"/>
                <w:numId w:val="9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795268" w:rsidRPr="00795268" w:rsidRDefault="00795268" w:rsidP="00795268">
            <w:pPr>
              <w:numPr>
                <w:ilvl w:val="0"/>
                <w:numId w:val="9"/>
              </w:numPr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 xml:space="preserve">Document testing in the GeneXpert EV QC binder. </w:t>
            </w:r>
          </w:p>
          <w:p w:rsidR="00795268" w:rsidRPr="00795268" w:rsidRDefault="00795268" w:rsidP="00795268">
            <w:p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</w:p>
          <w:p w:rsidR="005E0385" w:rsidRDefault="00795268" w:rsidP="00795268">
            <w:pPr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b/>
                <w:sz w:val="20"/>
              </w:rPr>
              <w:t>NOTE:</w:t>
            </w:r>
            <w:r w:rsidRPr="00795268">
              <w:rPr>
                <w:rFonts w:ascii="Arial" w:hAnsi="Arial"/>
                <w:sz w:val="20"/>
              </w:rPr>
              <w:t xml:space="preserve"> In the event of positive result notify the tech specialist, decontaminate, and re-test.</w:t>
            </w:r>
          </w:p>
          <w:p w:rsidR="005E0385" w:rsidRDefault="005E0385">
            <w:pPr>
              <w:rPr>
                <w:rFonts w:ascii="Arial" w:hAnsi="Arial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95268" w:rsidRDefault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95268" w:rsidRDefault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268" w:rsidRDefault="00795268" w:rsidP="0079526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268" w:rsidRPr="00795268" w:rsidRDefault="00795268" w:rsidP="0079526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Reviewing results:</w:t>
            </w:r>
          </w:p>
          <w:p w:rsidR="00795268" w:rsidRPr="00795268" w:rsidRDefault="00795268" w:rsidP="00795268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795268" w:rsidRPr="00795268" w:rsidRDefault="00795268" w:rsidP="00795268">
            <w:pPr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795268" w:rsidRPr="00795268" w:rsidRDefault="00795268" w:rsidP="00795268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Review reports for valid QC results or any reason to retest</w:t>
            </w:r>
          </w:p>
          <w:p w:rsidR="00795268" w:rsidRPr="00795268" w:rsidRDefault="00795268" w:rsidP="0079526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795268" w:rsidRPr="00795268" w:rsidRDefault="00795268" w:rsidP="00795268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95268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795268" w:rsidRPr="00795268" w:rsidRDefault="00795268" w:rsidP="00795268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795268" w:rsidRPr="00795268" w:rsidRDefault="00795268" w:rsidP="00795268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795268" w:rsidRPr="00795268" w:rsidRDefault="00795268" w:rsidP="00795268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95268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795268" w:rsidRPr="00795268" w:rsidRDefault="00795268" w:rsidP="00795268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795268" w:rsidRPr="00795268" w:rsidRDefault="00795268" w:rsidP="00795268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A reagent probe integrity problem was detected. </w:t>
            </w:r>
          </w:p>
          <w:p w:rsidR="00795268" w:rsidRPr="00795268" w:rsidRDefault="00795268" w:rsidP="00795268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795268" w:rsidRPr="00795268" w:rsidRDefault="00795268" w:rsidP="00795268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795268" w:rsidRPr="00795268" w:rsidRDefault="00795268" w:rsidP="00795268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7952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5268" w:rsidRPr="00795268" w:rsidRDefault="00795268" w:rsidP="00795268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This result indicated that insufficient data were collected. (</w:t>
            </w:r>
            <w:proofErr w:type="gramStart"/>
            <w:r w:rsidRPr="00795268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795268">
              <w:rPr>
                <w:rFonts w:ascii="Arial" w:hAnsi="Arial" w:cs="Arial"/>
                <w:sz w:val="20"/>
                <w:szCs w:val="20"/>
              </w:rPr>
              <w:t xml:space="preserve">. test stopped while in progress or power failure occurred.) </w:t>
            </w:r>
          </w:p>
          <w:p w:rsidR="00795268" w:rsidRPr="00795268" w:rsidRDefault="00795268" w:rsidP="00795268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if retesting is required, obtain a new vial of QC material</w:t>
            </w:r>
          </w:p>
          <w:p w:rsidR="00795268" w:rsidRPr="00795268" w:rsidRDefault="00795268" w:rsidP="00795268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795268" w:rsidRPr="00795268" w:rsidRDefault="00795268" w:rsidP="00795268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t>Microbiologics Enterovirus (EV) positive control: Enterovir</w:t>
            </w:r>
            <w:r w:rsidR="002C5548">
              <w:rPr>
                <w:rFonts w:ascii="Arial" w:hAnsi="Arial"/>
                <w:sz w:val="20"/>
              </w:rPr>
              <w:t>us positive</w:t>
            </w:r>
          </w:p>
          <w:p w:rsidR="00795268" w:rsidRPr="00795268" w:rsidRDefault="00795268" w:rsidP="00795268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/>
                <w:sz w:val="20"/>
              </w:rPr>
            </w:pPr>
            <w:r w:rsidRPr="00795268">
              <w:rPr>
                <w:rFonts w:ascii="Arial" w:hAnsi="Arial"/>
                <w:sz w:val="20"/>
              </w:rPr>
              <w:lastRenderedPageBreak/>
              <w:t>Microbiologics Enterovirus (EV) negative control</w:t>
            </w:r>
            <w:r w:rsidR="002C5548">
              <w:rPr>
                <w:rFonts w:ascii="Arial" w:hAnsi="Arial" w:cs="Arial"/>
                <w:sz w:val="20"/>
                <w:szCs w:val="20"/>
              </w:rPr>
              <w:t>: Enterovirus negative</w:t>
            </w:r>
          </w:p>
          <w:p w:rsidR="00795268" w:rsidRPr="00795268" w:rsidRDefault="00795268" w:rsidP="007952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jc w:val="left"/>
              <w:rPr>
                <w:rFonts w:ascii="Arial" w:hAnsi="Arial"/>
                <w:b/>
                <w:sz w:val="20"/>
              </w:rPr>
            </w:pPr>
            <w:r w:rsidRPr="00795268">
              <w:rPr>
                <w:rFonts w:ascii="Arial" w:hAnsi="Arial"/>
                <w:b/>
                <w:sz w:val="20"/>
              </w:rPr>
              <w:t>Desirable Results:</w:t>
            </w:r>
          </w:p>
          <w:p w:rsidR="00795268" w:rsidRPr="00795268" w:rsidRDefault="00795268" w:rsidP="00795268">
            <w:pPr>
              <w:numPr>
                <w:ilvl w:val="0"/>
                <w:numId w:val="6"/>
              </w:numPr>
              <w:ind w:left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Wipe test control: Enterovirus Negative</w:t>
            </w:r>
          </w:p>
          <w:p w:rsidR="00795268" w:rsidRPr="00795268" w:rsidRDefault="00795268" w:rsidP="007952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268" w:rsidRPr="00795268" w:rsidRDefault="00795268" w:rsidP="00795268">
            <w:pPr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Record any failures, errors, and repeat testing in the “GeneXpert Maintenance and Problem Log” </w:t>
            </w:r>
          </w:p>
          <w:p w:rsidR="00795268" w:rsidRPr="00795268" w:rsidRDefault="00795268" w:rsidP="00795268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5268"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795268" w:rsidRPr="00795268" w:rsidRDefault="00795268" w:rsidP="00795268">
            <w:pPr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9945CD" w:rsidRPr="009945CD" w:rsidRDefault="009945CD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268" w:rsidRPr="00795268" w:rsidRDefault="00795268" w:rsidP="00795268">
            <w:pPr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numPr>
                <w:ilvl w:val="0"/>
                <w:numId w:val="12"/>
              </w:numPr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795268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795268">
              <w:rPr>
                <w:rFonts w:ascii="Arial" w:eastAsiaTheme="minorHAnsi" w:hAnsi="Arial" w:cs="Arial"/>
                <w:sz w:val="20"/>
                <w:szCs w:val="20"/>
              </w:rPr>
              <w:t xml:space="preserve"> EV Package Insert, 300-5052, Rev. H, October 2012. Sunnyvale, CA: Cepheid.</w:t>
            </w:r>
          </w:p>
          <w:p w:rsidR="00795268" w:rsidRPr="00795268" w:rsidRDefault="00795268" w:rsidP="00795268">
            <w:pPr>
              <w:ind w:left="72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5268" w:rsidRPr="00795268" w:rsidRDefault="00795268" w:rsidP="00795268">
            <w:pPr>
              <w:numPr>
                <w:ilvl w:val="0"/>
                <w:numId w:val="12"/>
              </w:numPr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268">
              <w:rPr>
                <w:rFonts w:ascii="Arial" w:hAnsi="Arial" w:cs="Arial"/>
                <w:sz w:val="20"/>
                <w:szCs w:val="20"/>
              </w:rPr>
              <w:t xml:space="preserve">CAP Microbiology Checklist, College of American Pathologists, 325 </w:t>
            </w:r>
            <w:proofErr w:type="spellStart"/>
            <w:r w:rsidRPr="00795268">
              <w:rPr>
                <w:rFonts w:ascii="Arial" w:hAnsi="Arial" w:cs="Arial"/>
                <w:sz w:val="20"/>
                <w:szCs w:val="20"/>
              </w:rPr>
              <w:t>Wakegan</w:t>
            </w:r>
            <w:proofErr w:type="spellEnd"/>
            <w:r w:rsidRPr="00795268">
              <w:rPr>
                <w:rFonts w:ascii="Arial" w:hAnsi="Arial" w:cs="Arial"/>
                <w:sz w:val="20"/>
                <w:szCs w:val="20"/>
              </w:rPr>
              <w:t xml:space="preserve"> Road, Northfield, IL 60093-2750, 08/17/2016.</w:t>
            </w:r>
          </w:p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:rsidP="005E038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79526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79526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79526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795268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 / Matthew Meyer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5/25/2020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  <w:r w:rsidR="00795BF5">
              <w:rPr>
                <w:rFonts w:ascii="Arial" w:hAnsi="Arial"/>
                <w:sz w:val="20"/>
              </w:rPr>
              <w:t>/ Jamie Berg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A4275E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3/18</w:t>
            </w:r>
            <w:r w:rsidR="00795268">
              <w:rPr>
                <w:rFonts w:ascii="Arial" w:hAnsi="Arial"/>
                <w:sz w:val="20"/>
              </w:rPr>
              <w:t>/2022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 to Microbiologics controls</w:t>
            </w: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696" w:type="dxa"/>
          </w:tcPr>
          <w:p w:rsidR="00795268" w:rsidRDefault="00795268" w:rsidP="0079526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795268" w:rsidRDefault="00795268" w:rsidP="0079526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 w:rsidTr="00C5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9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95268" w:rsidRDefault="00795268" w:rsidP="0079526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8" w:rsidRPr="00541886" w:rsidRDefault="00795268" w:rsidP="00795268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1"/>
      <w:footerReference w:type="default" r:id="rId12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A4275E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A4275E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</w:p>
  <w:p w:rsidR="007B1CE2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268">
      <w:rPr>
        <w:rFonts w:ascii="Arial" w:hAnsi="Arial"/>
        <w:sz w:val="18"/>
      </w:rPr>
      <w:t>MC 9.81 GeneXpert Enterovirus (EV) Quality Control</w:t>
    </w:r>
  </w:p>
  <w:p w:rsidR="007B1CE2" w:rsidRDefault="00795268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2</w:t>
    </w:r>
  </w:p>
  <w:p w:rsidR="007B1CE2" w:rsidRDefault="00A4275E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3/18</w:t>
    </w:r>
    <w:r w:rsidR="00795268">
      <w:rPr>
        <w:rFonts w:ascii="Arial" w:hAnsi="Arial"/>
        <w:sz w:val="18"/>
      </w:rPr>
      <w:t>/2022</w:t>
    </w:r>
  </w:p>
  <w:p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8616D20"/>
    <w:multiLevelType w:val="hybridMultilevel"/>
    <w:tmpl w:val="F91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C10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27C6"/>
    <w:multiLevelType w:val="hybridMultilevel"/>
    <w:tmpl w:val="2958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9625B"/>
    <w:multiLevelType w:val="hybridMultilevel"/>
    <w:tmpl w:val="135AE748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003D28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55951"/>
    <w:rsid w:val="000B428A"/>
    <w:rsid w:val="00131035"/>
    <w:rsid w:val="00151FF7"/>
    <w:rsid w:val="0017354F"/>
    <w:rsid w:val="001B1C96"/>
    <w:rsid w:val="001B309C"/>
    <w:rsid w:val="002053E8"/>
    <w:rsid w:val="002203CB"/>
    <w:rsid w:val="002C5548"/>
    <w:rsid w:val="002F2A95"/>
    <w:rsid w:val="002F2F51"/>
    <w:rsid w:val="00466A56"/>
    <w:rsid w:val="00490511"/>
    <w:rsid w:val="00494541"/>
    <w:rsid w:val="004A0608"/>
    <w:rsid w:val="004C10C8"/>
    <w:rsid w:val="004E2C72"/>
    <w:rsid w:val="00586BF1"/>
    <w:rsid w:val="005A2CDD"/>
    <w:rsid w:val="005E0385"/>
    <w:rsid w:val="006D65A4"/>
    <w:rsid w:val="00712778"/>
    <w:rsid w:val="00795268"/>
    <w:rsid w:val="00795BF5"/>
    <w:rsid w:val="007B1CE2"/>
    <w:rsid w:val="007E7797"/>
    <w:rsid w:val="00827FEA"/>
    <w:rsid w:val="00846D75"/>
    <w:rsid w:val="008C24F7"/>
    <w:rsid w:val="008E0C2E"/>
    <w:rsid w:val="00927AD8"/>
    <w:rsid w:val="009429C5"/>
    <w:rsid w:val="009945CD"/>
    <w:rsid w:val="00A4275E"/>
    <w:rsid w:val="00A9657C"/>
    <w:rsid w:val="00AA1366"/>
    <w:rsid w:val="00AF441A"/>
    <w:rsid w:val="00B22AC9"/>
    <w:rsid w:val="00B40D76"/>
    <w:rsid w:val="00B92A7D"/>
    <w:rsid w:val="00C13CC1"/>
    <w:rsid w:val="00C40263"/>
    <w:rsid w:val="00C551DE"/>
    <w:rsid w:val="00CB7E91"/>
    <w:rsid w:val="00D01868"/>
    <w:rsid w:val="00D44A53"/>
    <w:rsid w:val="00D45E86"/>
    <w:rsid w:val="00E4199C"/>
    <w:rsid w:val="00ED2154"/>
    <w:rsid w:val="00F415FA"/>
    <w:rsid w:val="00F471E7"/>
    <w:rsid w:val="00F51EC2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7EDDA-A7B6-465F-9AE6-5A7B08C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6219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10</cp:revision>
  <cp:lastPrinted>2009-06-27T01:51:00Z</cp:lastPrinted>
  <dcterms:created xsi:type="dcterms:W3CDTF">2022-02-21T15:18:00Z</dcterms:created>
  <dcterms:modified xsi:type="dcterms:W3CDTF">2022-02-25T19:16:00Z</dcterms:modified>
</cp:coreProperties>
</file>