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14:paraId="5CCFFF73" w14:textId="77777777" w:rsidTr="007132A9">
        <w:trPr>
          <w:tblHeader/>
        </w:trPr>
        <w:tc>
          <w:tcPr>
            <w:tcW w:w="11160" w:type="dxa"/>
            <w:gridSpan w:val="5"/>
            <w:tcBorders>
              <w:top w:val="nil"/>
              <w:left w:val="nil"/>
              <w:bottom w:val="nil"/>
              <w:right w:val="nil"/>
            </w:tcBorders>
          </w:tcPr>
          <w:p w14:paraId="5CCFFF72" w14:textId="6292845C" w:rsidR="006C5661" w:rsidRDefault="009B6AAC">
            <w:pPr>
              <w:rPr>
                <w:rFonts w:cs="Arial"/>
                <w:b/>
                <w:bCs/>
                <w:color w:val="0000FF"/>
              </w:rPr>
            </w:pPr>
            <w:r w:rsidRPr="009B6AAC">
              <w:rPr>
                <w:rFonts w:cs="Arial"/>
                <w:b/>
                <w:bCs/>
                <w:color w:val="0000FF"/>
                <w:sz w:val="36"/>
              </w:rPr>
              <w:t>Intact PTH</w:t>
            </w:r>
          </w:p>
        </w:tc>
      </w:tr>
      <w:tr w:rsidR="00E3253B" w14:paraId="5CCFFF77" w14:textId="77777777" w:rsidTr="007132A9">
        <w:trPr>
          <w:tblHeader/>
        </w:trPr>
        <w:tc>
          <w:tcPr>
            <w:tcW w:w="1800" w:type="dxa"/>
            <w:tcBorders>
              <w:top w:val="nil"/>
              <w:left w:val="nil"/>
              <w:bottom w:val="nil"/>
              <w:right w:val="nil"/>
            </w:tcBorders>
          </w:tcPr>
          <w:p w14:paraId="5CCFFF74" w14:textId="77777777"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14:paraId="1A72F38B" w14:textId="57060EF9" w:rsidR="00E3253B" w:rsidRDefault="00A34EE2" w:rsidP="009A1AE6">
            <w:pPr>
              <w:autoSpaceDE w:val="0"/>
              <w:autoSpaceDN w:val="0"/>
              <w:adjustRightInd w:val="0"/>
              <w:rPr>
                <w:rFonts w:cs="Arial"/>
                <w:color w:val="000000"/>
                <w:szCs w:val="20"/>
              </w:rPr>
            </w:pPr>
            <w:r w:rsidRPr="00DC7421">
              <w:rPr>
                <w:rStyle w:val="A7"/>
                <w:rFonts w:cs="Arial"/>
                <w:b w:val="0"/>
                <w:bCs w:val="0"/>
                <w:sz w:val="20"/>
                <w:szCs w:val="20"/>
              </w:rPr>
              <w:t xml:space="preserve">This procedure provides instructions </w:t>
            </w:r>
            <w:r w:rsidR="002D391E">
              <w:rPr>
                <w:rFonts w:cs="Arial"/>
                <w:color w:val="000000"/>
                <w:szCs w:val="20"/>
              </w:rPr>
              <w:t>INTACT</w:t>
            </w:r>
            <w:r w:rsidR="009B6AAC" w:rsidRPr="009B6AAC">
              <w:rPr>
                <w:rFonts w:cs="Arial"/>
                <w:color w:val="000000"/>
                <w:szCs w:val="20"/>
              </w:rPr>
              <w:t xml:space="preserve"> PTH</w:t>
            </w:r>
            <w:r w:rsidR="009B6AAC">
              <w:rPr>
                <w:rFonts w:cs="Arial"/>
                <w:color w:val="000000"/>
                <w:szCs w:val="20"/>
              </w:rPr>
              <w:t xml:space="preserve"> </w:t>
            </w:r>
            <w:r w:rsidR="002D391E">
              <w:rPr>
                <w:rStyle w:val="A7"/>
                <w:rFonts w:cs="Arial"/>
                <w:b w:val="0"/>
                <w:bCs w:val="0"/>
                <w:sz w:val="20"/>
                <w:szCs w:val="20"/>
              </w:rPr>
              <w:t>on</w:t>
            </w:r>
            <w:r w:rsidRPr="00DC7421">
              <w:rPr>
                <w:rStyle w:val="A7"/>
                <w:rFonts w:cs="Arial"/>
                <w:b w:val="0"/>
                <w:bCs w:val="0"/>
                <w:sz w:val="20"/>
                <w:szCs w:val="20"/>
              </w:rPr>
              <w:t xml:space="preserve"> ABBOTT INSTRUMEN</w:t>
            </w:r>
            <w:r>
              <w:rPr>
                <w:rStyle w:val="A7"/>
                <w:rFonts w:cs="Arial"/>
                <w:b w:val="0"/>
                <w:bCs w:val="0"/>
                <w:sz w:val="20"/>
                <w:szCs w:val="20"/>
              </w:rPr>
              <w:t>T</w:t>
            </w:r>
            <w:r w:rsidRPr="00DC7421">
              <w:rPr>
                <w:rStyle w:val="A7"/>
                <w:rFonts w:cs="Arial"/>
                <w:b w:val="0"/>
                <w:bCs w:val="0"/>
                <w:sz w:val="20"/>
                <w:szCs w:val="20"/>
              </w:rPr>
              <w:t>ATION.</w:t>
            </w:r>
            <w:r>
              <w:rPr>
                <w:rStyle w:val="A7"/>
                <w:rFonts w:cs="Arial"/>
                <w:b w:val="0"/>
                <w:bCs w:val="0"/>
                <w:sz w:val="20"/>
                <w:szCs w:val="20"/>
              </w:rPr>
              <w:t xml:space="preserve"> </w:t>
            </w:r>
            <w:r w:rsidR="009A1AE6" w:rsidRPr="009A1AE6">
              <w:rPr>
                <w:rStyle w:val="A7"/>
                <w:rFonts w:cs="Arial"/>
                <w:b w:val="0"/>
                <w:bCs w:val="0"/>
                <w:sz w:val="20"/>
                <w:szCs w:val="20"/>
              </w:rPr>
              <w:t>The Alinity i Intact PTH assay is a</w:t>
            </w:r>
            <w:r w:rsidR="009A1AE6">
              <w:rPr>
                <w:rStyle w:val="A7"/>
                <w:rFonts w:cs="Arial"/>
                <w:b w:val="0"/>
                <w:bCs w:val="0"/>
                <w:sz w:val="20"/>
                <w:szCs w:val="20"/>
              </w:rPr>
              <w:t xml:space="preserve"> chemiluminescent microparticle </w:t>
            </w:r>
            <w:r w:rsidR="009A1AE6" w:rsidRPr="009A1AE6">
              <w:rPr>
                <w:rStyle w:val="A7"/>
                <w:rFonts w:cs="Arial"/>
                <w:b w:val="0"/>
                <w:bCs w:val="0"/>
                <w:sz w:val="20"/>
                <w:szCs w:val="20"/>
              </w:rPr>
              <w:t>immunoassay (CMIA) used for the quant</w:t>
            </w:r>
            <w:r w:rsidR="009A1AE6">
              <w:rPr>
                <w:rStyle w:val="A7"/>
                <w:rFonts w:cs="Arial"/>
                <w:b w:val="0"/>
                <w:bCs w:val="0"/>
                <w:sz w:val="20"/>
                <w:szCs w:val="20"/>
              </w:rPr>
              <w:t xml:space="preserve">itative determination of intact </w:t>
            </w:r>
            <w:r w:rsidR="009A1AE6" w:rsidRPr="009A1AE6">
              <w:rPr>
                <w:rStyle w:val="A7"/>
                <w:rFonts w:cs="Arial"/>
                <w:b w:val="0"/>
                <w:bCs w:val="0"/>
                <w:sz w:val="20"/>
                <w:szCs w:val="20"/>
              </w:rPr>
              <w:t>parathyroid hormone (PTH) i</w:t>
            </w:r>
            <w:r w:rsidR="009A1AE6">
              <w:rPr>
                <w:rStyle w:val="A7"/>
                <w:rFonts w:cs="Arial"/>
                <w:b w:val="0"/>
                <w:bCs w:val="0"/>
                <w:sz w:val="20"/>
                <w:szCs w:val="20"/>
              </w:rPr>
              <w:t xml:space="preserve">n human serum and plasma on the </w:t>
            </w:r>
            <w:r w:rsidR="009A1AE6" w:rsidRPr="009A1AE6">
              <w:rPr>
                <w:rStyle w:val="A7"/>
                <w:rFonts w:cs="Arial"/>
                <w:b w:val="0"/>
                <w:bCs w:val="0"/>
                <w:sz w:val="20"/>
                <w:szCs w:val="20"/>
              </w:rPr>
              <w:t>Alinity i analyzer.</w:t>
            </w:r>
          </w:p>
          <w:p w14:paraId="5CCFFF76" w14:textId="69B68757" w:rsidR="00CD06C7" w:rsidRPr="00CD06C7" w:rsidRDefault="00CD06C7" w:rsidP="00CD06C7">
            <w:pPr>
              <w:autoSpaceDE w:val="0"/>
              <w:autoSpaceDN w:val="0"/>
              <w:adjustRightInd w:val="0"/>
              <w:rPr>
                <w:rFonts w:cs="Arial"/>
                <w:color w:val="000000"/>
                <w:szCs w:val="20"/>
              </w:rPr>
            </w:pPr>
          </w:p>
        </w:tc>
      </w:tr>
      <w:tr w:rsidR="00E3253B" w14:paraId="5CCFFF7B" w14:textId="77777777" w:rsidTr="007132A9">
        <w:trPr>
          <w:tblHeader/>
        </w:trPr>
        <w:tc>
          <w:tcPr>
            <w:tcW w:w="1800" w:type="dxa"/>
            <w:tcBorders>
              <w:top w:val="nil"/>
              <w:left w:val="nil"/>
              <w:bottom w:val="nil"/>
              <w:right w:val="nil"/>
            </w:tcBorders>
          </w:tcPr>
          <w:p w14:paraId="5CCFFF78"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14:paraId="69135534" w14:textId="2E482267" w:rsidR="001A1584" w:rsidRPr="001A1584" w:rsidRDefault="001A1584" w:rsidP="001A1584">
            <w:pPr>
              <w:rPr>
                <w:rFonts w:cs="Arial"/>
                <w:szCs w:val="20"/>
              </w:rPr>
            </w:pPr>
            <w:r w:rsidRPr="001A1584">
              <w:rPr>
                <w:rFonts w:cs="Arial"/>
                <w:szCs w:val="20"/>
              </w:rPr>
              <w:t xml:space="preserve">This procedure applies to all personnel responsible for operating </w:t>
            </w:r>
            <w:r w:rsidR="009A1AE6">
              <w:rPr>
                <w:rFonts w:cs="Arial"/>
                <w:szCs w:val="20"/>
              </w:rPr>
              <w:t>Alinity ci or Architect i1000</w:t>
            </w:r>
            <w:r w:rsidRPr="001A1584">
              <w:rPr>
                <w:rFonts w:cs="Arial"/>
                <w:szCs w:val="20"/>
              </w:rPr>
              <w:t xml:space="preserve"> at </w:t>
            </w:r>
            <w:r w:rsidR="002D391E">
              <w:rPr>
                <w:rFonts w:cs="Arial"/>
                <w:szCs w:val="20"/>
              </w:rPr>
              <w:t>Children’s Minnesota Laboratory in Minneapolis.</w:t>
            </w:r>
          </w:p>
          <w:p w14:paraId="5CCFFF7A" w14:textId="77777777" w:rsidR="00E3253B" w:rsidRPr="00DC7421" w:rsidRDefault="00E3253B" w:rsidP="00DF6343">
            <w:pPr>
              <w:rPr>
                <w:rFonts w:cs="Arial"/>
                <w:szCs w:val="20"/>
              </w:rPr>
            </w:pPr>
          </w:p>
        </w:tc>
      </w:tr>
      <w:tr w:rsidR="00E3253B" w14:paraId="5CCFFF82" w14:textId="77777777" w:rsidTr="007132A9">
        <w:trPr>
          <w:tblHeader/>
        </w:trPr>
        <w:tc>
          <w:tcPr>
            <w:tcW w:w="1800" w:type="dxa"/>
            <w:tcBorders>
              <w:top w:val="nil"/>
              <w:left w:val="nil"/>
              <w:bottom w:val="nil"/>
              <w:right w:val="nil"/>
            </w:tcBorders>
          </w:tcPr>
          <w:p w14:paraId="5CCFFF7C" w14:textId="77777777" w:rsidR="00E3253B" w:rsidRPr="00C00B65" w:rsidRDefault="00E3253B">
            <w:pPr>
              <w:rPr>
                <w:rFonts w:cs="Arial"/>
                <w:b/>
                <w:bCs/>
                <w:color w:val="0000FF"/>
                <w:szCs w:val="20"/>
              </w:rPr>
            </w:pPr>
            <w:r w:rsidRPr="00C00B65">
              <w:rPr>
                <w:rFonts w:cs="Arial"/>
                <w:b/>
                <w:bCs/>
                <w:color w:val="0000FF"/>
                <w:szCs w:val="20"/>
              </w:rPr>
              <w:t>Principle</w:t>
            </w:r>
          </w:p>
          <w:p w14:paraId="5CCFFF7D"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71870DD2" w14:textId="241544B2" w:rsidR="009B6AAC" w:rsidRPr="009B6AAC" w:rsidRDefault="009B6AAC" w:rsidP="009B6AAC">
            <w:pPr>
              <w:pStyle w:val="Header"/>
              <w:rPr>
                <w:rFonts w:cs="Arial"/>
                <w:color w:val="000000"/>
                <w:szCs w:val="20"/>
              </w:rPr>
            </w:pPr>
            <w:r w:rsidRPr="009B6AAC">
              <w:rPr>
                <w:rFonts w:cs="Arial"/>
                <w:color w:val="000000"/>
                <w:szCs w:val="20"/>
              </w:rPr>
              <w:t>This assay is a two-step i</w:t>
            </w:r>
            <w:r>
              <w:rPr>
                <w:rFonts w:cs="Arial"/>
                <w:color w:val="000000"/>
                <w:szCs w:val="20"/>
              </w:rPr>
              <w:t xml:space="preserve">mmunoassay for the quantitative </w:t>
            </w:r>
            <w:r w:rsidRPr="009B6AAC">
              <w:rPr>
                <w:rFonts w:cs="Arial"/>
                <w:color w:val="000000"/>
                <w:szCs w:val="20"/>
              </w:rPr>
              <w:t xml:space="preserve">determination of intact PTH </w:t>
            </w:r>
            <w:r>
              <w:rPr>
                <w:rFonts w:cs="Arial"/>
                <w:color w:val="000000"/>
                <w:szCs w:val="20"/>
              </w:rPr>
              <w:t xml:space="preserve">in human serum and plasma using </w:t>
            </w:r>
            <w:r w:rsidRPr="009B6AAC">
              <w:rPr>
                <w:rFonts w:cs="Arial"/>
                <w:color w:val="000000"/>
                <w:szCs w:val="20"/>
              </w:rPr>
              <w:t>chemiluminescent microparticle</w:t>
            </w:r>
            <w:r>
              <w:rPr>
                <w:rFonts w:cs="Arial"/>
                <w:color w:val="000000"/>
                <w:szCs w:val="20"/>
              </w:rPr>
              <w:t xml:space="preserve"> immunoassay (CMIA) technology. </w:t>
            </w:r>
            <w:r w:rsidRPr="009B6AAC">
              <w:rPr>
                <w:rFonts w:cs="Arial"/>
                <w:color w:val="000000"/>
                <w:szCs w:val="20"/>
              </w:rPr>
              <w:t>Sample, anti-PTH coated paramag</w:t>
            </w:r>
            <w:r>
              <w:rPr>
                <w:rFonts w:cs="Arial"/>
                <w:color w:val="000000"/>
                <w:szCs w:val="20"/>
              </w:rPr>
              <w:t xml:space="preserve">netic microparticles, and assay </w:t>
            </w:r>
            <w:r w:rsidRPr="009B6AAC">
              <w:rPr>
                <w:rFonts w:cs="Arial"/>
                <w:color w:val="000000"/>
                <w:szCs w:val="20"/>
              </w:rPr>
              <w:t>diluent are combined and incubated</w:t>
            </w:r>
            <w:r>
              <w:rPr>
                <w:rFonts w:cs="Arial"/>
                <w:color w:val="000000"/>
                <w:szCs w:val="20"/>
              </w:rPr>
              <w:t xml:space="preserve">. The intact PTH present in the </w:t>
            </w:r>
            <w:r w:rsidRPr="009B6AAC">
              <w:rPr>
                <w:rFonts w:cs="Arial"/>
                <w:color w:val="000000"/>
                <w:szCs w:val="20"/>
              </w:rPr>
              <w:t>sample binds to the anti-PTH coated</w:t>
            </w:r>
            <w:r>
              <w:rPr>
                <w:rFonts w:cs="Arial"/>
                <w:color w:val="000000"/>
                <w:szCs w:val="20"/>
              </w:rPr>
              <w:t xml:space="preserve"> microparticles. The mixture is </w:t>
            </w:r>
            <w:r w:rsidRPr="009B6AAC">
              <w:rPr>
                <w:rFonts w:cs="Arial"/>
                <w:color w:val="000000"/>
                <w:szCs w:val="20"/>
              </w:rPr>
              <w:t>washed. Anti-PTH acridinium-labeled</w:t>
            </w:r>
            <w:r>
              <w:rPr>
                <w:rFonts w:cs="Arial"/>
                <w:color w:val="000000"/>
                <w:szCs w:val="20"/>
              </w:rPr>
              <w:t xml:space="preserve"> conjugate is added to create a </w:t>
            </w:r>
            <w:r w:rsidRPr="009B6AAC">
              <w:rPr>
                <w:rFonts w:cs="Arial"/>
                <w:color w:val="000000"/>
                <w:szCs w:val="20"/>
              </w:rPr>
              <w:t>reaction mixture and incubated. Foll</w:t>
            </w:r>
            <w:r>
              <w:rPr>
                <w:rFonts w:cs="Arial"/>
                <w:color w:val="000000"/>
                <w:szCs w:val="20"/>
              </w:rPr>
              <w:t xml:space="preserve">owing a wash cycle, Pre-Trigger </w:t>
            </w:r>
            <w:r w:rsidRPr="009B6AAC">
              <w:rPr>
                <w:rFonts w:cs="Arial"/>
                <w:color w:val="000000"/>
                <w:szCs w:val="20"/>
              </w:rPr>
              <w:t>and Trigger Solutions are added.</w:t>
            </w:r>
          </w:p>
          <w:p w14:paraId="18D774D8" w14:textId="77777777" w:rsidR="009B6AAC" w:rsidRDefault="009B6AAC" w:rsidP="009B6AAC">
            <w:pPr>
              <w:pStyle w:val="Header"/>
              <w:rPr>
                <w:rFonts w:cs="Arial"/>
                <w:color w:val="000000"/>
                <w:szCs w:val="20"/>
              </w:rPr>
            </w:pPr>
          </w:p>
          <w:p w14:paraId="78D6AC65" w14:textId="07912405" w:rsidR="009B6AAC" w:rsidRPr="009B6AAC" w:rsidRDefault="009B6AAC" w:rsidP="009B6AAC">
            <w:pPr>
              <w:pStyle w:val="Header"/>
              <w:rPr>
                <w:rFonts w:cs="Arial"/>
                <w:color w:val="000000"/>
                <w:szCs w:val="20"/>
              </w:rPr>
            </w:pPr>
            <w:r w:rsidRPr="009B6AAC">
              <w:rPr>
                <w:rFonts w:cs="Arial"/>
                <w:color w:val="000000"/>
                <w:szCs w:val="20"/>
              </w:rPr>
              <w:t>The resulting chemiluminescent r</w:t>
            </w:r>
            <w:r>
              <w:rPr>
                <w:rFonts w:cs="Arial"/>
                <w:color w:val="000000"/>
                <w:szCs w:val="20"/>
              </w:rPr>
              <w:t xml:space="preserve">eaction is measured as relative </w:t>
            </w:r>
            <w:r w:rsidRPr="009B6AAC">
              <w:rPr>
                <w:rFonts w:cs="Arial"/>
                <w:color w:val="000000"/>
                <w:szCs w:val="20"/>
              </w:rPr>
              <w:t xml:space="preserve">light units (RLUs). There is a direct </w:t>
            </w:r>
            <w:r>
              <w:rPr>
                <w:rFonts w:cs="Arial"/>
                <w:color w:val="000000"/>
                <w:szCs w:val="20"/>
              </w:rPr>
              <w:t xml:space="preserve">relationship between the amount </w:t>
            </w:r>
            <w:r w:rsidRPr="009B6AAC">
              <w:rPr>
                <w:rFonts w:cs="Arial"/>
                <w:color w:val="000000"/>
                <w:szCs w:val="20"/>
              </w:rPr>
              <w:t xml:space="preserve">of intact PTH in the sample and </w:t>
            </w:r>
            <w:r>
              <w:rPr>
                <w:rFonts w:cs="Arial"/>
                <w:color w:val="000000"/>
                <w:szCs w:val="20"/>
              </w:rPr>
              <w:t xml:space="preserve">the RLUs detected by the system </w:t>
            </w:r>
            <w:r w:rsidRPr="009B6AAC">
              <w:rPr>
                <w:rFonts w:cs="Arial"/>
                <w:color w:val="000000"/>
                <w:szCs w:val="20"/>
              </w:rPr>
              <w:t>optics.</w:t>
            </w:r>
          </w:p>
          <w:p w14:paraId="605AB973" w14:textId="77777777" w:rsidR="009B6AAC" w:rsidRDefault="009B6AAC" w:rsidP="009B6AAC">
            <w:pPr>
              <w:pStyle w:val="Header"/>
              <w:rPr>
                <w:rFonts w:cs="Arial"/>
                <w:color w:val="000000"/>
                <w:szCs w:val="20"/>
              </w:rPr>
            </w:pPr>
          </w:p>
          <w:p w14:paraId="7B51088F" w14:textId="1AF9A10C" w:rsidR="009B6AAC" w:rsidRPr="009B6AAC" w:rsidRDefault="009B6AAC" w:rsidP="009B6AAC">
            <w:pPr>
              <w:pStyle w:val="Header"/>
              <w:rPr>
                <w:rFonts w:cs="Arial"/>
                <w:color w:val="000000"/>
                <w:szCs w:val="20"/>
              </w:rPr>
            </w:pPr>
            <w:r w:rsidRPr="009B6AAC">
              <w:rPr>
                <w:rFonts w:cs="Arial"/>
                <w:color w:val="000000"/>
                <w:szCs w:val="20"/>
              </w:rPr>
              <w:t>The Alinity i Intact PTH assay</w:t>
            </w:r>
            <w:r>
              <w:rPr>
                <w:rFonts w:cs="Arial"/>
                <w:color w:val="000000"/>
                <w:szCs w:val="20"/>
              </w:rPr>
              <w:t xml:space="preserve"> can be used with both STAT and </w:t>
            </w:r>
            <w:r w:rsidRPr="009B6AAC">
              <w:rPr>
                <w:rFonts w:cs="Arial"/>
                <w:color w:val="000000"/>
                <w:szCs w:val="20"/>
              </w:rPr>
              <w:t>Routine protocols. The STAT protoco</w:t>
            </w:r>
            <w:r>
              <w:rPr>
                <w:rFonts w:cs="Arial"/>
                <w:color w:val="000000"/>
                <w:szCs w:val="20"/>
              </w:rPr>
              <w:t xml:space="preserve">l has a shorter incubation time </w:t>
            </w:r>
            <w:r w:rsidRPr="009B6AAC">
              <w:rPr>
                <w:rFonts w:cs="Arial"/>
                <w:color w:val="000000"/>
                <w:szCs w:val="20"/>
              </w:rPr>
              <w:t>in comparison to the Routine proto</w:t>
            </w:r>
            <w:r>
              <w:rPr>
                <w:rFonts w:cs="Arial"/>
                <w:color w:val="000000"/>
                <w:szCs w:val="20"/>
              </w:rPr>
              <w:t xml:space="preserve">col. STAT and Routine protocols </w:t>
            </w:r>
            <w:r w:rsidRPr="009B6AAC">
              <w:rPr>
                <w:rFonts w:cs="Arial"/>
                <w:color w:val="000000"/>
                <w:szCs w:val="20"/>
              </w:rPr>
              <w:t>require separate calibrations but r</w:t>
            </w:r>
            <w:r>
              <w:rPr>
                <w:rFonts w:cs="Arial"/>
                <w:color w:val="000000"/>
                <w:szCs w:val="20"/>
              </w:rPr>
              <w:t xml:space="preserve">equire only one reagent kit. To </w:t>
            </w:r>
            <w:r w:rsidRPr="009B6AAC">
              <w:rPr>
                <w:rFonts w:cs="Arial"/>
                <w:color w:val="000000"/>
                <w:szCs w:val="20"/>
              </w:rPr>
              <w:t xml:space="preserve">account for differences between </w:t>
            </w:r>
            <w:r>
              <w:rPr>
                <w:rFonts w:cs="Arial"/>
                <w:color w:val="000000"/>
                <w:szCs w:val="20"/>
              </w:rPr>
              <w:t xml:space="preserve">the STAT and Routine protocols, </w:t>
            </w:r>
            <w:r w:rsidRPr="009B6AAC">
              <w:rPr>
                <w:rFonts w:cs="Arial"/>
                <w:color w:val="000000"/>
                <w:szCs w:val="20"/>
              </w:rPr>
              <w:t xml:space="preserve">a correction factor has been </w:t>
            </w:r>
            <w:r>
              <w:rPr>
                <w:rFonts w:cs="Arial"/>
                <w:color w:val="000000"/>
                <w:szCs w:val="20"/>
              </w:rPr>
              <w:t xml:space="preserve">added to the STAT protocol. The </w:t>
            </w:r>
            <w:r w:rsidRPr="009B6AAC">
              <w:rPr>
                <w:rFonts w:cs="Arial"/>
                <w:color w:val="000000"/>
                <w:szCs w:val="20"/>
              </w:rPr>
              <w:t xml:space="preserve">correction factor ensures that patient </w:t>
            </w:r>
            <w:r>
              <w:rPr>
                <w:rFonts w:cs="Arial"/>
                <w:color w:val="000000"/>
                <w:szCs w:val="20"/>
              </w:rPr>
              <w:t xml:space="preserve">specimen results are consistent </w:t>
            </w:r>
            <w:r w:rsidRPr="009B6AAC">
              <w:rPr>
                <w:rFonts w:cs="Arial"/>
                <w:color w:val="000000"/>
                <w:szCs w:val="20"/>
              </w:rPr>
              <w:t>between the STAT and Routine pro</w:t>
            </w:r>
            <w:r>
              <w:rPr>
                <w:rFonts w:cs="Arial"/>
                <w:color w:val="000000"/>
                <w:szCs w:val="20"/>
              </w:rPr>
              <w:t xml:space="preserve">tocols. As a consequence of the </w:t>
            </w:r>
            <w:r w:rsidRPr="009B6AAC">
              <w:rPr>
                <w:rFonts w:cs="Arial"/>
                <w:color w:val="000000"/>
                <w:szCs w:val="20"/>
              </w:rPr>
              <w:t>correction factor, controls read d</w:t>
            </w:r>
            <w:r>
              <w:rPr>
                <w:rFonts w:cs="Arial"/>
                <w:color w:val="000000"/>
                <w:szCs w:val="20"/>
              </w:rPr>
              <w:t xml:space="preserve">ifferently between the STAT and </w:t>
            </w:r>
            <w:r w:rsidRPr="009B6AAC">
              <w:rPr>
                <w:rFonts w:cs="Arial"/>
                <w:color w:val="000000"/>
                <w:szCs w:val="20"/>
              </w:rPr>
              <w:t>Routine protocols.</w:t>
            </w:r>
            <w:r w:rsidR="00F9114F">
              <w:rPr>
                <w:rFonts w:cs="Arial"/>
                <w:color w:val="000000"/>
                <w:szCs w:val="20"/>
              </w:rPr>
              <w:t xml:space="preserve"> </w:t>
            </w:r>
            <w:r w:rsidR="00F9114F" w:rsidRPr="00F9114F">
              <w:rPr>
                <w:rFonts w:cs="Arial"/>
                <w:i/>
                <w:color w:val="000000"/>
                <w:szCs w:val="20"/>
              </w:rPr>
              <w:t xml:space="preserve">NOTE: Children’s Minnesota uses only the </w:t>
            </w:r>
            <w:proofErr w:type="spellStart"/>
            <w:r w:rsidR="00F9114F" w:rsidRPr="00F9114F">
              <w:rPr>
                <w:rFonts w:cs="Arial"/>
                <w:i/>
                <w:color w:val="000000"/>
                <w:szCs w:val="20"/>
              </w:rPr>
              <w:t>iPTH</w:t>
            </w:r>
            <w:proofErr w:type="spellEnd"/>
            <w:r w:rsidR="00F9114F" w:rsidRPr="00F9114F">
              <w:rPr>
                <w:rFonts w:cs="Arial"/>
                <w:i/>
                <w:color w:val="000000"/>
                <w:szCs w:val="20"/>
              </w:rPr>
              <w:t xml:space="preserve"> STAT protocol.</w:t>
            </w:r>
          </w:p>
          <w:p w14:paraId="1389643F" w14:textId="77777777" w:rsidR="009B6AAC" w:rsidRDefault="009B6AAC" w:rsidP="009B6AAC">
            <w:pPr>
              <w:pStyle w:val="Header"/>
              <w:rPr>
                <w:rFonts w:cs="Arial"/>
                <w:color w:val="000000"/>
                <w:szCs w:val="20"/>
              </w:rPr>
            </w:pPr>
          </w:p>
          <w:p w14:paraId="0CB94255" w14:textId="77777777" w:rsidR="006C5661" w:rsidRDefault="009B6AAC" w:rsidP="009B6AAC">
            <w:pPr>
              <w:pStyle w:val="Header"/>
              <w:rPr>
                <w:rFonts w:cs="Arial"/>
                <w:color w:val="000000"/>
                <w:szCs w:val="20"/>
              </w:rPr>
            </w:pPr>
            <w:r w:rsidRPr="009B6AAC">
              <w:rPr>
                <w:rFonts w:cs="Arial"/>
                <w:color w:val="000000"/>
                <w:szCs w:val="20"/>
              </w:rPr>
              <w:t>For additional information on system</w:t>
            </w:r>
            <w:r>
              <w:rPr>
                <w:rFonts w:cs="Arial"/>
                <w:color w:val="000000"/>
                <w:szCs w:val="20"/>
              </w:rPr>
              <w:t xml:space="preserve"> and assay technology, refer to </w:t>
            </w:r>
            <w:r w:rsidRPr="009B6AAC">
              <w:rPr>
                <w:rFonts w:cs="Arial"/>
                <w:color w:val="000000"/>
                <w:szCs w:val="20"/>
              </w:rPr>
              <w:t>the Alinity ci-series Operations Manual, Section 3.</w:t>
            </w:r>
          </w:p>
          <w:p w14:paraId="5CCFFF81" w14:textId="57E2C44F" w:rsidR="002D391E" w:rsidRPr="00DC7421" w:rsidRDefault="002D391E" w:rsidP="009B6AAC">
            <w:pPr>
              <w:pStyle w:val="Header"/>
              <w:rPr>
                <w:rFonts w:cs="Arial"/>
                <w:color w:val="000000"/>
                <w:szCs w:val="20"/>
              </w:rPr>
            </w:pPr>
          </w:p>
        </w:tc>
      </w:tr>
      <w:tr w:rsidR="00E3253B" w14:paraId="5CCFFF87" w14:textId="77777777" w:rsidTr="007132A9">
        <w:trPr>
          <w:tblHeader/>
        </w:trPr>
        <w:tc>
          <w:tcPr>
            <w:tcW w:w="1800" w:type="dxa"/>
            <w:tcBorders>
              <w:top w:val="nil"/>
              <w:left w:val="nil"/>
              <w:bottom w:val="nil"/>
              <w:right w:val="nil"/>
            </w:tcBorders>
          </w:tcPr>
          <w:p w14:paraId="5CCFFF83" w14:textId="77777777" w:rsidR="00E3253B" w:rsidRPr="00C00B65" w:rsidRDefault="00E3253B">
            <w:pPr>
              <w:rPr>
                <w:rFonts w:cs="Arial"/>
                <w:b/>
                <w:bCs/>
                <w:color w:val="0000FF"/>
                <w:szCs w:val="20"/>
              </w:rPr>
            </w:pPr>
            <w:r w:rsidRPr="00C00B65">
              <w:rPr>
                <w:rFonts w:cs="Arial"/>
                <w:b/>
                <w:bCs/>
                <w:color w:val="0000FF"/>
                <w:szCs w:val="20"/>
              </w:rPr>
              <w:t>Clinical Significance</w:t>
            </w:r>
          </w:p>
          <w:p w14:paraId="5CCFFF84"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7A2356BE" w14:textId="281A8A2D" w:rsidR="00180D60" w:rsidRDefault="00180D60" w:rsidP="00180D60">
            <w:r w:rsidRPr="00180D60">
              <w:t>PTH is a single chain polypeptide of 84 amino acids produced by the</w:t>
            </w:r>
            <w:r>
              <w:t xml:space="preserve"> </w:t>
            </w:r>
            <w:r w:rsidRPr="00180D60">
              <w:t>parathyroid gland. Intact PTH1-84 is secreted into the blood stream</w:t>
            </w:r>
            <w:r>
              <w:t xml:space="preserve"> </w:t>
            </w:r>
            <w:r w:rsidRPr="00180D60">
              <w:t>and undergoes extensive proteolytic modifications. In contrast to its</w:t>
            </w:r>
            <w:r>
              <w:t xml:space="preserve"> </w:t>
            </w:r>
            <w:r w:rsidRPr="00180D60">
              <w:t>degradation products, the concentration of intact PTH is relatively</w:t>
            </w:r>
            <w:r>
              <w:t xml:space="preserve"> </w:t>
            </w:r>
            <w:r w:rsidRPr="00180D60">
              <w:t>independent of glomerular filtration rate and reflects the biologically</w:t>
            </w:r>
            <w:r>
              <w:t xml:space="preserve"> </w:t>
            </w:r>
            <w:r w:rsidRPr="00180D60">
              <w:t>active portion of the hormone.</w:t>
            </w:r>
          </w:p>
          <w:p w14:paraId="1D33A9A1" w14:textId="77777777" w:rsidR="00180D60" w:rsidRPr="00180D60" w:rsidRDefault="00180D60" w:rsidP="00180D60"/>
          <w:p w14:paraId="773056AE" w14:textId="68CE73B4" w:rsidR="00180D60" w:rsidRDefault="00180D60" w:rsidP="00180D60">
            <w:r w:rsidRPr="00180D60">
              <w:t>The primary role of PTH is to regulate the blood calcium level. PTH</w:t>
            </w:r>
            <w:r>
              <w:t xml:space="preserve"> </w:t>
            </w:r>
            <w:r w:rsidRPr="00180D60">
              <w:t>synthesis and secretion are stimulated within a few minutes by low</w:t>
            </w:r>
            <w:r>
              <w:t xml:space="preserve"> </w:t>
            </w:r>
            <w:r w:rsidRPr="00180D60">
              <w:t>concent</w:t>
            </w:r>
            <w:r w:rsidR="009A1AE6">
              <w:t>rations of ionized calcium</w:t>
            </w:r>
            <w:r w:rsidRPr="00180D60">
              <w:t>. The biological activity of</w:t>
            </w:r>
            <w:r>
              <w:t xml:space="preserve"> </w:t>
            </w:r>
            <w:r w:rsidRPr="00180D60">
              <w:t>PTH is to increase absorption of dietary calcium, decrease renal</w:t>
            </w:r>
            <w:r>
              <w:t xml:space="preserve"> </w:t>
            </w:r>
            <w:r w:rsidRPr="00180D60">
              <w:t>clearance and mobilize skeletal cal</w:t>
            </w:r>
            <w:r w:rsidR="009A1AE6">
              <w:t>cium stores. Abnormally high ionized calcium</w:t>
            </w:r>
            <w:r>
              <w:t xml:space="preserve"> </w:t>
            </w:r>
            <w:r w:rsidRPr="00180D60">
              <w:t>concentrations suppress secretion of PTH.</w:t>
            </w:r>
          </w:p>
          <w:p w14:paraId="5D7906E7" w14:textId="77777777" w:rsidR="00180D60" w:rsidRPr="00180D60" w:rsidRDefault="00180D60" w:rsidP="00180D60"/>
          <w:p w14:paraId="232F2DD8" w14:textId="77777777" w:rsidR="002462C0" w:rsidRDefault="00180D60" w:rsidP="00180D60">
            <w:r w:rsidRPr="00180D60">
              <w:t>In conjunction with serum calcium levels, the Alinity i Intact PTH</w:t>
            </w:r>
            <w:r>
              <w:t xml:space="preserve"> </w:t>
            </w:r>
            <w:r w:rsidRPr="00180D60">
              <w:t>assay may be used as an aid in the differential diagnosis of</w:t>
            </w:r>
            <w:r>
              <w:t xml:space="preserve"> </w:t>
            </w:r>
            <w:r w:rsidRPr="00180D60">
              <w:t>hypercalcemia, hypocalcemia and parathyroid disorders. PTH</w:t>
            </w:r>
            <w:r>
              <w:t xml:space="preserve"> </w:t>
            </w:r>
            <w:r w:rsidRPr="00180D60">
              <w:t>determination is important in monitoring dialysis patients to manage</w:t>
            </w:r>
            <w:r>
              <w:t xml:space="preserve"> </w:t>
            </w:r>
            <w:r w:rsidRPr="00180D60">
              <w:t>renal osteodystrophy.</w:t>
            </w:r>
          </w:p>
          <w:p w14:paraId="5CCFFF86" w14:textId="192107A6" w:rsidR="00180D60" w:rsidRPr="00370B0F" w:rsidRDefault="00180D60" w:rsidP="00180D60"/>
        </w:tc>
      </w:tr>
      <w:tr w:rsidR="00E3253B" w14:paraId="5CCFFF8A" w14:textId="77777777" w:rsidTr="00504F3B">
        <w:trPr>
          <w:trHeight w:val="450"/>
          <w:tblHeader/>
        </w:trPr>
        <w:tc>
          <w:tcPr>
            <w:tcW w:w="1800" w:type="dxa"/>
            <w:tcBorders>
              <w:top w:val="nil"/>
              <w:left w:val="nil"/>
              <w:bottom w:val="nil"/>
              <w:right w:val="nil"/>
            </w:tcBorders>
          </w:tcPr>
          <w:p w14:paraId="5CCFFF88" w14:textId="77777777"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14:paraId="5CBF0BF3" w14:textId="77860B7A" w:rsidR="006200C0" w:rsidRPr="00DC7421" w:rsidRDefault="006200C0" w:rsidP="006200C0">
            <w:pPr>
              <w:autoSpaceDE w:val="0"/>
              <w:autoSpaceDN w:val="0"/>
              <w:adjustRightInd w:val="0"/>
              <w:rPr>
                <w:rFonts w:cs="Arial"/>
                <w:bCs/>
                <w:szCs w:val="20"/>
              </w:rPr>
            </w:pPr>
            <w:r>
              <w:rPr>
                <w:rFonts w:cs="Arial"/>
                <w:b/>
                <w:bCs/>
                <w:color w:val="7030A0"/>
                <w:szCs w:val="20"/>
              </w:rPr>
              <w:t>Minneapolis: Abbott Alinity c (Sunquest method code: MALIC)</w:t>
            </w:r>
          </w:p>
          <w:p w14:paraId="5CCFFF89" w14:textId="4A44ABEB" w:rsidR="006200C0" w:rsidRPr="00DC7421" w:rsidRDefault="002D391E" w:rsidP="006B78CE">
            <w:pPr>
              <w:pStyle w:val="BodyText2"/>
              <w:spacing w:after="60" w:line="240" w:lineRule="auto"/>
              <w:rPr>
                <w:rFonts w:cs="Arial"/>
                <w:b/>
                <w:bCs/>
                <w:color w:val="7030A0"/>
                <w:szCs w:val="20"/>
              </w:rPr>
            </w:pPr>
            <w:r>
              <w:rPr>
                <w:rFonts w:cs="Arial"/>
                <w:b/>
                <w:bCs/>
                <w:color w:val="984806" w:themeColor="accent6" w:themeShade="80"/>
                <w:szCs w:val="20"/>
              </w:rPr>
              <w:t>Back up: Abbott Architect i1000SR (Sunquest method code: AI1)</w:t>
            </w:r>
          </w:p>
        </w:tc>
      </w:tr>
      <w:tr w:rsidR="00E3253B" w14:paraId="5CCFFF8D" w14:textId="77777777" w:rsidTr="007132A9">
        <w:trPr>
          <w:trHeight w:val="692"/>
          <w:tblHeader/>
        </w:trPr>
        <w:tc>
          <w:tcPr>
            <w:tcW w:w="1800" w:type="dxa"/>
            <w:tcBorders>
              <w:top w:val="nil"/>
              <w:left w:val="nil"/>
              <w:bottom w:val="nil"/>
              <w:right w:val="nil"/>
            </w:tcBorders>
            <w:vAlign w:val="center"/>
          </w:tcPr>
          <w:p w14:paraId="5CCFFF8B" w14:textId="77777777"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14:paraId="24787A33" w14:textId="77777777" w:rsidR="00370B0F" w:rsidRPr="002D391E" w:rsidRDefault="009B6AAC" w:rsidP="00504F3B">
            <w:pPr>
              <w:rPr>
                <w:b/>
              </w:rPr>
            </w:pPr>
            <w:r w:rsidRPr="002D391E">
              <w:rPr>
                <w:b/>
              </w:rPr>
              <w:t>PTHB</w:t>
            </w:r>
          </w:p>
          <w:p w14:paraId="5CCFFF8C" w14:textId="7ECC4FF5" w:rsidR="009B6AAC" w:rsidRPr="009B6AAC" w:rsidRDefault="009B6AAC" w:rsidP="00504F3B">
            <w:pPr>
              <w:rPr>
                <w:highlight w:val="yellow"/>
              </w:rPr>
            </w:pPr>
            <w:r w:rsidRPr="002D391E">
              <w:rPr>
                <w:b/>
              </w:rPr>
              <w:t>IPTHC (intraoperative PTH)</w:t>
            </w:r>
          </w:p>
        </w:tc>
      </w:tr>
      <w:tr w:rsidR="00E3253B" w14:paraId="5CCFFFA3" w14:textId="77777777" w:rsidTr="007132A9">
        <w:trPr>
          <w:tblHeader/>
        </w:trPr>
        <w:tc>
          <w:tcPr>
            <w:tcW w:w="1800" w:type="dxa"/>
            <w:tcBorders>
              <w:top w:val="nil"/>
              <w:left w:val="nil"/>
              <w:bottom w:val="nil"/>
              <w:right w:val="nil"/>
            </w:tcBorders>
          </w:tcPr>
          <w:p w14:paraId="5CCFFF8E" w14:textId="3CF4ADD3" w:rsidR="00E3253B" w:rsidRPr="00C00B65" w:rsidRDefault="00E3253B">
            <w:pPr>
              <w:rPr>
                <w:rFonts w:cs="Arial"/>
                <w:b/>
                <w:bCs/>
                <w:color w:val="0000FF"/>
                <w:szCs w:val="20"/>
              </w:rPr>
            </w:pPr>
            <w:r w:rsidRPr="00C00B65">
              <w:rPr>
                <w:rFonts w:cs="Arial"/>
                <w:b/>
                <w:bCs/>
                <w:color w:val="0000FF"/>
                <w:szCs w:val="20"/>
              </w:rPr>
              <w:lastRenderedPageBreak/>
              <w:t>Specimen</w:t>
            </w:r>
          </w:p>
          <w:p w14:paraId="5CCFFF8F" w14:textId="77777777" w:rsidR="00E3253B" w:rsidRPr="00C00B65" w:rsidRDefault="00E3253B">
            <w:pPr>
              <w:ind w:left="-108" w:right="-108"/>
              <w:jc w:val="right"/>
              <w:rPr>
                <w:rFonts w:cs="Arial"/>
                <w:b/>
                <w:bCs/>
                <w:color w:val="0000FF"/>
                <w:szCs w:val="20"/>
              </w:rPr>
            </w:pPr>
          </w:p>
          <w:p w14:paraId="5CCFFF90" w14:textId="77777777" w:rsidR="00E3253B" w:rsidRPr="00C00B65" w:rsidRDefault="00E3253B">
            <w:pPr>
              <w:ind w:left="-108" w:right="-108"/>
              <w:jc w:val="right"/>
              <w:rPr>
                <w:rFonts w:cs="Arial"/>
                <w:b/>
                <w:bCs/>
                <w:color w:val="0000FF"/>
                <w:szCs w:val="20"/>
              </w:rPr>
            </w:pPr>
          </w:p>
          <w:p w14:paraId="5CCFFF91" w14:textId="77777777" w:rsidR="00E3253B" w:rsidRPr="00C00B65" w:rsidRDefault="00E3253B">
            <w:pPr>
              <w:ind w:left="-108" w:right="-108"/>
              <w:jc w:val="right"/>
              <w:rPr>
                <w:rFonts w:cs="Arial"/>
                <w:b/>
                <w:bCs/>
                <w:color w:val="0000FF"/>
                <w:szCs w:val="20"/>
              </w:rPr>
            </w:pPr>
          </w:p>
          <w:p w14:paraId="5CCFFF92" w14:textId="77777777"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7A6CCFC8" w14:textId="141FEE48" w:rsidR="009A1AE6" w:rsidRDefault="00F9114F" w:rsidP="009A1AE6">
            <w:pPr>
              <w:rPr>
                <w:rStyle w:val="BoldBodyText"/>
                <w:rFonts w:ascii="Arial" w:hAnsi="Arial" w:cs="Arial"/>
                <w:b w:val="0"/>
                <w:bCs w:val="0"/>
                <w:sz w:val="20"/>
                <w:szCs w:val="20"/>
              </w:rPr>
            </w:pPr>
            <w:r>
              <w:rPr>
                <w:rStyle w:val="BoldBodyText"/>
                <w:rFonts w:ascii="Arial" w:hAnsi="Arial" w:cs="Arial"/>
                <w:bCs w:val="0"/>
                <w:sz w:val="20"/>
                <w:szCs w:val="20"/>
              </w:rPr>
              <w:t>Intraoperative PTH (IPTHC) only:</w:t>
            </w:r>
            <w:r>
              <w:rPr>
                <w:rStyle w:val="BoldBodyText"/>
                <w:rFonts w:ascii="Arial" w:hAnsi="Arial" w:cs="Arial"/>
                <w:b w:val="0"/>
                <w:bCs w:val="0"/>
                <w:sz w:val="20"/>
                <w:szCs w:val="20"/>
              </w:rPr>
              <w:t xml:space="preserve"> </w:t>
            </w:r>
            <w:r w:rsidR="00EC68B0">
              <w:rPr>
                <w:rStyle w:val="BoldBodyText"/>
                <w:rFonts w:ascii="Arial" w:hAnsi="Arial" w:cs="Arial"/>
                <w:b w:val="0"/>
                <w:bCs w:val="0"/>
                <w:sz w:val="20"/>
                <w:szCs w:val="20"/>
              </w:rPr>
              <w:t xml:space="preserve">Lithium Heparin No Gel preferred. Sodium Heparin No Gel also acceptable. </w:t>
            </w:r>
            <w:r>
              <w:rPr>
                <w:rStyle w:val="BoldBodyText"/>
                <w:rFonts w:ascii="Arial" w:hAnsi="Arial" w:cs="Arial"/>
                <w:b w:val="0"/>
                <w:bCs w:val="0"/>
                <w:sz w:val="20"/>
                <w:szCs w:val="20"/>
              </w:rPr>
              <w:t>EDTA also acceptable. Serum No Gel acceptable but discouraged, it will cause delay of results.</w:t>
            </w:r>
          </w:p>
          <w:p w14:paraId="0B12B8BC" w14:textId="77777777" w:rsidR="00F9114F" w:rsidRPr="00F9114F" w:rsidRDefault="00F9114F" w:rsidP="009A1AE6">
            <w:pPr>
              <w:rPr>
                <w:rStyle w:val="BoldBodyText"/>
                <w:rFonts w:ascii="Arial" w:hAnsi="Arial" w:cs="Arial"/>
                <w:b w:val="0"/>
                <w:bCs w:val="0"/>
                <w:sz w:val="20"/>
                <w:szCs w:val="20"/>
              </w:rPr>
            </w:pPr>
          </w:p>
          <w:p w14:paraId="3B6C227E" w14:textId="23EF6D14" w:rsidR="009A1AE6" w:rsidRPr="00F9114F" w:rsidRDefault="00F9114F" w:rsidP="009A1AE6">
            <w:pPr>
              <w:rPr>
                <w:rStyle w:val="BoldBodyText"/>
                <w:rFonts w:ascii="Arial" w:hAnsi="Arial" w:cs="Arial"/>
                <w:b w:val="0"/>
                <w:bCs w:val="0"/>
                <w:sz w:val="20"/>
                <w:szCs w:val="20"/>
              </w:rPr>
            </w:pPr>
            <w:r>
              <w:rPr>
                <w:rStyle w:val="BoldBodyText"/>
                <w:rFonts w:ascii="Arial" w:hAnsi="Arial" w:cs="Arial"/>
                <w:bCs w:val="0"/>
                <w:sz w:val="20"/>
                <w:szCs w:val="20"/>
              </w:rPr>
              <w:t xml:space="preserve">Routine </w:t>
            </w:r>
            <w:r w:rsidR="009A1AE6" w:rsidRPr="009A1AE6">
              <w:rPr>
                <w:rStyle w:val="BoldBodyText"/>
                <w:rFonts w:ascii="Arial" w:hAnsi="Arial" w:cs="Arial"/>
                <w:bCs w:val="0"/>
                <w:sz w:val="20"/>
                <w:szCs w:val="20"/>
              </w:rPr>
              <w:t xml:space="preserve">PTH with Calcium </w:t>
            </w:r>
            <w:r>
              <w:rPr>
                <w:rStyle w:val="BoldBodyText"/>
                <w:rFonts w:ascii="Arial" w:hAnsi="Arial" w:cs="Arial"/>
                <w:bCs w:val="0"/>
                <w:sz w:val="20"/>
                <w:szCs w:val="20"/>
              </w:rPr>
              <w:t>(</w:t>
            </w:r>
            <w:r w:rsidR="009A1AE6" w:rsidRPr="009A1AE6">
              <w:rPr>
                <w:rStyle w:val="BoldBodyText"/>
                <w:rFonts w:ascii="Arial" w:hAnsi="Arial" w:cs="Arial"/>
                <w:bCs w:val="0"/>
                <w:sz w:val="20"/>
                <w:szCs w:val="20"/>
              </w:rPr>
              <w:t>PTHB</w:t>
            </w:r>
            <w:r>
              <w:rPr>
                <w:rStyle w:val="BoldBodyText"/>
                <w:rFonts w:ascii="Arial" w:hAnsi="Arial" w:cs="Arial"/>
                <w:bCs w:val="0"/>
                <w:sz w:val="20"/>
                <w:szCs w:val="20"/>
              </w:rPr>
              <w:t xml:space="preserve">) only: </w:t>
            </w:r>
            <w:r w:rsidR="00EC68B0">
              <w:rPr>
                <w:rStyle w:val="BoldBodyText"/>
                <w:rFonts w:ascii="Arial" w:hAnsi="Arial" w:cs="Arial"/>
                <w:b w:val="0"/>
                <w:bCs w:val="0"/>
                <w:sz w:val="20"/>
                <w:szCs w:val="20"/>
              </w:rPr>
              <w:t xml:space="preserve">Lithium Heparin No Gel preferred. Sodium Heparin No Gel also acceptable. </w:t>
            </w:r>
            <w:r>
              <w:rPr>
                <w:rStyle w:val="BoldBodyText"/>
                <w:rFonts w:ascii="Arial" w:hAnsi="Arial" w:cs="Arial"/>
                <w:b w:val="0"/>
                <w:bCs w:val="0"/>
                <w:sz w:val="20"/>
                <w:szCs w:val="20"/>
              </w:rPr>
              <w:t xml:space="preserve">Serum No Gel acceptable but discouraged, it will cause </w:t>
            </w:r>
            <w:r w:rsidRPr="00F9114F">
              <w:rPr>
                <w:rStyle w:val="BoldBodyText"/>
                <w:rFonts w:ascii="Arial" w:hAnsi="Arial" w:cs="Arial"/>
                <w:b w:val="0"/>
                <w:bCs w:val="0"/>
                <w:sz w:val="20"/>
                <w:szCs w:val="20"/>
              </w:rPr>
              <w:t>delay of results.</w:t>
            </w:r>
            <w:r w:rsidR="009A1AE6" w:rsidRPr="00F9114F">
              <w:rPr>
                <w:rStyle w:val="BoldBodyText"/>
                <w:rFonts w:ascii="Arial" w:hAnsi="Arial" w:cs="Arial"/>
                <w:b w:val="0"/>
                <w:bCs w:val="0"/>
                <w:sz w:val="20"/>
                <w:szCs w:val="20"/>
              </w:rPr>
              <w:t xml:space="preserve">  (Backup method, Mayo Medical Laboratories, accepts serum only.)</w:t>
            </w:r>
            <w:r w:rsidRPr="00F9114F">
              <w:rPr>
                <w:rStyle w:val="BoldBodyText"/>
                <w:rFonts w:ascii="Arial" w:hAnsi="Arial" w:cs="Arial"/>
                <w:b w:val="0"/>
                <w:bCs w:val="0"/>
                <w:sz w:val="20"/>
                <w:szCs w:val="20"/>
              </w:rPr>
              <w:t xml:space="preserve"> EDTA is not acceptable due to interference with Calcium measurement.</w:t>
            </w:r>
            <w:r>
              <w:rPr>
                <w:rStyle w:val="BoldBodyText"/>
                <w:rFonts w:ascii="Arial" w:hAnsi="Arial" w:cs="Arial"/>
                <w:bCs w:val="0"/>
                <w:sz w:val="20"/>
                <w:szCs w:val="20"/>
              </w:rPr>
              <w:t xml:space="preserve"> </w:t>
            </w:r>
          </w:p>
          <w:p w14:paraId="3E7418E9" w14:textId="77777777" w:rsidR="009A1AE6" w:rsidRPr="009A1AE6" w:rsidRDefault="009A1AE6" w:rsidP="009A1AE6">
            <w:pPr>
              <w:rPr>
                <w:rStyle w:val="BoldBodyText"/>
                <w:rFonts w:ascii="Arial" w:hAnsi="Arial" w:cs="Arial"/>
                <w:bCs w:val="0"/>
                <w:sz w:val="20"/>
                <w:szCs w:val="20"/>
              </w:rPr>
            </w:pPr>
          </w:p>
          <w:p w14:paraId="06EC7405" w14:textId="7276D386" w:rsidR="009A1AE6" w:rsidRPr="009A1AE6" w:rsidRDefault="009A1AE6" w:rsidP="009A1AE6">
            <w:pPr>
              <w:rPr>
                <w:rStyle w:val="BoldBodyText"/>
                <w:rFonts w:ascii="Arial" w:hAnsi="Arial" w:cs="Arial"/>
                <w:bCs w:val="0"/>
                <w:sz w:val="20"/>
                <w:szCs w:val="20"/>
              </w:rPr>
            </w:pPr>
            <w:r w:rsidRPr="009A1AE6">
              <w:rPr>
                <w:rStyle w:val="BoldBodyText"/>
                <w:rFonts w:ascii="Arial" w:hAnsi="Arial" w:cs="Arial"/>
                <w:bCs w:val="0"/>
                <w:sz w:val="20"/>
                <w:szCs w:val="20"/>
              </w:rPr>
              <w:t xml:space="preserve">Add-on testing:  </w:t>
            </w:r>
            <w:r w:rsidR="00EC68B0">
              <w:rPr>
                <w:rStyle w:val="BoldBodyText"/>
                <w:rFonts w:ascii="Arial" w:hAnsi="Arial" w:cs="Arial"/>
                <w:b w:val="0"/>
                <w:bCs w:val="0"/>
                <w:sz w:val="20"/>
                <w:szCs w:val="20"/>
              </w:rPr>
              <w:t>PTH testing may be added to existing sample</w:t>
            </w:r>
            <w:r w:rsidR="00C424AF">
              <w:rPr>
                <w:rStyle w:val="BoldBodyText"/>
                <w:rFonts w:ascii="Arial" w:hAnsi="Arial" w:cs="Arial"/>
                <w:b w:val="0"/>
                <w:bCs w:val="0"/>
                <w:sz w:val="20"/>
                <w:szCs w:val="20"/>
              </w:rPr>
              <w:t xml:space="preserve"> types</w:t>
            </w:r>
            <w:r w:rsidR="00EC68B0">
              <w:rPr>
                <w:rStyle w:val="BoldBodyText"/>
                <w:rFonts w:ascii="Arial" w:hAnsi="Arial" w:cs="Arial"/>
                <w:b w:val="0"/>
                <w:bCs w:val="0"/>
                <w:sz w:val="20"/>
                <w:szCs w:val="20"/>
              </w:rPr>
              <w:t xml:space="preserve"> as defined above. Do not add PTHB to EDTA samples. If PTHB is added to an existing sample with a calcium result, credit the calcium component and manually enter the original calcium result. Do not report two different calcium results from a single draw time.</w:t>
            </w:r>
          </w:p>
          <w:p w14:paraId="149988F2" w14:textId="79EEE7F9" w:rsidR="009A1AE6" w:rsidRPr="009A1AE6" w:rsidRDefault="009A1AE6" w:rsidP="009A1AE6">
            <w:pPr>
              <w:rPr>
                <w:rStyle w:val="BoldBodyText"/>
                <w:rFonts w:ascii="Arial" w:hAnsi="Arial" w:cs="Arial"/>
                <w:bCs w:val="0"/>
                <w:sz w:val="20"/>
                <w:szCs w:val="20"/>
              </w:rPr>
            </w:pPr>
            <w:r w:rsidRPr="009A1AE6">
              <w:rPr>
                <w:rStyle w:val="BoldBodyText"/>
                <w:rFonts w:ascii="Arial" w:hAnsi="Arial" w:cs="Arial"/>
                <w:bCs w:val="0"/>
                <w:sz w:val="20"/>
                <w:szCs w:val="20"/>
              </w:rPr>
              <w:t xml:space="preserve">  </w:t>
            </w:r>
          </w:p>
          <w:p w14:paraId="61276336" w14:textId="77777777" w:rsidR="009A1AE6" w:rsidRPr="009A1AE6" w:rsidRDefault="009A1AE6" w:rsidP="009A1AE6">
            <w:pPr>
              <w:rPr>
                <w:rStyle w:val="BoldBodyText"/>
                <w:rFonts w:ascii="Arial" w:hAnsi="Arial" w:cs="Arial"/>
                <w:bCs w:val="0"/>
                <w:sz w:val="20"/>
                <w:szCs w:val="20"/>
              </w:rPr>
            </w:pPr>
            <w:r w:rsidRPr="009A1AE6">
              <w:rPr>
                <w:rStyle w:val="BoldBodyText"/>
                <w:rFonts w:ascii="Arial" w:hAnsi="Arial" w:cs="Arial"/>
                <w:bCs w:val="0"/>
                <w:sz w:val="20"/>
                <w:szCs w:val="20"/>
              </w:rPr>
              <w:t xml:space="preserve">Minimum Processed Sample Volume: </w:t>
            </w:r>
          </w:p>
          <w:p w14:paraId="3F15EA68" w14:textId="5E4D0523" w:rsidR="009A1AE6" w:rsidRPr="009A1AE6" w:rsidRDefault="009A1AE6" w:rsidP="009A1AE6">
            <w:pPr>
              <w:rPr>
                <w:rStyle w:val="BoldBodyText"/>
                <w:rFonts w:ascii="Arial" w:hAnsi="Arial" w:cs="Arial"/>
                <w:bCs w:val="0"/>
                <w:sz w:val="20"/>
                <w:szCs w:val="20"/>
              </w:rPr>
            </w:pPr>
            <w:r w:rsidRPr="009A1AE6">
              <w:rPr>
                <w:rStyle w:val="BoldBodyText"/>
                <w:rFonts w:ascii="Arial" w:hAnsi="Arial" w:cs="Arial"/>
                <w:bCs w:val="0"/>
                <w:sz w:val="20"/>
                <w:szCs w:val="20"/>
              </w:rPr>
              <w:t>IPTHC (intraoperative):</w:t>
            </w:r>
            <w:r w:rsidRPr="009A1AE6">
              <w:rPr>
                <w:rStyle w:val="BoldBodyText"/>
                <w:rFonts w:ascii="Arial" w:hAnsi="Arial" w:cs="Arial"/>
                <w:b w:val="0"/>
                <w:bCs w:val="0"/>
                <w:sz w:val="20"/>
                <w:szCs w:val="20"/>
              </w:rPr>
              <w:t xml:space="preserve"> 200 µL </w:t>
            </w:r>
            <w:r w:rsidR="00EC68B0">
              <w:rPr>
                <w:rStyle w:val="BoldBodyText"/>
                <w:rFonts w:ascii="Arial" w:hAnsi="Arial" w:cs="Arial"/>
                <w:b w:val="0"/>
                <w:bCs w:val="0"/>
                <w:sz w:val="20"/>
                <w:szCs w:val="20"/>
              </w:rPr>
              <w:t>plasma or serum</w:t>
            </w:r>
          </w:p>
          <w:p w14:paraId="34F12611" w14:textId="5E27DD91" w:rsidR="0017089C" w:rsidRPr="00DC7421" w:rsidRDefault="009A1AE6" w:rsidP="009A1AE6">
            <w:pPr>
              <w:rPr>
                <w:rFonts w:cs="Arial"/>
                <w:szCs w:val="20"/>
              </w:rPr>
            </w:pPr>
            <w:r w:rsidRPr="009A1AE6">
              <w:rPr>
                <w:rStyle w:val="BoldBodyText"/>
                <w:rFonts w:ascii="Arial" w:hAnsi="Arial" w:cs="Arial"/>
                <w:bCs w:val="0"/>
                <w:sz w:val="20"/>
                <w:szCs w:val="20"/>
              </w:rPr>
              <w:t xml:space="preserve">PTHB: </w:t>
            </w:r>
            <w:r w:rsidRPr="009A1AE6">
              <w:rPr>
                <w:rStyle w:val="BoldBodyText"/>
                <w:rFonts w:ascii="Arial" w:hAnsi="Arial" w:cs="Arial"/>
                <w:b w:val="0"/>
                <w:bCs w:val="0"/>
                <w:sz w:val="20"/>
                <w:szCs w:val="20"/>
              </w:rPr>
              <w:t>2</w:t>
            </w:r>
            <w:r w:rsidR="00EC68B0">
              <w:rPr>
                <w:rStyle w:val="BoldBodyText"/>
                <w:rFonts w:ascii="Arial" w:hAnsi="Arial" w:cs="Arial"/>
                <w:b w:val="0"/>
                <w:bCs w:val="0"/>
                <w:sz w:val="20"/>
                <w:szCs w:val="20"/>
              </w:rPr>
              <w:t>55</w:t>
            </w:r>
            <w:r w:rsidRPr="009A1AE6">
              <w:rPr>
                <w:rStyle w:val="BoldBodyText"/>
                <w:rFonts w:ascii="Arial" w:hAnsi="Arial" w:cs="Arial"/>
                <w:b w:val="0"/>
                <w:bCs w:val="0"/>
                <w:sz w:val="20"/>
                <w:szCs w:val="20"/>
              </w:rPr>
              <w:t xml:space="preserve"> µL </w:t>
            </w:r>
            <w:r w:rsidR="00EC68B0">
              <w:rPr>
                <w:rStyle w:val="BoldBodyText"/>
                <w:rFonts w:ascii="Arial" w:hAnsi="Arial" w:cs="Arial"/>
                <w:b w:val="0"/>
                <w:bCs w:val="0"/>
                <w:sz w:val="20"/>
                <w:szCs w:val="20"/>
              </w:rPr>
              <w:t>plasma or serum (</w:t>
            </w:r>
            <w:r w:rsidR="00EC68B0" w:rsidRPr="009A1AE6">
              <w:rPr>
                <w:rStyle w:val="BoldBodyText"/>
                <w:rFonts w:ascii="Arial" w:hAnsi="Arial" w:cs="Arial"/>
                <w:b w:val="0"/>
                <w:bCs w:val="0"/>
                <w:sz w:val="20"/>
                <w:szCs w:val="20"/>
              </w:rPr>
              <w:t>2</w:t>
            </w:r>
            <w:r w:rsidR="00EC68B0">
              <w:rPr>
                <w:rStyle w:val="BoldBodyText"/>
                <w:rFonts w:ascii="Arial" w:hAnsi="Arial" w:cs="Arial"/>
                <w:b w:val="0"/>
                <w:bCs w:val="0"/>
                <w:sz w:val="20"/>
                <w:szCs w:val="20"/>
              </w:rPr>
              <w:t>00</w:t>
            </w:r>
            <w:r w:rsidR="00EC68B0" w:rsidRPr="009A1AE6">
              <w:rPr>
                <w:rStyle w:val="BoldBodyText"/>
                <w:rFonts w:ascii="Arial" w:hAnsi="Arial" w:cs="Arial"/>
                <w:b w:val="0"/>
                <w:bCs w:val="0"/>
                <w:sz w:val="20"/>
                <w:szCs w:val="20"/>
              </w:rPr>
              <w:t xml:space="preserve"> µL</w:t>
            </w:r>
            <w:r w:rsidR="00EC68B0">
              <w:rPr>
                <w:rStyle w:val="BoldBodyText"/>
                <w:rFonts w:ascii="Arial" w:hAnsi="Arial" w:cs="Arial"/>
                <w:b w:val="0"/>
                <w:bCs w:val="0"/>
                <w:sz w:val="20"/>
                <w:szCs w:val="20"/>
              </w:rPr>
              <w:t xml:space="preserve"> for PTH </w:t>
            </w:r>
            <w:r w:rsidR="00831C78">
              <w:rPr>
                <w:rStyle w:val="BoldBodyText"/>
                <w:rFonts w:ascii="Arial" w:hAnsi="Arial" w:cs="Arial"/>
                <w:b w:val="0"/>
                <w:bCs w:val="0"/>
                <w:sz w:val="20"/>
                <w:szCs w:val="20"/>
              </w:rPr>
              <w:t xml:space="preserve">and </w:t>
            </w:r>
            <w:r w:rsidR="00EC68B0">
              <w:rPr>
                <w:rStyle w:val="BoldBodyText"/>
                <w:rFonts w:ascii="Arial" w:hAnsi="Arial" w:cs="Arial"/>
                <w:b w:val="0"/>
                <w:bCs w:val="0"/>
                <w:sz w:val="20"/>
                <w:szCs w:val="20"/>
              </w:rPr>
              <w:t>55</w:t>
            </w:r>
            <w:r w:rsidR="00EC68B0" w:rsidRPr="009A1AE6">
              <w:rPr>
                <w:rStyle w:val="BoldBodyText"/>
                <w:rFonts w:ascii="Arial" w:hAnsi="Arial" w:cs="Arial"/>
                <w:b w:val="0"/>
                <w:bCs w:val="0"/>
                <w:sz w:val="20"/>
                <w:szCs w:val="20"/>
              </w:rPr>
              <w:t xml:space="preserve"> µL</w:t>
            </w:r>
            <w:r w:rsidR="00EC68B0">
              <w:rPr>
                <w:rStyle w:val="BoldBodyText"/>
                <w:rFonts w:ascii="Arial" w:hAnsi="Arial" w:cs="Arial"/>
                <w:b w:val="0"/>
                <w:bCs w:val="0"/>
                <w:sz w:val="20"/>
                <w:szCs w:val="20"/>
              </w:rPr>
              <w:t xml:space="preserve"> for calcium)</w:t>
            </w:r>
          </w:p>
          <w:p w14:paraId="5CCFFF96" w14:textId="1A82B290" w:rsidR="00E93074"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9475C8">
              <w:rPr>
                <w:rFonts w:ascii="Arial" w:hAnsi="Arial" w:cs="Arial"/>
                <w:b/>
                <w:bCs/>
                <w:sz w:val="20"/>
                <w:szCs w:val="20"/>
              </w:rPr>
              <w:t xml:space="preserve">: </w:t>
            </w:r>
            <w:r w:rsidR="00792033">
              <w:rPr>
                <w:rFonts w:ascii="Arial" w:hAnsi="Arial" w:cs="Arial"/>
                <w:bCs/>
                <w:sz w:val="20"/>
                <w:szCs w:val="20"/>
              </w:rPr>
              <w:t xml:space="preserve">0.6 </w:t>
            </w:r>
            <w:r w:rsidR="00AE2334" w:rsidRPr="009475C8">
              <w:rPr>
                <w:rFonts w:ascii="Arial" w:hAnsi="Arial" w:cs="Arial"/>
                <w:sz w:val="20"/>
                <w:szCs w:val="20"/>
              </w:rPr>
              <w:t>mL</w:t>
            </w:r>
            <w:r w:rsidR="00AE2334">
              <w:rPr>
                <w:rFonts w:ascii="Arial" w:hAnsi="Arial" w:cs="Arial"/>
                <w:sz w:val="20"/>
                <w:szCs w:val="20"/>
              </w:rPr>
              <w:t xml:space="preserve"> blood, </w:t>
            </w:r>
            <w:r w:rsidR="00792033">
              <w:rPr>
                <w:rFonts w:ascii="Arial" w:hAnsi="Arial" w:cs="Arial"/>
                <w:bCs/>
                <w:sz w:val="20"/>
                <w:szCs w:val="20"/>
              </w:rPr>
              <w:t xml:space="preserve">0.2 </w:t>
            </w:r>
            <w:r w:rsidR="009475C8" w:rsidRPr="009475C8">
              <w:rPr>
                <w:rFonts w:ascii="Arial" w:hAnsi="Arial" w:cs="Arial"/>
                <w:sz w:val="20"/>
                <w:szCs w:val="20"/>
              </w:rPr>
              <w:t>mL</w:t>
            </w:r>
            <w:r w:rsidR="00AE2334">
              <w:rPr>
                <w:rFonts w:ascii="Arial" w:hAnsi="Arial" w:cs="Arial"/>
                <w:sz w:val="20"/>
                <w:szCs w:val="20"/>
              </w:rPr>
              <w:t xml:space="preserve"> serum/plasma</w:t>
            </w:r>
          </w:p>
          <w:p w14:paraId="23090E90" w14:textId="77777777" w:rsidR="00792033" w:rsidRPr="00792033" w:rsidRDefault="00792033" w:rsidP="00792033"/>
          <w:p w14:paraId="0DE2EBB5" w14:textId="69BCB41B" w:rsidR="00DC2D9C" w:rsidRPr="00DC2D9C" w:rsidRDefault="00DC2D9C" w:rsidP="00DC2D9C">
            <w:pPr>
              <w:rPr>
                <w:rFonts w:cs="Arial"/>
                <w:szCs w:val="20"/>
              </w:rPr>
            </w:pPr>
            <w:r w:rsidRPr="00DC2D9C">
              <w:rPr>
                <w:rFonts w:cs="Arial"/>
                <w:szCs w:val="20"/>
              </w:rPr>
              <w:t>Maximum number of replicates sampled from the same sample</w:t>
            </w:r>
            <w:r>
              <w:rPr>
                <w:rFonts w:cs="Arial"/>
                <w:szCs w:val="20"/>
              </w:rPr>
              <w:t xml:space="preserve"> </w:t>
            </w:r>
            <w:r w:rsidRPr="00DC2D9C">
              <w:rPr>
                <w:rFonts w:cs="Arial"/>
                <w:szCs w:val="20"/>
              </w:rPr>
              <w:t>cup: 9</w:t>
            </w:r>
          </w:p>
          <w:p w14:paraId="4DE6CD1C" w14:textId="77777777" w:rsidR="00792033" w:rsidRDefault="00792033" w:rsidP="00DC2D9C">
            <w:pPr>
              <w:rPr>
                <w:rFonts w:cs="Arial"/>
                <w:szCs w:val="20"/>
              </w:rPr>
            </w:pPr>
          </w:p>
          <w:p w14:paraId="557946D5" w14:textId="6311B76C" w:rsidR="00DC2D9C" w:rsidRPr="00DC2D9C" w:rsidRDefault="00DC2D9C" w:rsidP="00DC2D9C">
            <w:pPr>
              <w:rPr>
                <w:rFonts w:cs="Arial"/>
                <w:szCs w:val="20"/>
              </w:rPr>
            </w:pPr>
            <w:r w:rsidRPr="00DC2D9C">
              <w:rPr>
                <w:rFonts w:cs="Arial"/>
                <w:szCs w:val="20"/>
              </w:rPr>
              <w:t>Priority</w:t>
            </w:r>
            <w:r w:rsidR="009A1AE6">
              <w:rPr>
                <w:rFonts w:cs="Arial"/>
                <w:szCs w:val="20"/>
              </w:rPr>
              <w:t xml:space="preserve"> loaded</w:t>
            </w:r>
            <w:r w:rsidR="00B2518A">
              <w:rPr>
                <w:rFonts w:cs="Arial"/>
                <w:szCs w:val="20"/>
              </w:rPr>
              <w:t>:</w:t>
            </w:r>
            <w:bookmarkStart w:id="0" w:name="_GoBack"/>
            <w:bookmarkEnd w:id="0"/>
          </w:p>
          <w:p w14:paraId="289F4F8B" w14:textId="4E05BCEB" w:rsidR="00DC2D9C" w:rsidRPr="00DC2D9C" w:rsidRDefault="00792033" w:rsidP="00DC2D9C">
            <w:pPr>
              <w:rPr>
                <w:rFonts w:cs="Arial"/>
                <w:szCs w:val="20"/>
              </w:rPr>
            </w:pPr>
            <w:r>
              <w:rPr>
                <w:rFonts w:cs="Arial" w:hint="eastAsia"/>
                <w:szCs w:val="20"/>
              </w:rPr>
              <w:t xml:space="preserve">     </w:t>
            </w:r>
            <w:r w:rsidR="00DC2D9C" w:rsidRPr="00DC2D9C">
              <w:rPr>
                <w:rFonts w:cs="Arial"/>
                <w:szCs w:val="20"/>
              </w:rPr>
              <w:t xml:space="preserve">Sample volume for first test: 200 </w:t>
            </w:r>
            <w:r w:rsidR="00DC2D9C" w:rsidRPr="00DC2D9C">
              <w:rPr>
                <w:rFonts w:cs="Arial" w:hint="eastAsia"/>
                <w:szCs w:val="20"/>
              </w:rPr>
              <w:t>μ</w:t>
            </w:r>
            <w:r w:rsidR="00DC2D9C" w:rsidRPr="00DC2D9C">
              <w:rPr>
                <w:rFonts w:cs="Arial"/>
                <w:szCs w:val="20"/>
              </w:rPr>
              <w:t>L</w:t>
            </w:r>
          </w:p>
          <w:p w14:paraId="66647683" w14:textId="0454622A" w:rsidR="00DC2D9C" w:rsidRPr="00DC2D9C" w:rsidRDefault="00792033" w:rsidP="00DC2D9C">
            <w:pPr>
              <w:rPr>
                <w:rFonts w:cs="Arial"/>
                <w:szCs w:val="20"/>
              </w:rPr>
            </w:pPr>
            <w:r>
              <w:rPr>
                <w:rFonts w:cs="Arial" w:hint="eastAsia"/>
                <w:szCs w:val="20"/>
              </w:rPr>
              <w:t xml:space="preserve">     </w:t>
            </w:r>
            <w:r w:rsidR="00DC2D9C" w:rsidRPr="00DC2D9C">
              <w:rPr>
                <w:rFonts w:cs="Arial"/>
                <w:szCs w:val="20"/>
              </w:rPr>
              <w:t>Sample volume for each additional test from same sample</w:t>
            </w:r>
            <w:r>
              <w:rPr>
                <w:rFonts w:cs="Arial"/>
                <w:szCs w:val="20"/>
              </w:rPr>
              <w:t xml:space="preserve"> </w:t>
            </w:r>
            <w:r w:rsidR="00DC2D9C" w:rsidRPr="00DC2D9C">
              <w:rPr>
                <w:rFonts w:cs="Arial"/>
                <w:szCs w:val="20"/>
              </w:rPr>
              <w:t xml:space="preserve">cup: 150 </w:t>
            </w:r>
            <w:r w:rsidR="00DC2D9C" w:rsidRPr="00DC2D9C">
              <w:rPr>
                <w:rFonts w:cs="Arial" w:hint="eastAsia"/>
                <w:szCs w:val="20"/>
              </w:rPr>
              <w:t>μ</w:t>
            </w:r>
            <w:r w:rsidR="00DC2D9C" w:rsidRPr="00DC2D9C">
              <w:rPr>
                <w:rFonts w:cs="Arial"/>
                <w:szCs w:val="20"/>
              </w:rPr>
              <w:t>L</w:t>
            </w:r>
          </w:p>
          <w:p w14:paraId="394CA024" w14:textId="77777777" w:rsidR="00792033" w:rsidRDefault="00792033" w:rsidP="00DC2D9C">
            <w:pPr>
              <w:rPr>
                <w:rFonts w:cs="Arial"/>
                <w:szCs w:val="20"/>
              </w:rPr>
            </w:pPr>
          </w:p>
          <w:p w14:paraId="37236858" w14:textId="18071733" w:rsidR="00DC2D9C" w:rsidRPr="00DC2D9C" w:rsidRDefault="009A1AE6" w:rsidP="00DC2D9C">
            <w:pPr>
              <w:rPr>
                <w:rFonts w:cs="Arial"/>
                <w:szCs w:val="20"/>
              </w:rPr>
            </w:pPr>
            <w:r>
              <w:rPr>
                <w:rFonts w:cs="Arial"/>
                <w:szCs w:val="20"/>
              </w:rPr>
              <w:t>Routinely loaded:</w:t>
            </w:r>
          </w:p>
          <w:p w14:paraId="6466BFE6" w14:textId="5357AADF" w:rsidR="00DC2D9C" w:rsidRPr="00DC2D9C" w:rsidRDefault="00792033" w:rsidP="00DC2D9C">
            <w:pPr>
              <w:rPr>
                <w:rFonts w:cs="Arial"/>
                <w:szCs w:val="20"/>
              </w:rPr>
            </w:pPr>
            <w:r>
              <w:rPr>
                <w:rFonts w:cs="Arial" w:hint="eastAsia"/>
                <w:szCs w:val="20"/>
              </w:rPr>
              <w:t xml:space="preserve">     </w:t>
            </w:r>
            <w:r w:rsidR="00DC2D9C" w:rsidRPr="00DC2D9C">
              <w:rPr>
                <w:rFonts w:cs="Arial"/>
                <w:szCs w:val="20"/>
              </w:rPr>
              <w:t xml:space="preserve">Sample volume for first test: 200 </w:t>
            </w:r>
            <w:r w:rsidR="00DC2D9C" w:rsidRPr="00DC2D9C">
              <w:rPr>
                <w:rFonts w:cs="Arial" w:hint="eastAsia"/>
                <w:szCs w:val="20"/>
              </w:rPr>
              <w:t>μ</w:t>
            </w:r>
            <w:r w:rsidR="00DC2D9C" w:rsidRPr="00DC2D9C">
              <w:rPr>
                <w:rFonts w:cs="Arial"/>
                <w:szCs w:val="20"/>
              </w:rPr>
              <w:t>L</w:t>
            </w:r>
          </w:p>
          <w:p w14:paraId="34293F89" w14:textId="2DFC0796" w:rsidR="00DC2D9C" w:rsidRPr="00DC2D9C" w:rsidRDefault="00792033" w:rsidP="00DC2D9C">
            <w:pPr>
              <w:rPr>
                <w:rFonts w:cs="Arial"/>
                <w:szCs w:val="20"/>
              </w:rPr>
            </w:pPr>
            <w:r>
              <w:rPr>
                <w:rFonts w:cs="Arial" w:hint="eastAsia"/>
                <w:szCs w:val="20"/>
              </w:rPr>
              <w:t xml:space="preserve">     </w:t>
            </w:r>
            <w:r w:rsidR="00DC2D9C" w:rsidRPr="00DC2D9C">
              <w:rPr>
                <w:rFonts w:cs="Arial"/>
                <w:szCs w:val="20"/>
              </w:rPr>
              <w:t>Sample volume for each additional test from same sample</w:t>
            </w:r>
            <w:r>
              <w:rPr>
                <w:rFonts w:cs="Arial"/>
                <w:szCs w:val="20"/>
              </w:rPr>
              <w:t xml:space="preserve"> </w:t>
            </w:r>
            <w:r w:rsidR="00DC2D9C" w:rsidRPr="00DC2D9C">
              <w:rPr>
                <w:rFonts w:cs="Arial"/>
                <w:szCs w:val="20"/>
              </w:rPr>
              <w:t xml:space="preserve">cup: 150 </w:t>
            </w:r>
            <w:r w:rsidR="00DC2D9C" w:rsidRPr="00DC2D9C">
              <w:rPr>
                <w:rFonts w:cs="Arial" w:hint="eastAsia"/>
                <w:szCs w:val="20"/>
              </w:rPr>
              <w:t>μ</w:t>
            </w:r>
            <w:r w:rsidR="00DC2D9C" w:rsidRPr="00DC2D9C">
              <w:rPr>
                <w:rFonts w:cs="Arial"/>
                <w:szCs w:val="20"/>
              </w:rPr>
              <w:t>L</w:t>
            </w:r>
          </w:p>
          <w:p w14:paraId="41ADE8D7" w14:textId="77777777" w:rsidR="00792033" w:rsidRPr="00DC7421" w:rsidRDefault="00792033" w:rsidP="00DC2D9C">
            <w:pPr>
              <w:rPr>
                <w:rFonts w:cs="Arial"/>
                <w:szCs w:val="20"/>
              </w:rPr>
            </w:pPr>
          </w:p>
          <w:p w14:paraId="3DC60522" w14:textId="77777777" w:rsidR="00BD0AE4" w:rsidRDefault="009A1A3D">
            <w:pPr>
              <w:pStyle w:val="Header"/>
              <w:tabs>
                <w:tab w:val="clear" w:pos="4320"/>
                <w:tab w:val="clear" w:pos="8640"/>
              </w:tabs>
              <w:rPr>
                <w:rFonts w:cs="Arial"/>
                <w:szCs w:val="20"/>
              </w:rPr>
            </w:pPr>
            <w:r w:rsidRPr="00DC7421">
              <w:rPr>
                <w:rFonts w:cs="Arial"/>
                <w:b/>
                <w:bCs/>
                <w:szCs w:val="20"/>
              </w:rPr>
              <w:t>Stability when separated from cells/gel:</w:t>
            </w:r>
            <w:r w:rsidR="00504F3B">
              <w:rPr>
                <w:rFonts w:cs="Arial"/>
                <w:szCs w:val="20"/>
              </w:rPr>
              <w:t xml:space="preserve"> </w:t>
            </w:r>
          </w:p>
          <w:p w14:paraId="10B93C4E" w14:textId="65AA8669" w:rsidR="0017089C" w:rsidRPr="009475C8" w:rsidRDefault="0017089C">
            <w:pPr>
              <w:pStyle w:val="Header"/>
              <w:tabs>
                <w:tab w:val="clear" w:pos="4320"/>
                <w:tab w:val="clear" w:pos="8640"/>
              </w:tabs>
              <w:rPr>
                <w:rFonts w:cs="Arial"/>
                <w:b/>
                <w:szCs w:val="20"/>
              </w:rPr>
            </w:pPr>
            <w:r w:rsidRPr="009475C8">
              <w:rPr>
                <w:rFonts w:cs="Arial"/>
                <w:b/>
                <w:szCs w:val="20"/>
              </w:rPr>
              <w:t>20 to 25°C</w:t>
            </w:r>
            <w:r w:rsidR="00437425" w:rsidRPr="009475C8">
              <w:rPr>
                <w:rFonts w:cs="Arial"/>
                <w:b/>
                <w:szCs w:val="20"/>
              </w:rPr>
              <w:tab/>
            </w:r>
            <w:r w:rsidR="009A1AE6" w:rsidRPr="009A1AE6">
              <w:rPr>
                <w:rFonts w:cs="Arial"/>
                <w:szCs w:val="20"/>
              </w:rPr>
              <w:t>if there is any delay in testing, freeze the sample.</w:t>
            </w:r>
          </w:p>
          <w:p w14:paraId="5CCFFF99" w14:textId="701008B0" w:rsidR="00E3253B" w:rsidRPr="009475C8" w:rsidRDefault="00BD0AE4">
            <w:pPr>
              <w:pStyle w:val="Header"/>
              <w:tabs>
                <w:tab w:val="clear" w:pos="4320"/>
                <w:tab w:val="clear" w:pos="8640"/>
              </w:tabs>
              <w:rPr>
                <w:rFonts w:cs="Arial"/>
                <w:b/>
                <w:szCs w:val="20"/>
              </w:rPr>
            </w:pPr>
            <w:r w:rsidRPr="009475C8">
              <w:rPr>
                <w:rFonts w:cs="Arial"/>
                <w:b/>
                <w:szCs w:val="20"/>
              </w:rPr>
              <w:t>2 to 8°C</w:t>
            </w:r>
            <w:r w:rsidR="00437425" w:rsidRPr="009475C8">
              <w:rPr>
                <w:rFonts w:cs="Arial"/>
                <w:b/>
                <w:szCs w:val="20"/>
              </w:rPr>
              <w:tab/>
            </w:r>
            <w:r w:rsidR="00DC2D9C" w:rsidRPr="00DC2D9C">
              <w:rPr>
                <w:rFonts w:cs="Arial"/>
                <w:szCs w:val="20"/>
              </w:rPr>
              <w:t>2 days</w:t>
            </w:r>
          </w:p>
          <w:p w14:paraId="594E4A3A" w14:textId="322A2BBE" w:rsidR="00BD0AE4" w:rsidRDefault="00BD0AE4">
            <w:pPr>
              <w:pStyle w:val="Header"/>
              <w:tabs>
                <w:tab w:val="clear" w:pos="4320"/>
                <w:tab w:val="clear" w:pos="8640"/>
              </w:tabs>
              <w:rPr>
                <w:rFonts w:cs="Arial"/>
                <w:szCs w:val="20"/>
              </w:rPr>
            </w:pPr>
            <w:r w:rsidRPr="009475C8">
              <w:rPr>
                <w:rFonts w:cs="Arial"/>
                <w:b/>
                <w:szCs w:val="20"/>
              </w:rPr>
              <w:t>-20°C</w:t>
            </w:r>
            <w:r w:rsidR="00437425">
              <w:rPr>
                <w:rFonts w:cs="Arial"/>
                <w:szCs w:val="20"/>
              </w:rPr>
              <w:tab/>
            </w:r>
            <w:r w:rsidR="00437425">
              <w:rPr>
                <w:rFonts w:cs="Arial"/>
                <w:szCs w:val="20"/>
              </w:rPr>
              <w:tab/>
            </w:r>
            <w:r w:rsidR="00DC2D9C">
              <w:rPr>
                <w:rFonts w:cs="Arial"/>
                <w:szCs w:val="20"/>
              </w:rPr>
              <w:t>6 months</w:t>
            </w:r>
          </w:p>
          <w:p w14:paraId="1787D068" w14:textId="44EBA700" w:rsidR="00BD0AE4" w:rsidRDefault="00DC2D9C" w:rsidP="00DC2D9C">
            <w:pPr>
              <w:pStyle w:val="Header"/>
              <w:rPr>
                <w:rFonts w:cs="Arial"/>
                <w:szCs w:val="20"/>
              </w:rPr>
            </w:pPr>
            <w:r w:rsidRPr="00DC2D9C">
              <w:rPr>
                <w:rFonts w:cs="Arial"/>
                <w:szCs w:val="20"/>
              </w:rPr>
              <w:t>PTH is relatively unstable:</w:t>
            </w:r>
            <w:r>
              <w:rPr>
                <w:rFonts w:cs="Arial"/>
                <w:szCs w:val="20"/>
              </w:rPr>
              <w:t xml:space="preserve"> optimization of pre-analytical </w:t>
            </w:r>
            <w:r w:rsidRPr="00DC2D9C">
              <w:rPr>
                <w:rFonts w:cs="Arial"/>
                <w:szCs w:val="20"/>
              </w:rPr>
              <w:t xml:space="preserve">conditions, including specimen </w:t>
            </w:r>
            <w:r>
              <w:rPr>
                <w:rFonts w:cs="Arial"/>
                <w:szCs w:val="20"/>
              </w:rPr>
              <w:t xml:space="preserve">type, sampling time and storage </w:t>
            </w:r>
            <w:r w:rsidRPr="00DC2D9C">
              <w:rPr>
                <w:rFonts w:cs="Arial"/>
                <w:szCs w:val="20"/>
              </w:rPr>
              <w:t>conditions, is essential. In o</w:t>
            </w:r>
            <w:r>
              <w:rPr>
                <w:rFonts w:cs="Arial"/>
                <w:szCs w:val="20"/>
              </w:rPr>
              <w:t xml:space="preserve">rder to minimize changes in PTH concentration, it is </w:t>
            </w:r>
            <w:r w:rsidRPr="00DC2D9C">
              <w:rPr>
                <w:rFonts w:cs="Arial"/>
                <w:szCs w:val="20"/>
              </w:rPr>
              <w:t xml:space="preserve">necessary to select the </w:t>
            </w:r>
            <w:r>
              <w:rPr>
                <w:rFonts w:cs="Arial"/>
                <w:szCs w:val="20"/>
              </w:rPr>
              <w:t xml:space="preserve">appropriate tube type </w:t>
            </w:r>
            <w:r w:rsidRPr="00DC2D9C">
              <w:rPr>
                <w:rFonts w:cs="Arial"/>
                <w:szCs w:val="20"/>
              </w:rPr>
              <w:t>and size and avoid multiple tube-to-tube transfers</w:t>
            </w:r>
          </w:p>
          <w:p w14:paraId="703F8C59" w14:textId="77777777" w:rsidR="00DC2D9C" w:rsidRPr="00DC7421" w:rsidRDefault="00DC2D9C" w:rsidP="00DC2D9C">
            <w:pPr>
              <w:pStyle w:val="Header"/>
              <w:tabs>
                <w:tab w:val="clear" w:pos="4320"/>
                <w:tab w:val="clear" w:pos="8640"/>
              </w:tabs>
              <w:rPr>
                <w:rFonts w:cs="Arial"/>
                <w:szCs w:val="20"/>
              </w:rPr>
            </w:pPr>
          </w:p>
          <w:p w14:paraId="0B8BDCBC" w14:textId="77777777" w:rsidR="000001C2" w:rsidRDefault="00E3253B">
            <w:pPr>
              <w:rPr>
                <w:rFonts w:cs="Arial"/>
                <w:szCs w:val="20"/>
              </w:rPr>
            </w:pPr>
            <w:r w:rsidRPr="00DC7421">
              <w:rPr>
                <w:rFonts w:cs="Arial"/>
                <w:b/>
                <w:bCs/>
                <w:szCs w:val="20"/>
              </w:rPr>
              <w:t>Rejection criteria:</w:t>
            </w:r>
            <w:r w:rsidRPr="00DC7421">
              <w:rPr>
                <w:rFonts w:cs="Arial"/>
                <w:szCs w:val="20"/>
              </w:rPr>
              <w:t xml:space="preserve"> </w:t>
            </w:r>
          </w:p>
          <w:p w14:paraId="5CCFFF9A" w14:textId="5373FF34" w:rsidR="00E3253B" w:rsidRPr="000001C2" w:rsidRDefault="00E3253B" w:rsidP="000001C2">
            <w:pPr>
              <w:pStyle w:val="ListParagraph"/>
              <w:numPr>
                <w:ilvl w:val="0"/>
                <w:numId w:val="41"/>
              </w:numPr>
              <w:rPr>
                <w:rFonts w:cs="Arial"/>
                <w:szCs w:val="20"/>
              </w:rPr>
            </w:pPr>
            <w:r w:rsidRPr="000001C2">
              <w:rPr>
                <w:rFonts w:cs="Arial"/>
                <w:szCs w:val="20"/>
              </w:rPr>
              <w:t xml:space="preserve">Unlabeled tube, </w:t>
            </w:r>
            <w:r w:rsidR="001102B2" w:rsidRPr="000001C2">
              <w:rPr>
                <w:rFonts w:cs="Arial"/>
                <w:szCs w:val="20"/>
              </w:rPr>
              <w:t xml:space="preserve">sample type other than serum or </w:t>
            </w:r>
            <w:r w:rsidR="00504F3B" w:rsidRPr="000001C2">
              <w:rPr>
                <w:rFonts w:cs="Arial"/>
                <w:szCs w:val="20"/>
              </w:rPr>
              <w:t>acceptable</w:t>
            </w:r>
            <w:r w:rsidR="009A1A3D" w:rsidRPr="000001C2">
              <w:rPr>
                <w:rFonts w:cs="Arial"/>
                <w:szCs w:val="20"/>
              </w:rPr>
              <w:t xml:space="preserve"> plasma</w:t>
            </w:r>
          </w:p>
          <w:p w14:paraId="72612DC9" w14:textId="21F51D4C" w:rsidR="00DC2D9C" w:rsidRPr="000001C2" w:rsidRDefault="00DC2D9C" w:rsidP="000001C2">
            <w:pPr>
              <w:pStyle w:val="ListParagraph"/>
              <w:numPr>
                <w:ilvl w:val="0"/>
                <w:numId w:val="41"/>
              </w:numPr>
              <w:autoSpaceDE w:val="0"/>
              <w:autoSpaceDN w:val="0"/>
              <w:adjustRightInd w:val="0"/>
              <w:rPr>
                <w:rFonts w:eastAsia="HelenPro-Regular" w:cs="Arial"/>
                <w:szCs w:val="20"/>
              </w:rPr>
            </w:pPr>
            <w:r w:rsidRPr="000001C2">
              <w:rPr>
                <w:rFonts w:eastAsia="HelenPro-Regular" w:cs="Arial"/>
                <w:szCs w:val="20"/>
              </w:rPr>
              <w:t>heat-inactivated specimens</w:t>
            </w:r>
          </w:p>
          <w:p w14:paraId="152668CA" w14:textId="4D2C4123" w:rsidR="00DC2D9C" w:rsidRPr="000001C2" w:rsidRDefault="00DC2D9C" w:rsidP="000001C2">
            <w:pPr>
              <w:pStyle w:val="ListParagraph"/>
              <w:numPr>
                <w:ilvl w:val="0"/>
                <w:numId w:val="41"/>
              </w:numPr>
              <w:autoSpaceDE w:val="0"/>
              <w:autoSpaceDN w:val="0"/>
              <w:adjustRightInd w:val="0"/>
              <w:rPr>
                <w:rFonts w:eastAsia="HelenPro-Regular" w:cs="Arial"/>
                <w:szCs w:val="20"/>
              </w:rPr>
            </w:pPr>
            <w:r w:rsidRPr="000001C2">
              <w:rPr>
                <w:rFonts w:eastAsia="HelenPro-Regular" w:cs="Arial"/>
                <w:szCs w:val="20"/>
              </w:rPr>
              <w:t>pooled specimens</w:t>
            </w:r>
          </w:p>
          <w:p w14:paraId="7D8ECF17" w14:textId="179EACC2" w:rsidR="00DC2D9C" w:rsidRPr="000001C2" w:rsidRDefault="00DC2D9C" w:rsidP="000001C2">
            <w:pPr>
              <w:pStyle w:val="ListParagraph"/>
              <w:numPr>
                <w:ilvl w:val="0"/>
                <w:numId w:val="41"/>
              </w:numPr>
              <w:autoSpaceDE w:val="0"/>
              <w:autoSpaceDN w:val="0"/>
              <w:adjustRightInd w:val="0"/>
              <w:rPr>
                <w:rFonts w:eastAsia="HelenPro-Regular" w:cs="Arial"/>
                <w:szCs w:val="20"/>
              </w:rPr>
            </w:pPr>
            <w:r w:rsidRPr="000001C2">
              <w:rPr>
                <w:rFonts w:eastAsia="HelenPro-Regular" w:cs="Arial"/>
                <w:szCs w:val="20"/>
              </w:rPr>
              <w:t>grossly hemolyzed specimens</w:t>
            </w:r>
          </w:p>
          <w:p w14:paraId="5CCFFF9B" w14:textId="23B887D1" w:rsidR="00B11633" w:rsidRDefault="00DC2D9C" w:rsidP="000001C2">
            <w:pPr>
              <w:pStyle w:val="ListParagraph"/>
              <w:numPr>
                <w:ilvl w:val="0"/>
                <w:numId w:val="41"/>
              </w:numPr>
              <w:autoSpaceDE w:val="0"/>
              <w:autoSpaceDN w:val="0"/>
              <w:adjustRightInd w:val="0"/>
              <w:rPr>
                <w:rFonts w:eastAsia="HelenPro-Regular" w:cs="Arial"/>
                <w:szCs w:val="20"/>
              </w:rPr>
            </w:pPr>
            <w:r w:rsidRPr="000001C2">
              <w:rPr>
                <w:rFonts w:eastAsia="HelenPro-Regular" w:cs="Arial"/>
                <w:szCs w:val="20"/>
              </w:rPr>
              <w:t>specimens with obvious microbial contamination</w:t>
            </w:r>
          </w:p>
          <w:p w14:paraId="1C613983" w14:textId="1284A4A9" w:rsidR="00F9114F" w:rsidRPr="000001C2" w:rsidRDefault="00C424AF" w:rsidP="000001C2">
            <w:pPr>
              <w:pStyle w:val="ListParagraph"/>
              <w:numPr>
                <w:ilvl w:val="0"/>
                <w:numId w:val="41"/>
              </w:numPr>
              <w:autoSpaceDE w:val="0"/>
              <w:autoSpaceDN w:val="0"/>
              <w:adjustRightInd w:val="0"/>
              <w:rPr>
                <w:rFonts w:eastAsia="HelenPro-Regular" w:cs="Arial"/>
                <w:szCs w:val="20"/>
              </w:rPr>
            </w:pPr>
            <w:r>
              <w:rPr>
                <w:rFonts w:eastAsia="HelenPro-Regular" w:cs="Arial"/>
                <w:szCs w:val="20"/>
              </w:rPr>
              <w:t xml:space="preserve">Collected in gel separator tube – (use of separator additive may reduce </w:t>
            </w:r>
          </w:p>
          <w:p w14:paraId="1CFA3C60" w14:textId="77777777" w:rsidR="00DC2D9C" w:rsidRPr="00DC7421" w:rsidRDefault="00DC2D9C" w:rsidP="00DC2D9C">
            <w:pPr>
              <w:autoSpaceDE w:val="0"/>
              <w:autoSpaceDN w:val="0"/>
              <w:adjustRightInd w:val="0"/>
              <w:rPr>
                <w:rFonts w:eastAsia="HelenPro-Regular" w:cs="Arial"/>
                <w:szCs w:val="20"/>
              </w:rPr>
            </w:pPr>
          </w:p>
          <w:p w14:paraId="5CCFFF9C" w14:textId="77777777"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14:paraId="14D4C021" w14:textId="77777777" w:rsidR="009A1AE6" w:rsidRPr="009A1AE6" w:rsidRDefault="009A1AE6" w:rsidP="009A1AE6">
            <w:pPr>
              <w:numPr>
                <w:ilvl w:val="0"/>
                <w:numId w:val="26"/>
              </w:numPr>
              <w:jc w:val="both"/>
              <w:rPr>
                <w:rFonts w:cs="Arial"/>
                <w:szCs w:val="20"/>
              </w:rPr>
            </w:pPr>
            <w:r w:rsidRPr="009A1AE6">
              <w:rPr>
                <w:rFonts w:cs="Arial"/>
                <w:szCs w:val="20"/>
              </w:rPr>
              <w:t>Whole blood specimens should be centrifuged following complete clot formation, according to Specimen Processing procedures prior to analysis.</w:t>
            </w:r>
          </w:p>
          <w:p w14:paraId="40DB7FEA" w14:textId="77777777" w:rsidR="009A1AE6" w:rsidRPr="009A1AE6" w:rsidRDefault="009A1AE6" w:rsidP="009A1AE6">
            <w:pPr>
              <w:numPr>
                <w:ilvl w:val="0"/>
                <w:numId w:val="26"/>
              </w:numPr>
              <w:jc w:val="both"/>
              <w:rPr>
                <w:rFonts w:cs="Arial"/>
                <w:szCs w:val="20"/>
              </w:rPr>
            </w:pPr>
            <w:r w:rsidRPr="009A1AE6">
              <w:rPr>
                <w:rFonts w:cs="Arial"/>
                <w:szCs w:val="20"/>
              </w:rPr>
              <w:t>Serum or plasma should be physically separated from cells as soon as possible with a maximum limit of two hours from the time of collection.</w:t>
            </w:r>
          </w:p>
          <w:p w14:paraId="3FC70A40" w14:textId="77777777" w:rsidR="009A1AE6" w:rsidRPr="009A1AE6" w:rsidRDefault="009A1AE6" w:rsidP="009A1AE6">
            <w:pPr>
              <w:numPr>
                <w:ilvl w:val="0"/>
                <w:numId w:val="26"/>
              </w:numPr>
              <w:jc w:val="both"/>
              <w:rPr>
                <w:rFonts w:cs="Arial"/>
                <w:szCs w:val="20"/>
              </w:rPr>
            </w:pPr>
            <w:r w:rsidRPr="009A1AE6">
              <w:rPr>
                <w:rFonts w:cs="Arial"/>
                <w:szCs w:val="20"/>
              </w:rPr>
              <w:t xml:space="preserve">Specimens should be free of particulate matter. </w:t>
            </w:r>
          </w:p>
          <w:p w14:paraId="51E115B6" w14:textId="77777777" w:rsidR="009A1AE6" w:rsidRPr="009A1AE6" w:rsidRDefault="009A1AE6" w:rsidP="009A1AE6">
            <w:pPr>
              <w:numPr>
                <w:ilvl w:val="0"/>
                <w:numId w:val="26"/>
              </w:numPr>
              <w:jc w:val="both"/>
              <w:rPr>
                <w:rFonts w:cs="Arial"/>
                <w:szCs w:val="20"/>
              </w:rPr>
            </w:pPr>
            <w:r w:rsidRPr="009A1AE6">
              <w:rPr>
                <w:rFonts w:cs="Arial"/>
                <w:szCs w:val="20"/>
              </w:rPr>
              <w:t xml:space="preserve">Transfer serum or plasma directly to a properly labeled pilot tube.  </w:t>
            </w:r>
          </w:p>
          <w:p w14:paraId="430AC680" w14:textId="77777777" w:rsidR="009A1AE6" w:rsidRPr="009A1AE6" w:rsidRDefault="009A1AE6" w:rsidP="009A1AE6">
            <w:pPr>
              <w:numPr>
                <w:ilvl w:val="0"/>
                <w:numId w:val="26"/>
              </w:numPr>
              <w:jc w:val="both"/>
              <w:rPr>
                <w:rFonts w:cs="Arial"/>
                <w:szCs w:val="20"/>
              </w:rPr>
            </w:pPr>
            <w:r w:rsidRPr="009A1AE6">
              <w:rPr>
                <w:rFonts w:cs="Arial"/>
                <w:szCs w:val="20"/>
              </w:rPr>
              <w:t xml:space="preserve">Architect and Alinity systems utilize a specimen level detect mechanism, so special racks specific to tube-type are not required.  </w:t>
            </w:r>
          </w:p>
          <w:p w14:paraId="0F6DFF1C" w14:textId="77777777" w:rsidR="009A1AE6" w:rsidRPr="009A1AE6" w:rsidRDefault="009A1AE6" w:rsidP="009A1AE6">
            <w:pPr>
              <w:numPr>
                <w:ilvl w:val="0"/>
                <w:numId w:val="26"/>
              </w:numPr>
              <w:jc w:val="both"/>
              <w:rPr>
                <w:rFonts w:cs="Arial"/>
                <w:szCs w:val="20"/>
              </w:rPr>
            </w:pPr>
            <w:r w:rsidRPr="009A1AE6">
              <w:rPr>
                <w:rFonts w:cs="Arial"/>
                <w:szCs w:val="20"/>
              </w:rPr>
              <w:t>Minimum labeling includes sample accession ID, and/ or patient name, medical record number, collection date and time.</w:t>
            </w:r>
          </w:p>
          <w:p w14:paraId="5CCFFFA2" w14:textId="77777777" w:rsidR="00E3253B" w:rsidRPr="00DC7421" w:rsidRDefault="00E3253B" w:rsidP="00F6060A">
            <w:pPr>
              <w:autoSpaceDE w:val="0"/>
              <w:autoSpaceDN w:val="0"/>
              <w:adjustRightInd w:val="0"/>
              <w:rPr>
                <w:rFonts w:cs="Arial"/>
                <w:szCs w:val="20"/>
              </w:rPr>
            </w:pPr>
          </w:p>
        </w:tc>
      </w:tr>
      <w:tr w:rsidR="00D955F6" w14:paraId="5CCFFFB0" w14:textId="77777777" w:rsidTr="007132A9">
        <w:trPr>
          <w:tblHeader/>
        </w:trPr>
        <w:tc>
          <w:tcPr>
            <w:tcW w:w="1800" w:type="dxa"/>
            <w:tcBorders>
              <w:top w:val="nil"/>
              <w:left w:val="nil"/>
              <w:bottom w:val="nil"/>
              <w:right w:val="nil"/>
            </w:tcBorders>
          </w:tcPr>
          <w:p w14:paraId="5CCFFFA4" w14:textId="224E3810" w:rsidR="00D955F6" w:rsidRPr="00C00B65" w:rsidRDefault="00D955F6">
            <w:pPr>
              <w:rPr>
                <w:rFonts w:cs="Arial"/>
                <w:b/>
                <w:bCs/>
                <w:color w:val="0000FF"/>
                <w:szCs w:val="20"/>
              </w:rPr>
            </w:pPr>
            <w:r w:rsidRPr="00C00B65">
              <w:rPr>
                <w:rFonts w:cs="Arial"/>
                <w:b/>
                <w:bCs/>
                <w:color w:val="0000FF"/>
                <w:szCs w:val="20"/>
              </w:rPr>
              <w:lastRenderedPageBreak/>
              <w:t>Reagents</w:t>
            </w:r>
          </w:p>
          <w:p w14:paraId="5CCFFFA5" w14:textId="77777777"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1FF2907C" w14:textId="77777777" w:rsidR="00233AA0" w:rsidRPr="00DC7421" w:rsidRDefault="00233AA0" w:rsidP="00233AA0">
            <w:pPr>
              <w:autoSpaceDE w:val="0"/>
              <w:autoSpaceDN w:val="0"/>
              <w:adjustRightInd w:val="0"/>
              <w:rPr>
                <w:rFonts w:cs="Arial"/>
                <w:color w:val="000000"/>
                <w:szCs w:val="20"/>
              </w:rPr>
            </w:pPr>
            <w:r w:rsidRPr="00DC7421">
              <w:rPr>
                <w:rFonts w:cs="Arial"/>
                <w:b/>
                <w:bCs/>
                <w:color w:val="000000"/>
                <w:szCs w:val="20"/>
              </w:rPr>
              <w:t xml:space="preserve">Reagent Handling </w:t>
            </w:r>
          </w:p>
          <w:p w14:paraId="2744A660" w14:textId="77777777" w:rsidR="000001C2" w:rsidRDefault="000001C2" w:rsidP="007B410A">
            <w:pPr>
              <w:autoSpaceDE w:val="0"/>
              <w:autoSpaceDN w:val="0"/>
              <w:adjustRightInd w:val="0"/>
              <w:rPr>
                <w:rFonts w:cs="Arial"/>
                <w:b/>
                <w:bCs/>
                <w:color w:val="7030A0"/>
                <w:szCs w:val="20"/>
              </w:rPr>
            </w:pPr>
          </w:p>
          <w:p w14:paraId="3F65D83A" w14:textId="63438C3C" w:rsidR="000001C2" w:rsidRPr="000001C2" w:rsidRDefault="000001C2" w:rsidP="000001C2">
            <w:pPr>
              <w:autoSpaceDE w:val="0"/>
              <w:autoSpaceDN w:val="0"/>
              <w:adjustRightInd w:val="0"/>
              <w:spacing w:after="208"/>
              <w:rPr>
                <w:rFonts w:cs="Arial"/>
                <w:bCs/>
                <w:szCs w:val="20"/>
              </w:rPr>
            </w:pPr>
            <w:r w:rsidRPr="000001C2">
              <w:rPr>
                <w:rFonts w:cs="Arial"/>
                <w:bCs/>
                <w:szCs w:val="20"/>
              </w:rPr>
              <w:t>Upon receipt, gently invert the unopened reagent kit by rotating</w:t>
            </w:r>
            <w:r>
              <w:rPr>
                <w:rFonts w:cs="Arial"/>
                <w:bCs/>
                <w:szCs w:val="20"/>
              </w:rPr>
              <w:t xml:space="preserve"> </w:t>
            </w:r>
            <w:r w:rsidRPr="000001C2">
              <w:rPr>
                <w:rFonts w:cs="Arial"/>
                <w:bCs/>
                <w:szCs w:val="20"/>
              </w:rPr>
              <w:t>it over and back for a full 180 degrees, 5 times with green label</w:t>
            </w:r>
            <w:r>
              <w:rPr>
                <w:rFonts w:cs="Arial"/>
                <w:bCs/>
                <w:szCs w:val="20"/>
              </w:rPr>
              <w:t xml:space="preserve"> </w:t>
            </w:r>
            <w:r w:rsidRPr="000001C2">
              <w:rPr>
                <w:rFonts w:cs="Arial"/>
                <w:bCs/>
                <w:szCs w:val="20"/>
              </w:rPr>
              <w:t>stripe facing up and then 5 times with green label stripe facing</w:t>
            </w:r>
            <w:r>
              <w:rPr>
                <w:rFonts w:cs="Arial"/>
                <w:bCs/>
                <w:szCs w:val="20"/>
              </w:rPr>
              <w:t xml:space="preserve"> </w:t>
            </w:r>
            <w:r w:rsidRPr="000001C2">
              <w:rPr>
                <w:rFonts w:cs="Arial"/>
                <w:bCs/>
                <w:szCs w:val="20"/>
              </w:rPr>
              <w:t>down. This ensures that liquid covers all sides of the bottles</w:t>
            </w:r>
            <w:r>
              <w:rPr>
                <w:rFonts w:cs="Arial"/>
                <w:bCs/>
                <w:szCs w:val="20"/>
              </w:rPr>
              <w:t xml:space="preserve"> </w:t>
            </w:r>
            <w:r w:rsidRPr="000001C2">
              <w:rPr>
                <w:rFonts w:cs="Arial"/>
                <w:bCs/>
                <w:szCs w:val="20"/>
              </w:rPr>
              <w:t>within the cartr</w:t>
            </w:r>
            <w:r>
              <w:rPr>
                <w:rFonts w:cs="Arial"/>
                <w:bCs/>
                <w:szCs w:val="20"/>
              </w:rPr>
              <w:t xml:space="preserve">idges. During reagent shipment, </w:t>
            </w:r>
            <w:r w:rsidRPr="000001C2">
              <w:rPr>
                <w:rFonts w:cs="Arial"/>
                <w:bCs/>
                <w:szCs w:val="20"/>
              </w:rPr>
              <w:t>microparticles</w:t>
            </w:r>
            <w:r>
              <w:rPr>
                <w:rFonts w:cs="Arial"/>
                <w:bCs/>
                <w:szCs w:val="20"/>
              </w:rPr>
              <w:t xml:space="preserve"> </w:t>
            </w:r>
            <w:r w:rsidRPr="000001C2">
              <w:rPr>
                <w:rFonts w:cs="Arial"/>
                <w:bCs/>
                <w:szCs w:val="20"/>
              </w:rPr>
              <w:t>can settle on the reagent septum.</w:t>
            </w:r>
          </w:p>
          <w:p w14:paraId="1AE585B0" w14:textId="76FE148A" w:rsidR="000001C2" w:rsidRPr="00D25013" w:rsidRDefault="000001C2" w:rsidP="000001C2">
            <w:pPr>
              <w:autoSpaceDE w:val="0"/>
              <w:autoSpaceDN w:val="0"/>
              <w:adjustRightInd w:val="0"/>
              <w:spacing w:after="208"/>
              <w:rPr>
                <w:rFonts w:cs="Arial"/>
                <w:b/>
                <w:bCs/>
                <w:szCs w:val="20"/>
              </w:rPr>
            </w:pPr>
            <w:r w:rsidRPr="00D25013">
              <w:rPr>
                <w:rFonts w:cs="Arial"/>
                <w:b/>
                <w:bCs/>
                <w:szCs w:val="20"/>
              </w:rPr>
              <w:t>Place a check in the square on the reagent kit to indicate to others that the inversions have been completed.</w:t>
            </w:r>
          </w:p>
          <w:p w14:paraId="3025A9E5" w14:textId="1053A98D" w:rsidR="007B410A" w:rsidRPr="00DC7421" w:rsidRDefault="007B410A" w:rsidP="007B410A">
            <w:pPr>
              <w:autoSpaceDE w:val="0"/>
              <w:autoSpaceDN w:val="0"/>
              <w:adjustRightInd w:val="0"/>
              <w:spacing w:after="208"/>
              <w:rPr>
                <w:rFonts w:cs="Arial"/>
                <w:color w:val="000000"/>
                <w:szCs w:val="20"/>
              </w:rPr>
            </w:pPr>
            <w:r w:rsidRPr="00DC7421">
              <w:rPr>
                <w:rFonts w:cs="Arial"/>
                <w:color w:val="000000"/>
                <w:szCs w:val="20"/>
              </w:rPr>
              <w:t>Upon receipt,</w:t>
            </w:r>
            <w:r w:rsidR="0081197E">
              <w:rPr>
                <w:rFonts w:cs="Arial"/>
                <w:color w:val="000000"/>
                <w:szCs w:val="20"/>
              </w:rPr>
              <w:t xml:space="preserve"> </w:t>
            </w:r>
            <w:r w:rsidR="0081197E">
              <w:rPr>
                <w:rFonts w:eastAsia="HelenPro-Regular"/>
                <w:szCs w:val="20"/>
              </w:rPr>
              <w:t>gently invert cartridges 5 times, then</w:t>
            </w:r>
            <w:r w:rsidRPr="00DC7421">
              <w:rPr>
                <w:rFonts w:cs="Arial"/>
                <w:color w:val="000000"/>
                <w:szCs w:val="20"/>
              </w:rPr>
              <w:t xml:space="preserve"> place reagent cartrid</w:t>
            </w:r>
            <w:r>
              <w:rPr>
                <w:rFonts w:cs="Arial"/>
                <w:color w:val="000000"/>
                <w:szCs w:val="20"/>
              </w:rPr>
              <w:t>g</w:t>
            </w:r>
            <w:r w:rsidR="000001C2">
              <w:rPr>
                <w:rFonts w:cs="Arial"/>
                <w:color w:val="000000"/>
                <w:szCs w:val="20"/>
              </w:rPr>
              <w:t xml:space="preserve">es in an upright position for 1 </w:t>
            </w:r>
            <w:r>
              <w:rPr>
                <w:rFonts w:cs="Arial"/>
                <w:color w:val="000000"/>
                <w:szCs w:val="20"/>
              </w:rPr>
              <w:t>hour</w:t>
            </w:r>
            <w:r w:rsidRPr="00DC7421">
              <w:rPr>
                <w:rFonts w:cs="Arial"/>
                <w:color w:val="000000"/>
                <w:szCs w:val="20"/>
              </w:rPr>
              <w:t xml:space="preserve"> before use to allow bubbles that may have formed to dissipate. </w:t>
            </w:r>
          </w:p>
          <w:p w14:paraId="666CE016" w14:textId="47C20F29" w:rsidR="00D955F6" w:rsidRDefault="007B410A" w:rsidP="0081197E">
            <w:pPr>
              <w:autoSpaceDE w:val="0"/>
              <w:autoSpaceDN w:val="0"/>
              <w:adjustRightInd w:val="0"/>
              <w:spacing w:after="208"/>
              <w:rPr>
                <w:rFonts w:cs="Arial"/>
                <w:color w:val="000000"/>
                <w:szCs w:val="20"/>
              </w:rPr>
            </w:pPr>
            <w:r w:rsidRPr="00DC7421">
              <w:rPr>
                <w:rFonts w:cs="Arial"/>
                <w:color w:val="000000"/>
                <w:szCs w:val="20"/>
              </w:rPr>
              <w:t>If a reagent cartridge is dropped, pl</w:t>
            </w:r>
            <w:r>
              <w:rPr>
                <w:rFonts w:cs="Arial"/>
                <w:color w:val="000000"/>
                <w:szCs w:val="20"/>
              </w:rPr>
              <w:t xml:space="preserve">ace in an upright position for </w:t>
            </w:r>
            <w:r w:rsidR="000001C2">
              <w:rPr>
                <w:rFonts w:cs="Arial"/>
                <w:color w:val="000000"/>
                <w:szCs w:val="20"/>
              </w:rPr>
              <w:t>1</w:t>
            </w:r>
            <w:r w:rsidRPr="00DC7421">
              <w:rPr>
                <w:rFonts w:cs="Arial"/>
                <w:color w:val="000000"/>
                <w:szCs w:val="20"/>
              </w:rPr>
              <w:t xml:space="preserve"> hour before use to allow bubbles that may have formed to dissipate. </w:t>
            </w:r>
          </w:p>
          <w:p w14:paraId="79DDAA3E" w14:textId="77777777" w:rsidR="00A062E1" w:rsidRPr="00DC7421" w:rsidRDefault="00A062E1" w:rsidP="00A062E1">
            <w:pPr>
              <w:autoSpaceDE w:val="0"/>
              <w:autoSpaceDN w:val="0"/>
              <w:adjustRightInd w:val="0"/>
              <w:rPr>
                <w:rFonts w:cs="Arial"/>
                <w:color w:val="000000"/>
                <w:szCs w:val="20"/>
              </w:rPr>
            </w:pPr>
            <w:r w:rsidRPr="00DC7421">
              <w:rPr>
                <w:rFonts w:cs="Arial"/>
                <w:color w:val="000000"/>
                <w:szCs w:val="20"/>
              </w:rPr>
              <w:t>Reagents are susceptible to the formation of foam and bubbles. Bubbles may interfere with the detection of the reagent level in the cartridge and cause insufficient reagent aspiration that may adversely affect results. Use a pipette to remove all bubbles prior to loading on the Alinity or Architect system.</w:t>
            </w:r>
          </w:p>
          <w:p w14:paraId="47D90F33" w14:textId="77777777" w:rsidR="00A062E1" w:rsidRPr="00DC7421" w:rsidRDefault="00A062E1" w:rsidP="00A062E1">
            <w:pPr>
              <w:autoSpaceDE w:val="0"/>
              <w:autoSpaceDN w:val="0"/>
              <w:adjustRightInd w:val="0"/>
              <w:rPr>
                <w:rFonts w:cs="Arial"/>
                <w:color w:val="000000"/>
                <w:szCs w:val="20"/>
              </w:rPr>
            </w:pPr>
          </w:p>
          <w:p w14:paraId="6D28E8F9"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14:paraId="557E834E"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14:paraId="71802212" w14:textId="77777777" w:rsidR="00A062E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14:paraId="5CCFFFAF" w14:textId="1C22C754" w:rsidR="007F5B07" w:rsidRPr="005125A4" w:rsidRDefault="007F5B07" w:rsidP="005125A4">
            <w:pPr>
              <w:autoSpaceDE w:val="0"/>
              <w:autoSpaceDN w:val="0"/>
              <w:adjustRightInd w:val="0"/>
              <w:rPr>
                <w:rFonts w:cs="Arial"/>
              </w:rPr>
            </w:pPr>
          </w:p>
        </w:tc>
      </w:tr>
      <w:tr w:rsidR="00D955F6" w14:paraId="5CCFFFC7" w14:textId="77777777" w:rsidTr="00CA70F6">
        <w:trPr>
          <w:tblHeader/>
        </w:trPr>
        <w:tc>
          <w:tcPr>
            <w:tcW w:w="1800" w:type="dxa"/>
            <w:tcBorders>
              <w:top w:val="nil"/>
              <w:left w:val="nil"/>
              <w:bottom w:val="nil"/>
              <w:right w:val="nil"/>
            </w:tcBorders>
          </w:tcPr>
          <w:p w14:paraId="5CCFFFB1" w14:textId="77777777"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14:paraId="20E5F827" w14:textId="47CEE273" w:rsidR="0081197E" w:rsidRPr="00DC7421" w:rsidRDefault="0081197E" w:rsidP="0081197E">
            <w:pPr>
              <w:pStyle w:val="Reagents"/>
              <w:rPr>
                <w:rFonts w:ascii="Arial" w:hAnsi="Arial" w:cs="Arial"/>
                <w:b/>
                <w:bCs/>
              </w:rPr>
            </w:pPr>
            <w:r w:rsidRPr="00DC7421">
              <w:rPr>
                <w:rFonts w:ascii="Arial" w:hAnsi="Arial" w:cs="Arial"/>
                <w:b/>
                <w:bCs/>
                <w:color w:val="7030A0"/>
              </w:rPr>
              <w:t>Alinity c</w:t>
            </w:r>
            <w:r w:rsidR="00D25013">
              <w:rPr>
                <w:rFonts w:ascii="Arial" w:hAnsi="Arial" w:cs="Arial"/>
                <w:b/>
                <w:bCs/>
              </w:rPr>
              <w:t xml:space="preserve"> </w:t>
            </w:r>
            <w:r w:rsidR="00D25013" w:rsidRPr="00D25013">
              <w:rPr>
                <w:rFonts w:ascii="Arial" w:hAnsi="Arial" w:cs="Arial"/>
                <w:bCs/>
              </w:rPr>
              <w:t>and</w:t>
            </w:r>
            <w:r w:rsidR="00D25013">
              <w:rPr>
                <w:rFonts w:ascii="Arial" w:hAnsi="Arial" w:cs="Arial"/>
                <w:b/>
                <w:bCs/>
              </w:rPr>
              <w:t xml:space="preserve"> Architect i1000</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81197E" w:rsidRPr="00DC7421" w14:paraId="2733A6DB" w14:textId="77777777" w:rsidTr="00413A69">
              <w:tc>
                <w:tcPr>
                  <w:tcW w:w="2857" w:type="dxa"/>
                </w:tcPr>
                <w:p w14:paraId="316DA9F0" w14:textId="77777777" w:rsidR="0081197E" w:rsidRPr="00DC7421" w:rsidRDefault="0081197E" w:rsidP="0081197E">
                  <w:pPr>
                    <w:pStyle w:val="Reagents"/>
                    <w:rPr>
                      <w:rFonts w:ascii="Arial" w:hAnsi="Arial" w:cs="Arial"/>
                      <w:b/>
                      <w:bCs/>
                    </w:rPr>
                  </w:pPr>
                  <w:r w:rsidRPr="00DC7421">
                    <w:rPr>
                      <w:rFonts w:ascii="Arial" w:hAnsi="Arial" w:cs="Arial"/>
                      <w:b/>
                      <w:bCs/>
                      <w:i/>
                      <w:iCs/>
                    </w:rPr>
                    <w:t>Product Description</w:t>
                  </w:r>
                </w:p>
              </w:tc>
              <w:tc>
                <w:tcPr>
                  <w:tcW w:w="1710" w:type="dxa"/>
                </w:tcPr>
                <w:p w14:paraId="571D37C0" w14:textId="77777777" w:rsidR="0081197E" w:rsidRPr="00DC7421" w:rsidRDefault="0081197E" w:rsidP="0081197E">
                  <w:pPr>
                    <w:pStyle w:val="Reagents"/>
                    <w:rPr>
                      <w:rFonts w:ascii="Arial" w:hAnsi="Arial" w:cs="Arial"/>
                      <w:b/>
                      <w:bCs/>
                    </w:rPr>
                  </w:pPr>
                  <w:r w:rsidRPr="00DC7421">
                    <w:rPr>
                      <w:rFonts w:ascii="Arial" w:hAnsi="Arial" w:cs="Arial"/>
                      <w:b/>
                      <w:bCs/>
                      <w:i/>
                      <w:iCs/>
                    </w:rPr>
                    <w:t>Product Code</w:t>
                  </w:r>
                </w:p>
              </w:tc>
              <w:tc>
                <w:tcPr>
                  <w:tcW w:w="4533" w:type="dxa"/>
                </w:tcPr>
                <w:p w14:paraId="16F0993E" w14:textId="77777777" w:rsidR="0081197E" w:rsidRPr="00DC7421" w:rsidRDefault="0081197E" w:rsidP="0081197E">
                  <w:pPr>
                    <w:pStyle w:val="Reagents"/>
                    <w:rPr>
                      <w:rFonts w:ascii="Arial" w:hAnsi="Arial" w:cs="Arial"/>
                      <w:b/>
                      <w:bCs/>
                    </w:rPr>
                  </w:pPr>
                  <w:r w:rsidRPr="00DC7421">
                    <w:rPr>
                      <w:rFonts w:ascii="Arial" w:hAnsi="Arial" w:cs="Arial"/>
                      <w:b/>
                      <w:bCs/>
                      <w:i/>
                      <w:iCs/>
                    </w:rPr>
                    <w:t>Stability</w:t>
                  </w:r>
                </w:p>
              </w:tc>
            </w:tr>
            <w:tr w:rsidR="0081197E" w:rsidRPr="00DC7421" w14:paraId="6CAC17D9" w14:textId="77777777" w:rsidTr="00413A69">
              <w:tc>
                <w:tcPr>
                  <w:tcW w:w="2857" w:type="dxa"/>
                  <w:vAlign w:val="center"/>
                </w:tcPr>
                <w:p w14:paraId="04BD94E7" w14:textId="3B72727F" w:rsidR="0081197E" w:rsidRPr="00DC7421" w:rsidRDefault="00DC2D9C" w:rsidP="00115DD6">
                  <w:pPr>
                    <w:autoSpaceDE w:val="0"/>
                    <w:autoSpaceDN w:val="0"/>
                    <w:adjustRightInd w:val="0"/>
                    <w:rPr>
                      <w:rFonts w:cs="Arial"/>
                      <w:szCs w:val="20"/>
                    </w:rPr>
                  </w:pPr>
                  <w:r w:rsidRPr="00DC2D9C">
                    <w:rPr>
                      <w:rFonts w:cs="Arial"/>
                      <w:szCs w:val="20"/>
                    </w:rPr>
                    <w:t>Alinity i Intact PTH Reagent Kit</w:t>
                  </w:r>
                </w:p>
              </w:tc>
              <w:tc>
                <w:tcPr>
                  <w:tcW w:w="1710" w:type="dxa"/>
                  <w:vAlign w:val="center"/>
                </w:tcPr>
                <w:p w14:paraId="78062055" w14:textId="20D05A96" w:rsidR="0081197E" w:rsidRPr="00DC7421" w:rsidRDefault="00792033" w:rsidP="0081197E">
                  <w:pPr>
                    <w:pStyle w:val="BodyText"/>
                    <w:tabs>
                      <w:tab w:val="left" w:pos="3240"/>
                    </w:tabs>
                    <w:rPr>
                      <w:rFonts w:cs="Arial"/>
                      <w:szCs w:val="20"/>
                    </w:rPr>
                  </w:pPr>
                  <w:r w:rsidRPr="00DC2D9C">
                    <w:rPr>
                      <w:rFonts w:cs="Arial"/>
                      <w:szCs w:val="20"/>
                    </w:rPr>
                    <w:t>08P31</w:t>
                  </w:r>
                  <w:r w:rsidR="00CA70F6">
                    <w:rPr>
                      <w:rFonts w:cs="Arial"/>
                      <w:szCs w:val="20"/>
                    </w:rPr>
                    <w:t>21</w:t>
                  </w:r>
                </w:p>
              </w:tc>
              <w:tc>
                <w:tcPr>
                  <w:tcW w:w="4533" w:type="dxa"/>
                  <w:vAlign w:val="center"/>
                </w:tcPr>
                <w:p w14:paraId="1E13427C" w14:textId="0FCD32F2" w:rsidR="0081197E" w:rsidRPr="00792033" w:rsidRDefault="0081197E" w:rsidP="0081197E">
                  <w:pPr>
                    <w:pStyle w:val="Reagents"/>
                    <w:spacing w:after="80"/>
                    <w:rPr>
                      <w:rFonts w:ascii="Arial" w:eastAsia="HelenPro-Regular" w:hAnsi="Arial" w:cs="Arial"/>
                    </w:rPr>
                  </w:pPr>
                  <w:r w:rsidRPr="00792033">
                    <w:rPr>
                      <w:rFonts w:ascii="Arial" w:hAnsi="Arial" w:cs="Arial"/>
                      <w:b/>
                      <w:bCs/>
                    </w:rPr>
                    <w:t>Store at:</w:t>
                  </w:r>
                  <w:r w:rsidRPr="00792033">
                    <w:rPr>
                      <w:rFonts w:ascii="Arial" w:hAnsi="Arial" w:cs="Arial"/>
                      <w:bCs/>
                    </w:rPr>
                    <w:t xml:space="preserve"> </w:t>
                  </w:r>
                  <w:r w:rsidR="00792033" w:rsidRPr="00792033">
                    <w:rPr>
                      <w:rFonts w:ascii="Arial" w:hAnsi="Arial" w:cs="Arial"/>
                      <w:bCs/>
                    </w:rPr>
                    <w:t>2 to 8°C</w:t>
                  </w:r>
                </w:p>
                <w:p w14:paraId="188F00FD" w14:textId="17EFCB25" w:rsidR="00115DD6" w:rsidRDefault="0081197E" w:rsidP="0081197E">
                  <w:pPr>
                    <w:pStyle w:val="Reagents"/>
                    <w:spacing w:after="80"/>
                    <w:rPr>
                      <w:rFonts w:ascii="Arial" w:hAnsi="Arial" w:cs="Arial"/>
                      <w:bCs/>
                    </w:rPr>
                  </w:pPr>
                  <w:r w:rsidRPr="00792033">
                    <w:rPr>
                      <w:rFonts w:ascii="Arial" w:hAnsi="Arial" w:cs="Arial"/>
                      <w:b/>
                      <w:bCs/>
                    </w:rPr>
                    <w:t xml:space="preserve">Unopened: </w:t>
                  </w:r>
                  <w:r w:rsidR="00115DD6" w:rsidRPr="00792033">
                    <w:rPr>
                      <w:rFonts w:ascii="Arial" w:hAnsi="Arial" w:cs="Arial"/>
                      <w:bCs/>
                    </w:rPr>
                    <w:t>Until expiration Date</w:t>
                  </w:r>
                </w:p>
                <w:p w14:paraId="7CCCA594" w14:textId="67FAEE36" w:rsidR="00CA70F6" w:rsidRDefault="00CA70F6" w:rsidP="00CA70F6">
                  <w:pPr>
                    <w:pStyle w:val="Reagents"/>
                    <w:spacing w:after="80"/>
                    <w:rPr>
                      <w:rFonts w:ascii="Arial" w:hAnsi="Arial" w:cs="Arial"/>
                      <w:bCs/>
                    </w:rPr>
                  </w:pPr>
                  <w:r>
                    <w:rPr>
                      <w:rFonts w:ascii="Arial" w:hAnsi="Arial" w:cs="Arial"/>
                      <w:bCs/>
                    </w:rPr>
                    <w:t xml:space="preserve">Store in upright position. If cartridge does not remain upright, gently invert the cartridge 10 times and place in an upright position for 8 hours </w:t>
                  </w:r>
                  <w:r w:rsidRPr="00CA70F6">
                    <w:rPr>
                      <w:rFonts w:ascii="Arial" w:hAnsi="Arial" w:cs="Arial"/>
                      <w:bCs/>
                    </w:rPr>
                    <w:t>before use.</w:t>
                  </w:r>
                </w:p>
                <w:p w14:paraId="20916BF4" w14:textId="47158F96" w:rsidR="00CA70F6" w:rsidRPr="00792033" w:rsidRDefault="00CA70F6" w:rsidP="00CA70F6">
                  <w:pPr>
                    <w:pStyle w:val="Reagents"/>
                    <w:spacing w:after="80"/>
                    <w:rPr>
                      <w:rFonts w:ascii="Arial" w:hAnsi="Arial" w:cs="Arial"/>
                      <w:bCs/>
                    </w:rPr>
                  </w:pPr>
                  <w:r w:rsidRPr="00CA70F6">
                    <w:rPr>
                      <w:rFonts w:ascii="Arial" w:hAnsi="Arial" w:cs="Arial"/>
                      <w:bCs/>
                    </w:rPr>
                    <w:t xml:space="preserve">Reagents may be stored on or off </w:t>
                  </w:r>
                  <w:r>
                    <w:rPr>
                      <w:rFonts w:ascii="Arial" w:hAnsi="Arial" w:cs="Arial"/>
                      <w:bCs/>
                    </w:rPr>
                    <w:t xml:space="preserve">the system. If removed from the </w:t>
                  </w:r>
                  <w:r w:rsidRPr="00CA70F6">
                    <w:rPr>
                      <w:rFonts w:ascii="Arial" w:hAnsi="Arial" w:cs="Arial"/>
                      <w:bCs/>
                    </w:rPr>
                    <w:t>system, store reagents with new</w:t>
                  </w:r>
                  <w:r>
                    <w:rPr>
                      <w:rFonts w:ascii="Arial" w:hAnsi="Arial" w:cs="Arial"/>
                      <w:bCs/>
                    </w:rPr>
                    <w:t xml:space="preserve"> replacement caps in an upright </w:t>
                  </w:r>
                  <w:r w:rsidRPr="00CA70F6">
                    <w:rPr>
                      <w:rFonts w:ascii="Arial" w:hAnsi="Arial" w:cs="Arial"/>
                      <w:bCs/>
                    </w:rPr>
                    <w:t>position at 2 to 8°C. For reagen</w:t>
                  </w:r>
                  <w:r>
                    <w:rPr>
                      <w:rFonts w:ascii="Arial" w:hAnsi="Arial" w:cs="Arial"/>
                      <w:bCs/>
                    </w:rPr>
                    <w:t xml:space="preserve">ts stored off the system, it is </w:t>
                  </w:r>
                  <w:r w:rsidRPr="00CA70F6">
                    <w:rPr>
                      <w:rFonts w:ascii="Arial" w:hAnsi="Arial" w:cs="Arial"/>
                      <w:bCs/>
                    </w:rPr>
                    <w:t>recommende</w:t>
                  </w:r>
                  <w:r>
                    <w:rPr>
                      <w:rFonts w:ascii="Arial" w:hAnsi="Arial" w:cs="Arial"/>
                      <w:bCs/>
                    </w:rPr>
                    <w:t>d that they be stored in their o</w:t>
                  </w:r>
                  <w:r w:rsidRPr="00CA70F6">
                    <w:rPr>
                      <w:rFonts w:ascii="Arial" w:hAnsi="Arial" w:cs="Arial"/>
                      <w:bCs/>
                    </w:rPr>
                    <w:t>riginal trays or boxes</w:t>
                  </w:r>
                  <w:r>
                    <w:rPr>
                      <w:rFonts w:ascii="Arial" w:hAnsi="Arial" w:cs="Arial"/>
                      <w:bCs/>
                    </w:rPr>
                    <w:t xml:space="preserve"> to </w:t>
                  </w:r>
                  <w:r w:rsidRPr="00CA70F6">
                    <w:rPr>
                      <w:rFonts w:ascii="Arial" w:hAnsi="Arial" w:cs="Arial"/>
                      <w:bCs/>
                    </w:rPr>
                    <w:t>ensure they remain upright.</w:t>
                  </w:r>
                </w:p>
                <w:p w14:paraId="2EC74C2E" w14:textId="7860D3B8" w:rsidR="0081197E" w:rsidRPr="00792033" w:rsidRDefault="0081197E" w:rsidP="0081197E">
                  <w:pPr>
                    <w:pStyle w:val="Reagents"/>
                    <w:spacing w:after="80"/>
                    <w:rPr>
                      <w:rFonts w:ascii="Arial" w:hAnsi="Arial" w:cs="Arial"/>
                      <w:bCs/>
                    </w:rPr>
                  </w:pPr>
                  <w:r w:rsidRPr="00792033">
                    <w:rPr>
                      <w:rFonts w:ascii="Arial" w:hAnsi="Arial" w:cs="Arial"/>
                      <w:b/>
                      <w:bCs/>
                    </w:rPr>
                    <w:t>On-board</w:t>
                  </w:r>
                  <w:r w:rsidR="00EA2B3F" w:rsidRPr="00792033">
                    <w:rPr>
                      <w:rFonts w:ascii="Arial" w:hAnsi="Arial" w:cs="Arial"/>
                      <w:bCs/>
                    </w:rPr>
                    <w:t xml:space="preserve">: </w:t>
                  </w:r>
                  <w:r w:rsidR="00792033">
                    <w:rPr>
                      <w:rFonts w:ascii="Arial" w:hAnsi="Arial" w:cs="Arial"/>
                      <w:bCs/>
                    </w:rPr>
                    <w:t>30 days</w:t>
                  </w:r>
                </w:p>
                <w:p w14:paraId="03767B3F" w14:textId="59431014" w:rsidR="00CA70F6" w:rsidRPr="00CA70F6" w:rsidRDefault="00CA70F6" w:rsidP="00CA70F6">
                  <w:pPr>
                    <w:pStyle w:val="Reagents"/>
                    <w:spacing w:after="80"/>
                    <w:rPr>
                      <w:rFonts w:ascii="Arial" w:hAnsi="Arial" w:cs="Arial"/>
                      <w:bCs/>
                    </w:rPr>
                  </w:pPr>
                  <w:r>
                    <w:rPr>
                      <w:rFonts w:ascii="Arial" w:hAnsi="Arial" w:cs="Arial"/>
                      <w:bCs/>
                    </w:rPr>
                    <w:t xml:space="preserve">Store in upright position. If cartridge does not remain upright during storage, discard the </w:t>
                  </w:r>
                  <w:r w:rsidRPr="00CA70F6">
                    <w:rPr>
                      <w:rFonts w:ascii="Arial" w:hAnsi="Arial" w:cs="Arial"/>
                      <w:bCs/>
                    </w:rPr>
                    <w:t>cartridge.</w:t>
                  </w:r>
                </w:p>
                <w:p w14:paraId="2EC23D08" w14:textId="564AAA64" w:rsidR="0081197E" w:rsidRPr="003F688A" w:rsidRDefault="00CA70F6" w:rsidP="00CA70F6">
                  <w:pPr>
                    <w:pStyle w:val="Reagents"/>
                    <w:spacing w:after="80"/>
                    <w:rPr>
                      <w:rFonts w:ascii="Arial" w:hAnsi="Arial" w:cs="Arial"/>
                      <w:bCs/>
                    </w:rPr>
                  </w:pPr>
                  <w:r w:rsidRPr="00CA70F6">
                    <w:rPr>
                      <w:rFonts w:ascii="Arial" w:hAnsi="Arial" w:cs="Arial"/>
                      <w:bCs/>
                    </w:rPr>
                    <w:t>Do not reus</w:t>
                  </w:r>
                  <w:r>
                    <w:rPr>
                      <w:rFonts w:ascii="Arial" w:hAnsi="Arial" w:cs="Arial"/>
                      <w:bCs/>
                    </w:rPr>
                    <w:t xml:space="preserve">e original reagent caps or replacement caps due to the risk of contamination and potential to compromise reagent </w:t>
                  </w:r>
                  <w:r w:rsidRPr="00CA70F6">
                    <w:rPr>
                      <w:rFonts w:ascii="Arial" w:hAnsi="Arial" w:cs="Arial"/>
                      <w:bCs/>
                    </w:rPr>
                    <w:t>performance.</w:t>
                  </w:r>
                </w:p>
              </w:tc>
            </w:tr>
            <w:tr w:rsidR="0081197E" w:rsidRPr="00DC7421" w14:paraId="2A1E45AA" w14:textId="77777777" w:rsidTr="00413A69">
              <w:tc>
                <w:tcPr>
                  <w:tcW w:w="2857" w:type="dxa"/>
                  <w:vAlign w:val="center"/>
                </w:tcPr>
                <w:p w14:paraId="417AB88A" w14:textId="600AAB91" w:rsidR="0081197E" w:rsidRPr="00DC7421" w:rsidRDefault="00D25013" w:rsidP="0081197E">
                  <w:pPr>
                    <w:pStyle w:val="BodyText"/>
                    <w:spacing w:after="0"/>
                    <w:rPr>
                      <w:rFonts w:cs="Arial"/>
                      <w:szCs w:val="20"/>
                    </w:rPr>
                  </w:pPr>
                  <w:r>
                    <w:rPr>
                      <w:rFonts w:cs="Arial"/>
                      <w:szCs w:val="20"/>
                    </w:rPr>
                    <w:t>Alinity i Intact PTH Calibrator Kit</w:t>
                  </w:r>
                </w:p>
              </w:tc>
              <w:tc>
                <w:tcPr>
                  <w:tcW w:w="1710" w:type="dxa"/>
                  <w:vAlign w:val="center"/>
                </w:tcPr>
                <w:p w14:paraId="1C065F4D" w14:textId="213246BC" w:rsidR="0081197E" w:rsidRPr="00DC7421" w:rsidRDefault="00CA70F6" w:rsidP="0081197E">
                  <w:pPr>
                    <w:rPr>
                      <w:rFonts w:cs="Arial"/>
                      <w:szCs w:val="20"/>
                    </w:rPr>
                  </w:pPr>
                  <w:r>
                    <w:rPr>
                      <w:rFonts w:cs="Arial"/>
                      <w:szCs w:val="20"/>
                    </w:rPr>
                    <w:t>08P3101</w:t>
                  </w:r>
                </w:p>
              </w:tc>
              <w:tc>
                <w:tcPr>
                  <w:tcW w:w="4533" w:type="dxa"/>
                  <w:vAlign w:val="center"/>
                </w:tcPr>
                <w:p w14:paraId="358FD991" w14:textId="77777777" w:rsidR="00D25013" w:rsidRPr="00792033" w:rsidRDefault="00D25013" w:rsidP="00D25013">
                  <w:pPr>
                    <w:pStyle w:val="Reagents"/>
                    <w:spacing w:after="80"/>
                    <w:rPr>
                      <w:rFonts w:ascii="Arial" w:eastAsia="HelenPro-Regular" w:hAnsi="Arial" w:cs="Arial"/>
                    </w:rPr>
                  </w:pPr>
                  <w:r w:rsidRPr="00792033">
                    <w:rPr>
                      <w:rFonts w:ascii="Arial" w:hAnsi="Arial" w:cs="Arial"/>
                      <w:b/>
                      <w:bCs/>
                    </w:rPr>
                    <w:t>Store at:</w:t>
                  </w:r>
                  <w:r w:rsidRPr="00792033">
                    <w:rPr>
                      <w:rFonts w:ascii="Arial" w:hAnsi="Arial" w:cs="Arial"/>
                      <w:bCs/>
                    </w:rPr>
                    <w:t xml:space="preserve"> 2 to 8°C</w:t>
                  </w:r>
                </w:p>
                <w:p w14:paraId="6A9A525C" w14:textId="77777777" w:rsidR="00D25013" w:rsidRPr="00792033" w:rsidRDefault="00D25013" w:rsidP="00D25013">
                  <w:pPr>
                    <w:pStyle w:val="Reagents"/>
                    <w:spacing w:after="80"/>
                    <w:rPr>
                      <w:rFonts w:ascii="Arial" w:hAnsi="Arial" w:cs="Arial"/>
                      <w:bCs/>
                    </w:rPr>
                  </w:pPr>
                  <w:r w:rsidRPr="00792033">
                    <w:rPr>
                      <w:rFonts w:ascii="Arial" w:hAnsi="Arial" w:cs="Arial"/>
                      <w:b/>
                      <w:bCs/>
                    </w:rPr>
                    <w:t xml:space="preserve">Unopened: </w:t>
                  </w:r>
                  <w:r w:rsidRPr="00792033">
                    <w:rPr>
                      <w:rFonts w:ascii="Arial" w:hAnsi="Arial" w:cs="Arial"/>
                      <w:bCs/>
                    </w:rPr>
                    <w:t>Until expiration Date</w:t>
                  </w:r>
                </w:p>
                <w:p w14:paraId="05D3D1A4" w14:textId="7430007C" w:rsidR="0081197E" w:rsidRPr="00DC7421" w:rsidRDefault="0081197E" w:rsidP="006A41B1">
                  <w:pPr>
                    <w:pStyle w:val="BodyText"/>
                    <w:spacing w:after="80"/>
                    <w:rPr>
                      <w:rFonts w:cs="Arial"/>
                      <w:szCs w:val="20"/>
                    </w:rPr>
                  </w:pPr>
                  <w:r w:rsidRPr="00DC7421">
                    <w:rPr>
                      <w:rFonts w:cs="Arial"/>
                      <w:b/>
                      <w:bCs/>
                      <w:szCs w:val="20"/>
                    </w:rPr>
                    <w:t xml:space="preserve">Opened expiration: </w:t>
                  </w:r>
                  <w:r w:rsidR="00CA70F6" w:rsidRPr="00CA70F6">
                    <w:rPr>
                      <w:rFonts w:cs="Arial"/>
                      <w:bCs/>
                      <w:szCs w:val="20"/>
                    </w:rPr>
                    <w:t>60 days</w:t>
                  </w:r>
                </w:p>
              </w:tc>
            </w:tr>
            <w:tr w:rsidR="00234774" w:rsidRPr="00DC7421" w14:paraId="494EE744" w14:textId="77777777" w:rsidTr="00413A69">
              <w:tc>
                <w:tcPr>
                  <w:tcW w:w="2857" w:type="dxa"/>
                  <w:vAlign w:val="center"/>
                </w:tcPr>
                <w:p w14:paraId="7E34F0E1" w14:textId="76925D42" w:rsidR="00234774" w:rsidRPr="00DC7421" w:rsidRDefault="00D25013" w:rsidP="0081197E">
                  <w:pPr>
                    <w:pStyle w:val="BodyText"/>
                    <w:spacing w:after="0"/>
                    <w:rPr>
                      <w:rFonts w:cs="Arial"/>
                      <w:szCs w:val="20"/>
                    </w:rPr>
                  </w:pPr>
                  <w:r>
                    <w:rPr>
                      <w:rFonts w:cs="Arial"/>
                      <w:szCs w:val="20"/>
                    </w:rPr>
                    <w:t>Architect Intact PTH Package Insert</w:t>
                  </w:r>
                </w:p>
              </w:tc>
              <w:tc>
                <w:tcPr>
                  <w:tcW w:w="1710" w:type="dxa"/>
                  <w:vAlign w:val="center"/>
                </w:tcPr>
                <w:p w14:paraId="5009F08F" w14:textId="1464B577" w:rsidR="00234774" w:rsidRPr="00DC7421" w:rsidRDefault="00D25013" w:rsidP="0081197E">
                  <w:pPr>
                    <w:rPr>
                      <w:rFonts w:cs="Arial"/>
                      <w:szCs w:val="20"/>
                    </w:rPr>
                  </w:pPr>
                  <w:r>
                    <w:rPr>
                      <w:rFonts w:cs="Arial"/>
                      <w:szCs w:val="20"/>
                    </w:rPr>
                    <w:t>08K2527</w:t>
                  </w:r>
                </w:p>
              </w:tc>
              <w:tc>
                <w:tcPr>
                  <w:tcW w:w="4533" w:type="dxa"/>
                  <w:vAlign w:val="center"/>
                </w:tcPr>
                <w:p w14:paraId="036E75E3" w14:textId="00B78218" w:rsidR="00DC7091" w:rsidRPr="00792033" w:rsidRDefault="00DC7091" w:rsidP="00DC7091">
                  <w:pPr>
                    <w:pStyle w:val="Reagents"/>
                    <w:spacing w:after="80"/>
                    <w:rPr>
                      <w:rFonts w:ascii="Arial" w:hAnsi="Arial" w:cs="Arial"/>
                      <w:bCs/>
                    </w:rPr>
                  </w:pPr>
                  <w:r w:rsidRPr="00792033">
                    <w:rPr>
                      <w:rFonts w:ascii="Arial" w:hAnsi="Arial" w:cs="Arial"/>
                      <w:b/>
                      <w:bCs/>
                    </w:rPr>
                    <w:t>Store at:</w:t>
                  </w:r>
                  <w:r w:rsidRPr="00792033">
                    <w:rPr>
                      <w:rFonts w:ascii="Arial" w:hAnsi="Arial" w:cs="Arial"/>
                      <w:bCs/>
                    </w:rPr>
                    <w:t xml:space="preserve"> </w:t>
                  </w:r>
                  <w:r w:rsidR="00D25013" w:rsidRPr="00D25013">
                    <w:rPr>
                      <w:rFonts w:ascii="Arial" w:hAnsi="Arial" w:cs="Arial"/>
                      <w:bCs/>
                    </w:rPr>
                    <w:t>2 to 8°C</w:t>
                  </w:r>
                </w:p>
                <w:p w14:paraId="405FFFAF" w14:textId="76BA6503" w:rsidR="00D25013" w:rsidRPr="00D25013" w:rsidRDefault="00DC7091" w:rsidP="00D25013">
                  <w:pPr>
                    <w:pStyle w:val="Reagents"/>
                    <w:spacing w:after="80"/>
                    <w:rPr>
                      <w:rFonts w:ascii="Arial" w:hAnsi="Arial" w:cs="Arial"/>
                      <w:bCs/>
                    </w:rPr>
                  </w:pPr>
                  <w:r w:rsidRPr="00792033">
                    <w:rPr>
                      <w:rFonts w:ascii="Arial" w:hAnsi="Arial" w:cs="Arial"/>
                      <w:b/>
                      <w:bCs/>
                    </w:rPr>
                    <w:t xml:space="preserve">Unopened: </w:t>
                  </w:r>
                  <w:r w:rsidR="00D25013" w:rsidRPr="00D25013">
                    <w:rPr>
                      <w:rFonts w:ascii="Arial" w:hAnsi="Arial" w:cs="Arial"/>
                      <w:bCs/>
                    </w:rPr>
                    <w:t>May be used immediately after removal from 2-8°C storage.</w:t>
                  </w:r>
                </w:p>
                <w:p w14:paraId="1EAF1AB8" w14:textId="77777777" w:rsidR="00D25013" w:rsidRPr="00D25013" w:rsidRDefault="00D25013" w:rsidP="00DC7091">
                  <w:pPr>
                    <w:pStyle w:val="Reagents"/>
                    <w:spacing w:after="80"/>
                    <w:rPr>
                      <w:rFonts w:ascii="Arial" w:hAnsi="Arial" w:cs="Arial"/>
                      <w:bCs/>
                    </w:rPr>
                  </w:pPr>
                  <w:r w:rsidRPr="00D25013">
                    <w:rPr>
                      <w:rFonts w:ascii="Arial" w:hAnsi="Arial" w:cs="Arial"/>
                      <w:bCs/>
                    </w:rPr>
                    <w:t>Store in upright position.</w:t>
                  </w:r>
                </w:p>
                <w:p w14:paraId="197286A1" w14:textId="36703520" w:rsidR="00D25013" w:rsidRPr="00D25013" w:rsidRDefault="00DC7091" w:rsidP="00D25013">
                  <w:pPr>
                    <w:pStyle w:val="Reagents"/>
                    <w:spacing w:after="80"/>
                    <w:rPr>
                      <w:rFonts w:ascii="Arial" w:hAnsi="Arial" w:cs="Arial"/>
                      <w:b/>
                      <w:bCs/>
                    </w:rPr>
                  </w:pPr>
                  <w:r w:rsidRPr="00792033">
                    <w:rPr>
                      <w:rFonts w:ascii="Arial" w:hAnsi="Arial" w:cs="Arial"/>
                      <w:b/>
                      <w:bCs/>
                    </w:rPr>
                    <w:t>Opened expiration</w:t>
                  </w:r>
                  <w:r w:rsidR="00D25013">
                    <w:rPr>
                      <w:rFonts w:ascii="Arial" w:hAnsi="Arial" w:cs="Arial"/>
                      <w:b/>
                      <w:bCs/>
                    </w:rPr>
                    <w:t>: 30 days.</w:t>
                  </w:r>
                  <w:r w:rsidR="00D25013">
                    <w:t xml:space="preserve"> </w:t>
                  </w:r>
                  <w:r w:rsidR="00D25013" w:rsidRPr="00D25013">
                    <w:rPr>
                      <w:rFonts w:ascii="Arial" w:hAnsi="Arial" w:cs="Arial"/>
                      <w:b/>
                      <w:bCs/>
                    </w:rPr>
                    <w:t>Discard after 30 days.</w:t>
                  </w:r>
                </w:p>
                <w:p w14:paraId="1A8A0CEB" w14:textId="77777777" w:rsidR="00234774" w:rsidRDefault="00D25013" w:rsidP="00D25013">
                  <w:pPr>
                    <w:pStyle w:val="Reagents"/>
                    <w:spacing w:after="80"/>
                    <w:rPr>
                      <w:rFonts w:ascii="Arial" w:hAnsi="Arial" w:cs="Arial"/>
                      <w:b/>
                      <w:bCs/>
                    </w:rPr>
                  </w:pPr>
                  <w:r>
                    <w:rPr>
                      <w:rFonts w:ascii="Arial" w:hAnsi="Arial" w:cs="Arial"/>
                      <w:bCs/>
                    </w:rPr>
                    <w:t xml:space="preserve">For information on tracking onboard time, refer to the ARCHITECT System Operations Manual, </w:t>
                  </w:r>
                  <w:r w:rsidRPr="00D25013">
                    <w:rPr>
                      <w:rFonts w:ascii="Arial" w:hAnsi="Arial" w:cs="Arial"/>
                      <w:bCs/>
                    </w:rPr>
                    <w:t>Section 5.</w:t>
                  </w:r>
                  <w:r>
                    <w:rPr>
                      <w:rFonts w:ascii="Arial" w:hAnsi="Arial" w:cs="Arial"/>
                      <w:b/>
                      <w:bCs/>
                    </w:rPr>
                    <w:t xml:space="preserve">  </w:t>
                  </w:r>
                </w:p>
                <w:p w14:paraId="285E6B80" w14:textId="43A18E24" w:rsidR="00D25013" w:rsidRPr="00D25013" w:rsidRDefault="00D25013" w:rsidP="00D25013">
                  <w:pPr>
                    <w:pStyle w:val="Reagents"/>
                    <w:spacing w:after="80"/>
                    <w:rPr>
                      <w:rFonts w:ascii="Arial" w:hAnsi="Arial" w:cs="Arial"/>
                      <w:bCs/>
                    </w:rPr>
                  </w:pPr>
                  <w:r w:rsidRPr="00D25013">
                    <w:rPr>
                      <w:rFonts w:ascii="Arial" w:hAnsi="Arial" w:cs="Arial"/>
                      <w:bCs/>
                    </w:rPr>
                    <w:t>Reagen</w:t>
                  </w:r>
                  <w:r>
                    <w:rPr>
                      <w:rFonts w:ascii="Arial" w:hAnsi="Arial" w:cs="Arial"/>
                      <w:bCs/>
                    </w:rPr>
                    <w:t xml:space="preserve">ts may be stored on or off the ARCHITECT iSystem. If </w:t>
                  </w:r>
                  <w:r w:rsidRPr="00D25013">
                    <w:rPr>
                      <w:rFonts w:ascii="Arial" w:hAnsi="Arial" w:cs="Arial"/>
                      <w:bCs/>
                    </w:rPr>
                    <w:t>reagents are removed from the sy</w:t>
                  </w:r>
                  <w:r>
                    <w:rPr>
                      <w:rFonts w:ascii="Arial" w:hAnsi="Arial" w:cs="Arial"/>
                      <w:bCs/>
                    </w:rPr>
                    <w:t xml:space="preserve">stem, store them at 2-8°C (with </w:t>
                  </w:r>
                  <w:r w:rsidRPr="00D25013">
                    <w:rPr>
                      <w:rFonts w:ascii="Arial" w:hAnsi="Arial" w:cs="Arial"/>
                      <w:bCs/>
                    </w:rPr>
                    <w:t>septums and replacement caps) in an</w:t>
                  </w:r>
                  <w:r>
                    <w:rPr>
                      <w:rFonts w:ascii="Arial" w:hAnsi="Arial" w:cs="Arial"/>
                      <w:bCs/>
                    </w:rPr>
                    <w:t xml:space="preserve"> upright position. For reagents </w:t>
                  </w:r>
                  <w:r w:rsidRPr="00D25013">
                    <w:rPr>
                      <w:rFonts w:ascii="Arial" w:hAnsi="Arial" w:cs="Arial"/>
                      <w:bCs/>
                    </w:rPr>
                    <w:t>stored off the system, it is rec</w:t>
                  </w:r>
                  <w:r>
                    <w:rPr>
                      <w:rFonts w:ascii="Arial" w:hAnsi="Arial" w:cs="Arial"/>
                      <w:bCs/>
                    </w:rPr>
                    <w:t xml:space="preserve">ommended that they be stored in </w:t>
                  </w:r>
                  <w:r w:rsidRPr="00D25013">
                    <w:rPr>
                      <w:rFonts w:ascii="Arial" w:hAnsi="Arial" w:cs="Arial"/>
                      <w:bCs/>
                    </w:rPr>
                    <w:t>their original trays and boxes to ensure they remain upright.</w:t>
                  </w:r>
                  <w:r>
                    <w:rPr>
                      <w:rFonts w:ascii="Arial" w:hAnsi="Arial" w:cs="Arial"/>
                      <w:bCs/>
                    </w:rPr>
                    <w:t xml:space="preserve"> If the </w:t>
                  </w:r>
                  <w:r w:rsidRPr="00D25013">
                    <w:rPr>
                      <w:rFonts w:ascii="Arial" w:hAnsi="Arial" w:cs="Arial"/>
                      <w:bCs/>
                    </w:rPr>
                    <w:t>microparticle bottle does no</w:t>
                  </w:r>
                  <w:r>
                    <w:rPr>
                      <w:rFonts w:ascii="Arial" w:hAnsi="Arial" w:cs="Arial"/>
                      <w:bCs/>
                    </w:rPr>
                    <w:t xml:space="preserve">t remain upright (with a septum </w:t>
                  </w:r>
                  <w:r w:rsidRPr="00D25013">
                    <w:rPr>
                      <w:rFonts w:ascii="Arial" w:hAnsi="Arial" w:cs="Arial"/>
                      <w:bCs/>
                    </w:rPr>
                    <w:t>installed) while in refrigerated stor</w:t>
                  </w:r>
                  <w:r>
                    <w:rPr>
                      <w:rFonts w:ascii="Arial" w:hAnsi="Arial" w:cs="Arial"/>
                      <w:bCs/>
                    </w:rPr>
                    <w:t xml:space="preserve">age off the system, the reagent </w:t>
                  </w:r>
                  <w:r w:rsidRPr="00D25013">
                    <w:rPr>
                      <w:rFonts w:ascii="Arial" w:hAnsi="Arial" w:cs="Arial"/>
                      <w:bCs/>
                    </w:rPr>
                    <w:t>kit must be discarded.</w:t>
                  </w:r>
                </w:p>
              </w:tc>
            </w:tr>
            <w:tr w:rsidR="00D25013" w:rsidRPr="00DC7421" w14:paraId="0B3ED800" w14:textId="77777777" w:rsidTr="00413A69">
              <w:tc>
                <w:tcPr>
                  <w:tcW w:w="2857" w:type="dxa"/>
                  <w:vAlign w:val="center"/>
                </w:tcPr>
                <w:p w14:paraId="1B349A72" w14:textId="0D862F46" w:rsidR="00D25013" w:rsidRDefault="00D25013" w:rsidP="00D25013">
                  <w:pPr>
                    <w:pStyle w:val="BodyText"/>
                    <w:spacing w:after="0"/>
                    <w:rPr>
                      <w:rFonts w:cs="Arial"/>
                      <w:szCs w:val="20"/>
                    </w:rPr>
                  </w:pPr>
                  <w:r>
                    <w:rPr>
                      <w:rFonts w:cs="Arial"/>
                      <w:szCs w:val="20"/>
                    </w:rPr>
                    <w:t>Architect Intact PTH Package Insert</w:t>
                  </w:r>
                </w:p>
              </w:tc>
              <w:tc>
                <w:tcPr>
                  <w:tcW w:w="1710" w:type="dxa"/>
                  <w:vAlign w:val="center"/>
                </w:tcPr>
                <w:p w14:paraId="4C15D21E" w14:textId="1A56F9DD" w:rsidR="00D25013" w:rsidRDefault="00D25013" w:rsidP="00D25013">
                  <w:pPr>
                    <w:rPr>
                      <w:rFonts w:cs="Arial"/>
                      <w:szCs w:val="20"/>
                    </w:rPr>
                  </w:pPr>
                  <w:r>
                    <w:rPr>
                      <w:rFonts w:cs="Arial"/>
                      <w:szCs w:val="20"/>
                    </w:rPr>
                    <w:t>08K2503</w:t>
                  </w:r>
                </w:p>
              </w:tc>
              <w:tc>
                <w:tcPr>
                  <w:tcW w:w="4533" w:type="dxa"/>
                  <w:vAlign w:val="center"/>
                </w:tcPr>
                <w:p w14:paraId="257BF96D" w14:textId="504A56BB" w:rsidR="00D25013" w:rsidRPr="00792033" w:rsidRDefault="00D25013" w:rsidP="00D25013">
                  <w:pPr>
                    <w:pStyle w:val="Reagents"/>
                    <w:spacing w:after="80"/>
                    <w:rPr>
                      <w:rFonts w:ascii="Arial" w:hAnsi="Arial" w:cs="Arial"/>
                      <w:bCs/>
                    </w:rPr>
                  </w:pPr>
                  <w:r w:rsidRPr="00792033">
                    <w:rPr>
                      <w:rFonts w:ascii="Arial" w:hAnsi="Arial" w:cs="Arial"/>
                      <w:b/>
                      <w:bCs/>
                    </w:rPr>
                    <w:t>Store at:</w:t>
                  </w:r>
                  <w:r w:rsidRPr="00792033">
                    <w:rPr>
                      <w:rFonts w:ascii="Arial" w:hAnsi="Arial" w:cs="Arial"/>
                      <w:bCs/>
                    </w:rPr>
                    <w:t xml:space="preserve"> </w:t>
                  </w:r>
                  <w:r w:rsidRPr="00D25013">
                    <w:rPr>
                      <w:rFonts w:ascii="Arial" w:hAnsi="Arial" w:cs="Arial"/>
                      <w:bCs/>
                    </w:rPr>
                    <w:t>2 to 8°C</w:t>
                  </w:r>
                </w:p>
                <w:p w14:paraId="201C9B99" w14:textId="0211E23C" w:rsidR="00D25013" w:rsidRPr="00792033" w:rsidRDefault="00D25013" w:rsidP="00D25013">
                  <w:pPr>
                    <w:pStyle w:val="Reagents"/>
                    <w:spacing w:after="80"/>
                    <w:rPr>
                      <w:rFonts w:ascii="Arial" w:hAnsi="Arial" w:cs="Arial"/>
                      <w:bCs/>
                    </w:rPr>
                  </w:pPr>
                  <w:r w:rsidRPr="00792033">
                    <w:rPr>
                      <w:rFonts w:ascii="Arial" w:hAnsi="Arial" w:cs="Arial"/>
                      <w:b/>
                      <w:bCs/>
                    </w:rPr>
                    <w:t xml:space="preserve">Unopened: </w:t>
                  </w:r>
                  <w:r>
                    <w:rPr>
                      <w:rFonts w:ascii="Arial" w:hAnsi="Arial" w:cs="Arial"/>
                      <w:b/>
                      <w:bCs/>
                    </w:rPr>
                    <w:t xml:space="preserve"> </w:t>
                  </w:r>
                  <w:r w:rsidRPr="00D25013">
                    <w:rPr>
                      <w:rFonts w:ascii="Arial" w:hAnsi="Arial" w:cs="Arial"/>
                      <w:bCs/>
                    </w:rPr>
                    <w:t>manufacturer’s expiration date</w:t>
                  </w:r>
                </w:p>
                <w:p w14:paraId="20971F7E" w14:textId="3D01BBDF" w:rsidR="00D25013" w:rsidRDefault="00D25013" w:rsidP="00D25013">
                  <w:pPr>
                    <w:pStyle w:val="Reagents"/>
                    <w:spacing w:after="80"/>
                    <w:rPr>
                      <w:rFonts w:ascii="Arial" w:hAnsi="Arial" w:cs="Arial"/>
                      <w:b/>
                      <w:bCs/>
                    </w:rPr>
                  </w:pPr>
                  <w:r w:rsidRPr="00792033">
                    <w:rPr>
                      <w:rFonts w:ascii="Arial" w:hAnsi="Arial" w:cs="Arial"/>
                      <w:b/>
                      <w:bCs/>
                    </w:rPr>
                    <w:t>Opened expiration</w:t>
                  </w:r>
                  <w:r>
                    <w:rPr>
                      <w:rFonts w:ascii="Arial" w:hAnsi="Arial" w:cs="Arial"/>
                      <w:b/>
                      <w:bCs/>
                    </w:rPr>
                    <w:t xml:space="preserve"> 30 days.  </w:t>
                  </w:r>
                </w:p>
                <w:p w14:paraId="66924A35" w14:textId="210D9606" w:rsidR="00D25013" w:rsidRPr="00D25013" w:rsidRDefault="00D25013" w:rsidP="00D25013">
                  <w:pPr>
                    <w:pStyle w:val="Reagents"/>
                    <w:spacing w:after="80"/>
                    <w:rPr>
                      <w:rFonts w:ascii="Arial" w:hAnsi="Arial" w:cs="Arial"/>
                      <w:bCs/>
                    </w:rPr>
                  </w:pPr>
                  <w:r w:rsidRPr="00D25013">
                    <w:rPr>
                      <w:rFonts w:ascii="Arial" w:hAnsi="Arial" w:cs="Arial"/>
                      <w:bCs/>
                    </w:rPr>
                    <w:t xml:space="preserve">Store at -20°C or colder. Prior </w:t>
                  </w:r>
                  <w:r>
                    <w:rPr>
                      <w:rFonts w:ascii="Arial" w:hAnsi="Arial" w:cs="Arial"/>
                      <w:bCs/>
                    </w:rPr>
                    <w:t xml:space="preserve">to use, thaw completely at room </w:t>
                  </w:r>
                  <w:r w:rsidRPr="00D25013">
                    <w:rPr>
                      <w:rFonts w:ascii="Arial" w:hAnsi="Arial" w:cs="Arial"/>
                      <w:bCs/>
                    </w:rPr>
                    <w:t>temperature (15-30°C) for 30 t</w:t>
                  </w:r>
                  <w:r>
                    <w:rPr>
                      <w:rFonts w:ascii="Arial" w:hAnsi="Arial" w:cs="Arial"/>
                      <w:bCs/>
                    </w:rPr>
                    <w:t xml:space="preserve">o 60 minutes and mix THOROUGHLY </w:t>
                  </w:r>
                  <w:r w:rsidRPr="00D25013">
                    <w:rPr>
                      <w:rFonts w:ascii="Arial" w:hAnsi="Arial" w:cs="Arial"/>
                      <w:bCs/>
                    </w:rPr>
                    <w:t>by gentle inversion (5-10 times). After each use, tightly close th</w:t>
                  </w:r>
                  <w:r>
                    <w:rPr>
                      <w:rFonts w:ascii="Arial" w:hAnsi="Arial" w:cs="Arial"/>
                      <w:bCs/>
                    </w:rPr>
                    <w:t xml:space="preserve">e </w:t>
                  </w:r>
                  <w:r w:rsidRPr="00D25013">
                    <w:rPr>
                      <w:rFonts w:ascii="Arial" w:hAnsi="Arial" w:cs="Arial"/>
                      <w:bCs/>
                    </w:rPr>
                    <w:t>caps, return the thawed calibrators to the carton and store at 2-8°C.</w:t>
                  </w:r>
                </w:p>
                <w:p w14:paraId="7C2AA668" w14:textId="0E64684B" w:rsidR="00D25013" w:rsidRPr="00D25013" w:rsidRDefault="00D25013" w:rsidP="00D25013">
                  <w:pPr>
                    <w:pStyle w:val="Reagents"/>
                    <w:spacing w:after="80"/>
                    <w:rPr>
                      <w:rFonts w:ascii="Arial" w:hAnsi="Arial" w:cs="Arial"/>
                      <w:bCs/>
                    </w:rPr>
                  </w:pPr>
                  <w:r w:rsidRPr="00D25013">
                    <w:rPr>
                      <w:rFonts w:ascii="Arial" w:hAnsi="Arial" w:cs="Arial"/>
                      <w:bCs/>
                    </w:rPr>
                    <w:t xml:space="preserve">Do not refreeze. After thawing, it </w:t>
                  </w:r>
                  <w:r>
                    <w:rPr>
                      <w:rFonts w:ascii="Arial" w:hAnsi="Arial" w:cs="Arial"/>
                      <w:bCs/>
                    </w:rPr>
                    <w:t xml:space="preserve">is suggested to record the thaw </w:t>
                  </w:r>
                  <w:r w:rsidRPr="00D25013">
                    <w:rPr>
                      <w:rFonts w:ascii="Arial" w:hAnsi="Arial" w:cs="Arial"/>
                      <w:bCs/>
                    </w:rPr>
                    <w:t>date on the carton or the bottles to</w:t>
                  </w:r>
                  <w:r>
                    <w:rPr>
                      <w:rFonts w:ascii="Arial" w:hAnsi="Arial" w:cs="Arial"/>
                      <w:bCs/>
                    </w:rPr>
                    <w:t xml:space="preserve"> aid in tracking the expiration </w:t>
                  </w:r>
                  <w:r w:rsidRPr="00D25013">
                    <w:rPr>
                      <w:rFonts w:ascii="Arial" w:hAnsi="Arial" w:cs="Arial"/>
                      <w:bCs/>
                    </w:rPr>
                    <w:t xml:space="preserve">date. Discard calibrators 30 days after </w:t>
                  </w:r>
                  <w:proofErr w:type="spellStart"/>
                  <w:r>
                    <w:rPr>
                      <w:rFonts w:ascii="Arial" w:hAnsi="Arial" w:cs="Arial"/>
                      <w:bCs/>
                    </w:rPr>
                    <w:t>thaw</w:t>
                  </w:r>
                  <w:proofErr w:type="spellEnd"/>
                  <w:r w:rsidRPr="00D25013">
                    <w:rPr>
                      <w:rFonts w:ascii="Arial" w:hAnsi="Arial" w:cs="Arial"/>
                      <w:bCs/>
                    </w:rPr>
                    <w:t xml:space="preserve"> date or if expired.</w:t>
                  </w:r>
                </w:p>
              </w:tc>
            </w:tr>
          </w:tbl>
          <w:p w14:paraId="5CCFFFC6" w14:textId="77777777" w:rsidR="00D955F6" w:rsidRPr="00DC7421" w:rsidRDefault="00D955F6" w:rsidP="00234774">
            <w:pPr>
              <w:pStyle w:val="Reagents"/>
              <w:rPr>
                <w:rFonts w:ascii="Arial" w:hAnsi="Arial" w:cs="Arial"/>
                <w:b/>
                <w:bCs/>
                <w:color w:val="365F91"/>
              </w:rPr>
            </w:pPr>
          </w:p>
        </w:tc>
      </w:tr>
      <w:tr w:rsidR="00E3253B" w14:paraId="5CCFFFD1" w14:textId="77777777" w:rsidTr="007132A9">
        <w:trPr>
          <w:trHeight w:val="1548"/>
          <w:tblHeader/>
        </w:trPr>
        <w:tc>
          <w:tcPr>
            <w:tcW w:w="1800" w:type="dxa"/>
            <w:tcBorders>
              <w:top w:val="nil"/>
              <w:left w:val="nil"/>
              <w:bottom w:val="nil"/>
              <w:right w:val="nil"/>
            </w:tcBorders>
          </w:tcPr>
          <w:p w14:paraId="5CCFFFC8" w14:textId="77777777" w:rsidR="00E3253B" w:rsidRPr="00C00B65" w:rsidRDefault="00E3253B">
            <w:pPr>
              <w:rPr>
                <w:rFonts w:cs="Arial"/>
                <w:b/>
                <w:bCs/>
                <w:color w:val="0000FF"/>
                <w:szCs w:val="20"/>
              </w:rPr>
            </w:pPr>
            <w:r w:rsidRPr="00C00B65">
              <w:rPr>
                <w:rFonts w:cs="Arial"/>
                <w:b/>
                <w:bCs/>
                <w:color w:val="0000FF"/>
                <w:szCs w:val="20"/>
              </w:rPr>
              <w:t>Risk and Safety</w:t>
            </w:r>
          </w:p>
        </w:tc>
        <w:tc>
          <w:tcPr>
            <w:tcW w:w="9360" w:type="dxa"/>
            <w:gridSpan w:val="4"/>
            <w:tcBorders>
              <w:top w:val="single" w:sz="18" w:space="0" w:color="BFBFBF"/>
              <w:left w:val="nil"/>
              <w:bottom w:val="single" w:sz="18" w:space="0" w:color="BFBFBF"/>
              <w:right w:val="nil"/>
            </w:tcBorders>
            <w:vAlign w:val="center"/>
          </w:tcPr>
          <w:p w14:paraId="05C97A8A" w14:textId="2BFBB731" w:rsidR="009475C8" w:rsidRDefault="00792033" w:rsidP="00792033">
            <w:pPr>
              <w:rPr>
                <w:szCs w:val="20"/>
              </w:rPr>
            </w:pPr>
            <w:r w:rsidRPr="00792033">
              <w:rPr>
                <w:b/>
                <w:bCs/>
                <w:szCs w:val="20"/>
              </w:rPr>
              <w:t xml:space="preserve">CAUTION: </w:t>
            </w:r>
            <w:r w:rsidRPr="00792033">
              <w:rPr>
                <w:szCs w:val="20"/>
              </w:rPr>
              <w:t>This product requires the handling of human specimens.</w:t>
            </w:r>
            <w:r>
              <w:rPr>
                <w:szCs w:val="20"/>
              </w:rPr>
              <w:t xml:space="preserve"> </w:t>
            </w:r>
            <w:r w:rsidRPr="00792033">
              <w:rPr>
                <w:szCs w:val="20"/>
              </w:rPr>
              <w:t>It is recommended that all human-sourced materials be considered</w:t>
            </w:r>
            <w:r>
              <w:rPr>
                <w:szCs w:val="20"/>
              </w:rPr>
              <w:t xml:space="preserve"> </w:t>
            </w:r>
            <w:r w:rsidRPr="00792033">
              <w:rPr>
                <w:szCs w:val="20"/>
              </w:rPr>
              <w:t>potentially infectious and handled in accordance with the OSHA</w:t>
            </w:r>
            <w:r>
              <w:rPr>
                <w:szCs w:val="20"/>
              </w:rPr>
              <w:t xml:space="preserve"> </w:t>
            </w:r>
            <w:r w:rsidRPr="00792033">
              <w:rPr>
                <w:szCs w:val="20"/>
              </w:rPr>
              <w:t>Standard on Bloodborne Pathogens. Biosafety Level 2 or other</w:t>
            </w:r>
            <w:r>
              <w:rPr>
                <w:szCs w:val="20"/>
              </w:rPr>
              <w:t xml:space="preserve"> </w:t>
            </w:r>
            <w:r w:rsidRPr="00792033">
              <w:rPr>
                <w:szCs w:val="20"/>
              </w:rPr>
              <w:t>appropr</w:t>
            </w:r>
            <w:r>
              <w:rPr>
                <w:szCs w:val="20"/>
              </w:rPr>
              <w:t xml:space="preserve">iate biosafety practices should </w:t>
            </w:r>
            <w:r w:rsidRPr="00792033">
              <w:rPr>
                <w:szCs w:val="20"/>
              </w:rPr>
              <w:t>be used for materials that</w:t>
            </w:r>
            <w:r>
              <w:rPr>
                <w:szCs w:val="20"/>
              </w:rPr>
              <w:t xml:space="preserve"> </w:t>
            </w:r>
            <w:r w:rsidRPr="00792033">
              <w:rPr>
                <w:szCs w:val="20"/>
              </w:rPr>
              <w:t>contain or are suspected of containing infectious agents</w:t>
            </w:r>
          </w:p>
          <w:p w14:paraId="1D6EAD2B" w14:textId="77777777" w:rsidR="009475C8" w:rsidRDefault="009475C8">
            <w:pPr>
              <w:rPr>
                <w:szCs w:val="20"/>
              </w:rPr>
            </w:pPr>
          </w:p>
          <w:p w14:paraId="72AFA704" w14:textId="1838C69C" w:rsidR="00792033" w:rsidRDefault="00792033">
            <w:pPr>
              <w:rPr>
                <w:i/>
                <w:szCs w:val="20"/>
              </w:rPr>
            </w:pPr>
            <w:r w:rsidRPr="00792033">
              <w:rPr>
                <w:b/>
                <w:szCs w:val="20"/>
              </w:rPr>
              <w:t>The following warnings and precautions apply to:</w:t>
            </w:r>
            <w:r>
              <w:rPr>
                <w:b/>
                <w:szCs w:val="20"/>
              </w:rPr>
              <w:t xml:space="preserve"> </w:t>
            </w:r>
            <w:r>
              <w:rPr>
                <w:i/>
                <w:szCs w:val="20"/>
              </w:rPr>
              <w:t>Conjugate</w:t>
            </w:r>
          </w:p>
          <w:p w14:paraId="27633DE2" w14:textId="77777777" w:rsidR="00792033" w:rsidRDefault="00792033">
            <w:pPr>
              <w:rPr>
                <w:i/>
                <w:szCs w:val="20"/>
              </w:rPr>
            </w:pPr>
          </w:p>
          <w:p w14:paraId="2307AEF5" w14:textId="746547E6" w:rsidR="00792033" w:rsidRPr="00792033" w:rsidRDefault="00792033" w:rsidP="00792033">
            <w:pPr>
              <w:rPr>
                <w:szCs w:val="20"/>
              </w:rPr>
            </w:pPr>
            <w:r>
              <w:rPr>
                <w:noProof/>
              </w:rPr>
              <w:drawing>
                <wp:anchor distT="0" distB="0" distL="114300" distR="114300" simplePos="0" relativeHeight="251658240" behindDoc="1" locked="0" layoutInCell="1" allowOverlap="1" wp14:anchorId="04D71529" wp14:editId="143DF16A">
                  <wp:simplePos x="0" y="0"/>
                  <wp:positionH relativeFrom="column">
                    <wp:posOffset>-994</wp:posOffset>
                  </wp:positionH>
                  <wp:positionV relativeFrom="paragraph">
                    <wp:posOffset>-2871</wp:posOffset>
                  </wp:positionV>
                  <wp:extent cx="514286" cy="476190"/>
                  <wp:effectExtent l="0" t="0" r="635" b="635"/>
                  <wp:wrapTight wrapText="bothSides">
                    <wp:wrapPolygon edited="0">
                      <wp:start x="0" y="0"/>
                      <wp:lineTo x="0" y="20764"/>
                      <wp:lineTo x="20826" y="20764"/>
                      <wp:lineTo x="208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14286" cy="476190"/>
                          </a:xfrm>
                          <a:prstGeom prst="rect">
                            <a:avLst/>
                          </a:prstGeom>
                        </pic:spPr>
                      </pic:pic>
                    </a:graphicData>
                  </a:graphic>
                </wp:anchor>
              </w:drawing>
            </w:r>
            <w:r>
              <w:rPr>
                <w:b/>
                <w:bCs/>
                <w:szCs w:val="20"/>
              </w:rPr>
              <w:t xml:space="preserve"> </w:t>
            </w:r>
            <w:r w:rsidRPr="00792033">
              <w:rPr>
                <w:b/>
                <w:bCs/>
                <w:szCs w:val="20"/>
              </w:rPr>
              <w:t xml:space="preserve">WARNING </w:t>
            </w:r>
            <w:r w:rsidRPr="00792033">
              <w:rPr>
                <w:szCs w:val="20"/>
              </w:rPr>
              <w:t xml:space="preserve">Contains </w:t>
            </w:r>
            <w:r>
              <w:rPr>
                <w:szCs w:val="20"/>
              </w:rPr>
              <w:t xml:space="preserve">polyethylene glycol </w:t>
            </w:r>
            <w:proofErr w:type="spellStart"/>
            <w:r>
              <w:rPr>
                <w:szCs w:val="20"/>
              </w:rPr>
              <w:t>octylphenyl</w:t>
            </w:r>
            <w:proofErr w:type="spellEnd"/>
            <w:r>
              <w:rPr>
                <w:szCs w:val="20"/>
              </w:rPr>
              <w:t xml:space="preserve"> </w:t>
            </w:r>
            <w:r w:rsidRPr="00792033">
              <w:rPr>
                <w:szCs w:val="20"/>
              </w:rPr>
              <w:t>ether and sodium azide.</w:t>
            </w:r>
          </w:p>
          <w:p w14:paraId="27F3AA62" w14:textId="77777777" w:rsidR="00792033" w:rsidRDefault="00792033" w:rsidP="00792033">
            <w:pPr>
              <w:rPr>
                <w:szCs w:val="20"/>
              </w:rPr>
            </w:pPr>
          </w:p>
          <w:p w14:paraId="78CFA3A0" w14:textId="6C843BB6" w:rsidR="00792033" w:rsidRPr="00792033" w:rsidRDefault="00792033" w:rsidP="00792033">
            <w:pPr>
              <w:rPr>
                <w:szCs w:val="20"/>
              </w:rPr>
            </w:pPr>
            <w:r w:rsidRPr="00792033">
              <w:rPr>
                <w:szCs w:val="20"/>
              </w:rPr>
              <w:t>Causes serious eye irritation.</w:t>
            </w:r>
          </w:p>
          <w:p w14:paraId="5AEE827D" w14:textId="4C6A975C" w:rsidR="00792033" w:rsidRDefault="00792033" w:rsidP="00792033">
            <w:pPr>
              <w:rPr>
                <w:szCs w:val="20"/>
              </w:rPr>
            </w:pPr>
            <w:r w:rsidRPr="00792033">
              <w:rPr>
                <w:szCs w:val="20"/>
              </w:rPr>
              <w:t>Contact with acids liberates very toxic gas.</w:t>
            </w:r>
          </w:p>
          <w:p w14:paraId="0EA78A20" w14:textId="77777777" w:rsidR="00CA70F6" w:rsidRPr="00792033" w:rsidRDefault="00CA70F6" w:rsidP="00792033">
            <w:pPr>
              <w:rPr>
                <w:szCs w:val="20"/>
              </w:rPr>
            </w:pPr>
          </w:p>
          <w:p w14:paraId="5EFA9057" w14:textId="187619D3" w:rsidR="009475C8" w:rsidRDefault="009475C8">
            <w:r>
              <w:rPr>
                <w:szCs w:val="20"/>
              </w:rPr>
              <w:t xml:space="preserve">Safety data sheets (MSDS/SDS) available on </w:t>
            </w:r>
            <w:hyperlink r:id="rId13" w:history="1">
              <w:r w:rsidRPr="00D302B9">
                <w:rPr>
                  <w:rStyle w:val="Hyperlink"/>
                  <w:szCs w:val="20"/>
                </w:rPr>
                <w:t>Children’s Intranet</w:t>
              </w:r>
            </w:hyperlink>
          </w:p>
          <w:p w14:paraId="5CCFFFD0" w14:textId="77777777" w:rsidR="007B2A3E" w:rsidRPr="00DC7421" w:rsidRDefault="007B2A3E" w:rsidP="007B2A3E">
            <w:pPr>
              <w:rPr>
                <w:rFonts w:cs="Arial"/>
                <w:szCs w:val="20"/>
              </w:rPr>
            </w:pPr>
          </w:p>
        </w:tc>
      </w:tr>
      <w:tr w:rsidR="00F50200" w14:paraId="5CCFFFEC" w14:textId="77777777" w:rsidTr="00A062E1">
        <w:trPr>
          <w:trHeight w:val="4302"/>
          <w:tblHeader/>
        </w:trPr>
        <w:tc>
          <w:tcPr>
            <w:tcW w:w="1800" w:type="dxa"/>
            <w:tcBorders>
              <w:top w:val="nil"/>
              <w:left w:val="nil"/>
              <w:bottom w:val="nil"/>
              <w:right w:val="nil"/>
            </w:tcBorders>
          </w:tcPr>
          <w:p w14:paraId="5CCFFFD2" w14:textId="7DCFBBFA"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14:paraId="5CCFFFD3" w14:textId="708F86A3" w:rsidR="00F50200" w:rsidRPr="00DC7421" w:rsidRDefault="00A062E1" w:rsidP="00A32948">
            <w:pPr>
              <w:pStyle w:val="Pa15"/>
              <w:rPr>
                <w:rFonts w:ascii="Arial" w:hAnsi="Arial" w:cs="Arial"/>
                <w:b/>
                <w:bCs/>
                <w:sz w:val="20"/>
                <w:szCs w:val="20"/>
              </w:rPr>
            </w:pPr>
            <w:r w:rsidRPr="00A062E1">
              <w:rPr>
                <w:rFonts w:ascii="Arial" w:hAnsi="Arial" w:cs="Arial"/>
                <w:b/>
                <w:bCs/>
                <w:color w:val="7030A0"/>
                <w:sz w:val="20"/>
                <w:szCs w:val="20"/>
              </w:rPr>
              <w:t>Alinity c</w:t>
            </w:r>
            <w:r w:rsidR="00CA70F6">
              <w:rPr>
                <w:rFonts w:ascii="Arial" w:hAnsi="Arial" w:cs="Arial"/>
                <w:b/>
                <w:bCs/>
                <w:color w:val="7030A0"/>
                <w:sz w:val="20"/>
                <w:szCs w:val="20"/>
              </w:rPr>
              <w:t xml:space="preserve"> and Architect i1000</w:t>
            </w:r>
            <w:r w:rsidR="00486653" w:rsidRPr="00DC7421">
              <w:rPr>
                <w:rFonts w:cs="Arial"/>
                <w:b/>
                <w:bCs/>
                <w:szCs w:val="20"/>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14:paraId="5CCFFFD6" w14:textId="77777777" w:rsidTr="001C1CFA">
              <w:tc>
                <w:tcPr>
                  <w:tcW w:w="2947" w:type="dxa"/>
                </w:tcPr>
                <w:p w14:paraId="5CCFFFD4" w14:textId="77777777"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14:paraId="5CCFFFD5" w14:textId="4D2D0324" w:rsidR="00F50200" w:rsidRPr="00DC7421" w:rsidRDefault="00CA70F6" w:rsidP="00A32948">
                  <w:pPr>
                    <w:pStyle w:val="CalVerTable"/>
                    <w:ind w:left="0" w:firstLine="0"/>
                    <w:rPr>
                      <w:rFonts w:ascii="Arial" w:hAnsi="Arial" w:cs="Arial"/>
                    </w:rPr>
                  </w:pPr>
                  <w:r>
                    <w:rPr>
                      <w:rFonts w:ascii="Arial" w:hAnsi="Arial" w:cs="Arial"/>
                    </w:rPr>
                    <w:t>4.0 to 2500.0 pg/mL</w:t>
                  </w:r>
                </w:p>
              </w:tc>
            </w:tr>
            <w:tr w:rsidR="00F50200" w:rsidRPr="00DC7421" w14:paraId="5CCFFFD9" w14:textId="77777777" w:rsidTr="001C1CFA">
              <w:tc>
                <w:tcPr>
                  <w:tcW w:w="2947" w:type="dxa"/>
                </w:tcPr>
                <w:p w14:paraId="5CCFFFD7" w14:textId="77777777"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14:paraId="5CCFFFD8" w14:textId="603BB68E" w:rsidR="00F50200" w:rsidRPr="00DC7421" w:rsidRDefault="00CA70F6" w:rsidP="00440E37">
                  <w:pPr>
                    <w:pStyle w:val="BodyText"/>
                    <w:rPr>
                      <w:rFonts w:cs="Arial"/>
                      <w:szCs w:val="20"/>
                    </w:rPr>
                  </w:pPr>
                  <w:r>
                    <w:rPr>
                      <w:rFonts w:cs="Arial"/>
                      <w:szCs w:val="20"/>
                    </w:rPr>
                    <w:t>Abbott Alinity i or Architect i1000 Calibrator Kit</w:t>
                  </w:r>
                </w:p>
              </w:tc>
            </w:tr>
            <w:tr w:rsidR="00F50200" w:rsidRPr="00DC7421" w14:paraId="5CCFFFE1" w14:textId="77777777" w:rsidTr="001C1CFA">
              <w:tc>
                <w:tcPr>
                  <w:tcW w:w="2947" w:type="dxa"/>
                </w:tcPr>
                <w:p w14:paraId="5CCFFFDA" w14:textId="77777777"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14:paraId="19CBD15A" w14:textId="77777777" w:rsidR="00CA70F6" w:rsidRPr="00CA70F6" w:rsidRDefault="00CA70F6" w:rsidP="00CA70F6">
                  <w:pPr>
                    <w:pStyle w:val="CalVerTable"/>
                    <w:rPr>
                      <w:rFonts w:ascii="Arial" w:hAnsi="Arial" w:cs="Arial"/>
                    </w:rPr>
                  </w:pPr>
                  <w:r w:rsidRPr="00CA70F6">
                    <w:rPr>
                      <w:rFonts w:ascii="Arial" w:hAnsi="Arial" w:cs="Arial"/>
                    </w:rPr>
                    <w:t>A – 0.0 pg/mL</w:t>
                  </w:r>
                </w:p>
                <w:p w14:paraId="3B2B269D" w14:textId="77777777" w:rsidR="00CA70F6" w:rsidRPr="00CA70F6" w:rsidRDefault="00CA70F6" w:rsidP="00CA70F6">
                  <w:pPr>
                    <w:pStyle w:val="CalVerTable"/>
                    <w:rPr>
                      <w:rFonts w:ascii="Arial" w:hAnsi="Arial" w:cs="Arial"/>
                    </w:rPr>
                  </w:pPr>
                  <w:r w:rsidRPr="00CA70F6">
                    <w:rPr>
                      <w:rFonts w:ascii="Arial" w:hAnsi="Arial" w:cs="Arial"/>
                    </w:rPr>
                    <w:t>B – 4.8 pg/mL</w:t>
                  </w:r>
                </w:p>
                <w:p w14:paraId="0175225E" w14:textId="77777777" w:rsidR="00CA70F6" w:rsidRPr="00CA70F6" w:rsidRDefault="00CA70F6" w:rsidP="00CA70F6">
                  <w:pPr>
                    <w:pStyle w:val="CalVerTable"/>
                    <w:rPr>
                      <w:rFonts w:ascii="Arial" w:hAnsi="Arial" w:cs="Arial"/>
                    </w:rPr>
                  </w:pPr>
                  <w:r w:rsidRPr="00CA70F6">
                    <w:rPr>
                      <w:rFonts w:ascii="Arial" w:hAnsi="Arial" w:cs="Arial"/>
                    </w:rPr>
                    <w:t>C – 24.0 pg/mL</w:t>
                  </w:r>
                </w:p>
                <w:p w14:paraId="05B40EA6" w14:textId="77777777" w:rsidR="00CA70F6" w:rsidRPr="00CA70F6" w:rsidRDefault="00CA70F6" w:rsidP="00CA70F6">
                  <w:pPr>
                    <w:pStyle w:val="CalVerTable"/>
                    <w:rPr>
                      <w:rFonts w:ascii="Arial" w:hAnsi="Arial" w:cs="Arial"/>
                    </w:rPr>
                  </w:pPr>
                  <w:r w:rsidRPr="00CA70F6">
                    <w:rPr>
                      <w:rFonts w:ascii="Arial" w:hAnsi="Arial" w:cs="Arial"/>
                    </w:rPr>
                    <w:t>D – 120.0 pg/mL</w:t>
                  </w:r>
                </w:p>
                <w:p w14:paraId="67A2A702" w14:textId="77777777" w:rsidR="00CA70F6" w:rsidRPr="00CA70F6" w:rsidRDefault="00CA70F6" w:rsidP="00CA70F6">
                  <w:pPr>
                    <w:pStyle w:val="CalVerTable"/>
                    <w:rPr>
                      <w:rFonts w:ascii="Arial" w:hAnsi="Arial" w:cs="Arial"/>
                    </w:rPr>
                  </w:pPr>
                  <w:r w:rsidRPr="00CA70F6">
                    <w:rPr>
                      <w:rFonts w:ascii="Arial" w:hAnsi="Arial" w:cs="Arial"/>
                    </w:rPr>
                    <w:t>E – 600.0 pg/mL</w:t>
                  </w:r>
                </w:p>
                <w:p w14:paraId="5CCFFFE0" w14:textId="65EDDF9C" w:rsidR="005B66A7" w:rsidRPr="00CA70F6" w:rsidRDefault="00CA70F6" w:rsidP="00CA70F6">
                  <w:pPr>
                    <w:pStyle w:val="CalVerTable"/>
                    <w:ind w:left="0" w:firstLine="0"/>
                    <w:rPr>
                      <w:rFonts w:ascii="Arial" w:hAnsi="Arial" w:cs="Arial"/>
                    </w:rPr>
                  </w:pPr>
                  <w:r w:rsidRPr="00CA70F6">
                    <w:rPr>
                      <w:rFonts w:ascii="Arial" w:hAnsi="Arial" w:cs="Arial"/>
                    </w:rPr>
                    <w:t>F – 3000 pg/mL</w:t>
                  </w:r>
                </w:p>
              </w:tc>
            </w:tr>
            <w:tr w:rsidR="00F50200" w:rsidRPr="00DC7421" w14:paraId="5CCFFFE4" w14:textId="77777777" w:rsidTr="001C1CFA">
              <w:tc>
                <w:tcPr>
                  <w:tcW w:w="2947" w:type="dxa"/>
                </w:tcPr>
                <w:p w14:paraId="5CCFFFE2"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14:paraId="5CCFFFE3" w14:textId="5F243290" w:rsidR="00F50200" w:rsidRPr="00CA70F6" w:rsidRDefault="00CA70F6" w:rsidP="005B66A7">
                  <w:pPr>
                    <w:pStyle w:val="CalVerTable"/>
                    <w:ind w:left="0" w:firstLine="0"/>
                    <w:rPr>
                      <w:rFonts w:ascii="Arial" w:hAnsi="Arial" w:cs="Arial"/>
                    </w:rPr>
                  </w:pPr>
                  <w:r>
                    <w:rPr>
                      <w:rFonts w:ascii="Arial" w:hAnsi="Arial" w:cs="Arial"/>
                    </w:rPr>
                    <w:t>6</w:t>
                  </w:r>
                  <w:r w:rsidR="009475C8" w:rsidRPr="00CA70F6">
                    <w:rPr>
                      <w:rFonts w:ascii="Arial" w:hAnsi="Arial" w:cs="Arial"/>
                    </w:rPr>
                    <w:t xml:space="preserve"> Levels</w:t>
                  </w:r>
                </w:p>
              </w:tc>
            </w:tr>
            <w:tr w:rsidR="00F50200" w:rsidRPr="00DC7421" w14:paraId="5CCFFFE7" w14:textId="77777777" w:rsidTr="001C1CFA">
              <w:tc>
                <w:tcPr>
                  <w:tcW w:w="2947" w:type="dxa"/>
                </w:tcPr>
                <w:p w14:paraId="5CCFFFE5"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14:paraId="78F83CB9" w14:textId="32618473" w:rsidR="00CA70F6" w:rsidRPr="00CA70F6" w:rsidRDefault="00CA70F6" w:rsidP="00CA70F6">
                  <w:pPr>
                    <w:pStyle w:val="Pa10"/>
                    <w:rPr>
                      <w:rFonts w:ascii="Arial" w:hAnsi="Arial" w:cs="Arial"/>
                      <w:sz w:val="20"/>
                      <w:szCs w:val="20"/>
                    </w:rPr>
                  </w:pPr>
                  <w:r>
                    <w:rPr>
                      <w:rFonts w:ascii="Arial" w:hAnsi="Arial" w:cs="Arial"/>
                      <w:sz w:val="20"/>
                      <w:szCs w:val="20"/>
                    </w:rPr>
                    <w:t xml:space="preserve">• </w:t>
                  </w:r>
                  <w:r w:rsidRPr="00CA70F6">
                    <w:rPr>
                      <w:rFonts w:ascii="Arial" w:hAnsi="Arial" w:cs="Arial"/>
                      <w:sz w:val="20"/>
                      <w:szCs w:val="20"/>
                    </w:rPr>
                    <w:t xml:space="preserve">For each new lot of reagent </w:t>
                  </w:r>
                </w:p>
                <w:p w14:paraId="663E7812" w14:textId="751AE53B" w:rsidR="00CA70F6" w:rsidRPr="00CA70F6" w:rsidRDefault="00CA70F6" w:rsidP="00CA70F6">
                  <w:pPr>
                    <w:pStyle w:val="Pa10"/>
                    <w:rPr>
                      <w:rFonts w:ascii="Arial" w:hAnsi="Arial" w:cs="Arial"/>
                      <w:sz w:val="20"/>
                      <w:szCs w:val="20"/>
                    </w:rPr>
                  </w:pPr>
                  <w:r>
                    <w:rPr>
                      <w:rFonts w:ascii="Arial" w:hAnsi="Arial" w:cs="Arial"/>
                      <w:sz w:val="20"/>
                      <w:szCs w:val="20"/>
                    </w:rPr>
                    <w:t xml:space="preserve">• </w:t>
                  </w:r>
                  <w:r w:rsidRPr="00CA70F6">
                    <w:rPr>
                      <w:rFonts w:ascii="Arial" w:hAnsi="Arial" w:cs="Arial"/>
                      <w:sz w:val="20"/>
                      <w:szCs w:val="20"/>
                    </w:rPr>
                    <w:t>After major maintenance or service, if indicated by quality control results</w:t>
                  </w:r>
                </w:p>
                <w:p w14:paraId="5CCFFFE6" w14:textId="57EB09DC" w:rsidR="00F50200" w:rsidRPr="00CA70F6" w:rsidRDefault="00CA70F6" w:rsidP="00CA70F6">
                  <w:pPr>
                    <w:pStyle w:val="Pa10"/>
                    <w:rPr>
                      <w:rFonts w:ascii="Arial" w:hAnsi="Arial" w:cs="Arial"/>
                      <w:sz w:val="20"/>
                      <w:szCs w:val="20"/>
                    </w:rPr>
                  </w:pPr>
                  <w:r>
                    <w:rPr>
                      <w:rFonts w:ascii="Arial" w:hAnsi="Arial" w:cs="Arial"/>
                      <w:sz w:val="20"/>
                      <w:szCs w:val="20"/>
                    </w:rPr>
                    <w:t xml:space="preserve">• </w:t>
                  </w:r>
                  <w:r w:rsidRPr="00CA70F6">
                    <w:rPr>
                      <w:rFonts w:ascii="Arial" w:hAnsi="Arial" w:cs="Arial"/>
                      <w:sz w:val="20"/>
                      <w:szCs w:val="20"/>
                    </w:rPr>
                    <w:t>As indicated in laboratory quality control procedures</w:t>
                  </w:r>
                </w:p>
              </w:tc>
            </w:tr>
            <w:tr w:rsidR="00F50200" w:rsidRPr="00DC7421" w14:paraId="5CCFFFEA" w14:textId="77777777" w:rsidTr="00A166AA">
              <w:trPr>
                <w:trHeight w:val="395"/>
              </w:trPr>
              <w:tc>
                <w:tcPr>
                  <w:tcW w:w="2947" w:type="dxa"/>
                  <w:tcBorders>
                    <w:bottom w:val="single" w:sz="4" w:space="0" w:color="auto"/>
                  </w:tcBorders>
                </w:tcPr>
                <w:p w14:paraId="5CCFFFE8" w14:textId="77777777"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14:paraId="5CCFFFE9" w14:textId="6EE6285E" w:rsidR="00F50200" w:rsidRPr="00CA70F6" w:rsidRDefault="009475C8" w:rsidP="00CA70F6">
                  <w:pPr>
                    <w:autoSpaceDE w:val="0"/>
                    <w:autoSpaceDN w:val="0"/>
                    <w:adjustRightInd w:val="0"/>
                    <w:rPr>
                      <w:rFonts w:cs="Arial"/>
                      <w:szCs w:val="20"/>
                    </w:rPr>
                  </w:pPr>
                  <w:r w:rsidRPr="00CA70F6">
                    <w:rPr>
                      <w:rFonts w:cs="Arial"/>
                      <w:szCs w:val="20"/>
                    </w:rPr>
                    <w:t xml:space="preserve">AMR is verified </w:t>
                  </w:r>
                  <w:r w:rsidR="00CA70F6">
                    <w:rPr>
                      <w:rFonts w:cs="Arial"/>
                      <w:szCs w:val="20"/>
                    </w:rPr>
                    <w:t>with every calibration and at least every 6 months</w:t>
                  </w:r>
                </w:p>
              </w:tc>
            </w:tr>
          </w:tbl>
          <w:p w14:paraId="3120C2A7" w14:textId="11D70783" w:rsidR="00A062E1" w:rsidRPr="00DC7421" w:rsidRDefault="00A062E1" w:rsidP="00A062E1">
            <w:pPr>
              <w:pStyle w:val="Pa15"/>
              <w:rPr>
                <w:rFonts w:ascii="Arial" w:hAnsi="Arial" w:cs="Arial"/>
                <w:b/>
                <w:bCs/>
                <w:sz w:val="20"/>
                <w:szCs w:val="20"/>
              </w:rPr>
            </w:pPr>
          </w:p>
          <w:p w14:paraId="5CCFFFEB" w14:textId="77777777" w:rsidR="00F50200" w:rsidRPr="00DC7421" w:rsidRDefault="00F50200" w:rsidP="00A32948">
            <w:pPr>
              <w:rPr>
                <w:rFonts w:cs="Arial"/>
                <w:szCs w:val="20"/>
              </w:rPr>
            </w:pPr>
          </w:p>
        </w:tc>
      </w:tr>
      <w:tr w:rsidR="00E3253B" w14:paraId="5CD00004" w14:textId="77777777" w:rsidTr="007132A9">
        <w:trPr>
          <w:tblHeader/>
        </w:trPr>
        <w:tc>
          <w:tcPr>
            <w:tcW w:w="1800" w:type="dxa"/>
            <w:tcBorders>
              <w:top w:val="nil"/>
              <w:left w:val="nil"/>
              <w:bottom w:val="nil"/>
              <w:right w:val="nil"/>
            </w:tcBorders>
          </w:tcPr>
          <w:p w14:paraId="5CCFFFED" w14:textId="77777777" w:rsidR="00E3253B" w:rsidRPr="00C00B65" w:rsidRDefault="00E3253B">
            <w:pPr>
              <w:ind w:right="-108"/>
              <w:rPr>
                <w:rFonts w:cs="Arial"/>
                <w:b/>
                <w:bCs/>
                <w:color w:val="0000FF"/>
                <w:szCs w:val="20"/>
              </w:rPr>
            </w:pPr>
            <w:r w:rsidRPr="00C00B65">
              <w:rPr>
                <w:rFonts w:cs="Arial"/>
                <w:b/>
                <w:bCs/>
                <w:color w:val="0000FF"/>
                <w:szCs w:val="20"/>
              </w:rPr>
              <w:t>Quality Control</w:t>
            </w:r>
          </w:p>
        </w:tc>
        <w:tc>
          <w:tcPr>
            <w:tcW w:w="9360" w:type="dxa"/>
            <w:gridSpan w:val="4"/>
            <w:tcBorders>
              <w:top w:val="single" w:sz="18" w:space="0" w:color="BFBFBF"/>
              <w:left w:val="nil"/>
              <w:bottom w:val="single" w:sz="18" w:space="0" w:color="BFBFBF"/>
              <w:right w:val="nil"/>
            </w:tcBorders>
            <w:vAlign w:val="center"/>
          </w:tcPr>
          <w:p w14:paraId="5CCFFFEE" w14:textId="75CBF6BF" w:rsidR="002F5C68" w:rsidRPr="00DC7421" w:rsidRDefault="00CA70F6" w:rsidP="008D3369">
            <w:pPr>
              <w:pStyle w:val="Header"/>
              <w:tabs>
                <w:tab w:val="clear" w:pos="4320"/>
                <w:tab w:val="clear" w:pos="8640"/>
              </w:tabs>
              <w:jc w:val="both"/>
              <w:rPr>
                <w:rFonts w:cs="Arial"/>
                <w:b/>
                <w:bCs/>
                <w:color w:val="5F497A"/>
                <w:szCs w:val="20"/>
              </w:rPr>
            </w:pPr>
            <w:r>
              <w:rPr>
                <w:rFonts w:cs="Arial"/>
                <w:b/>
                <w:bCs/>
                <w:color w:val="7030A0"/>
                <w:szCs w:val="20"/>
              </w:rPr>
              <w:t>Both analyzers:</w:t>
            </w:r>
          </w:p>
          <w:p w14:paraId="42150B83" w14:textId="1D659AF8" w:rsidR="001253B6" w:rsidRPr="00CA70F6" w:rsidRDefault="001253B6" w:rsidP="001253B6">
            <w:pPr>
              <w:autoSpaceDE w:val="0"/>
              <w:autoSpaceDN w:val="0"/>
              <w:adjustRightInd w:val="0"/>
              <w:jc w:val="both"/>
              <w:rPr>
                <w:rFonts w:cs="Arial"/>
                <w:b/>
                <w:szCs w:val="20"/>
              </w:rPr>
            </w:pPr>
            <w:r w:rsidRPr="00E47DE5">
              <w:rPr>
                <w:rFonts w:cs="Arial"/>
                <w:b/>
                <w:szCs w:val="20"/>
              </w:rPr>
              <w:t>Q</w:t>
            </w:r>
            <w:r>
              <w:rPr>
                <w:rFonts w:cs="Arial"/>
                <w:b/>
                <w:szCs w:val="20"/>
              </w:rPr>
              <w:t>C</w:t>
            </w:r>
            <w:r w:rsidRPr="00E47DE5">
              <w:rPr>
                <w:rFonts w:cs="Arial"/>
                <w:b/>
                <w:szCs w:val="20"/>
              </w:rPr>
              <w:t xml:space="preserve"> Material:</w:t>
            </w:r>
            <w:r>
              <w:rPr>
                <w:rFonts w:cs="Arial"/>
                <w:b/>
                <w:szCs w:val="20"/>
              </w:rPr>
              <w:t xml:space="preserve"> </w:t>
            </w:r>
            <w:r w:rsidRPr="00CA70F6">
              <w:rPr>
                <w:rFonts w:cs="Arial"/>
                <w:b/>
                <w:szCs w:val="20"/>
              </w:rPr>
              <w:t xml:space="preserve">Bio-Rad </w:t>
            </w:r>
            <w:proofErr w:type="spellStart"/>
            <w:r>
              <w:rPr>
                <w:rFonts w:cs="Arial"/>
                <w:b/>
                <w:szCs w:val="20"/>
              </w:rPr>
              <w:t>Liquicheck</w:t>
            </w:r>
            <w:proofErr w:type="spellEnd"/>
            <w:r w:rsidRPr="00CA70F6">
              <w:rPr>
                <w:rFonts w:cs="Arial"/>
                <w:b/>
                <w:szCs w:val="20"/>
              </w:rPr>
              <w:t xml:space="preserve"> Specialty Immunoassay Levels 1,</w:t>
            </w:r>
            <w:r>
              <w:rPr>
                <w:rFonts w:cs="Arial"/>
                <w:b/>
                <w:szCs w:val="20"/>
              </w:rPr>
              <w:t xml:space="preserve"> </w:t>
            </w:r>
            <w:r w:rsidRPr="00CA70F6">
              <w:rPr>
                <w:rFonts w:cs="Arial"/>
                <w:b/>
                <w:szCs w:val="20"/>
              </w:rPr>
              <w:t>2 and 3</w:t>
            </w:r>
          </w:p>
          <w:p w14:paraId="672732C5" w14:textId="77777777" w:rsidR="001253B6" w:rsidRPr="00CA70F6" w:rsidRDefault="001253B6" w:rsidP="001253B6">
            <w:pPr>
              <w:autoSpaceDE w:val="0"/>
              <w:autoSpaceDN w:val="0"/>
              <w:adjustRightInd w:val="0"/>
              <w:jc w:val="both"/>
              <w:rPr>
                <w:rFonts w:cs="Arial"/>
                <w:szCs w:val="20"/>
              </w:rPr>
            </w:pPr>
            <w:r w:rsidRPr="00CA70F6">
              <w:rPr>
                <w:rFonts w:cs="Arial"/>
                <w:b/>
                <w:szCs w:val="20"/>
              </w:rPr>
              <w:t xml:space="preserve">Frequency: </w:t>
            </w:r>
            <w:r w:rsidRPr="00CA70F6">
              <w:rPr>
                <w:rFonts w:cs="Arial"/>
                <w:szCs w:val="20"/>
              </w:rPr>
              <w:t>Three levels each day of use.</w:t>
            </w:r>
          </w:p>
          <w:p w14:paraId="046431BE" w14:textId="0B1ABA2B" w:rsidR="001253B6" w:rsidRPr="00CA70F6" w:rsidRDefault="001253B6" w:rsidP="001253B6">
            <w:pPr>
              <w:autoSpaceDE w:val="0"/>
              <w:autoSpaceDN w:val="0"/>
              <w:adjustRightInd w:val="0"/>
              <w:jc w:val="both"/>
              <w:rPr>
                <w:rFonts w:cs="Arial"/>
                <w:b/>
                <w:szCs w:val="20"/>
              </w:rPr>
            </w:pPr>
            <w:r w:rsidRPr="00CA70F6">
              <w:rPr>
                <w:rFonts w:cs="Arial"/>
                <w:b/>
                <w:szCs w:val="20"/>
              </w:rPr>
              <w:t xml:space="preserve">Stability: </w:t>
            </w:r>
            <w:r w:rsidRPr="008E0E52">
              <w:rPr>
                <w:rFonts w:cs="Arial"/>
                <w:bCs/>
                <w:szCs w:val="20"/>
              </w:rPr>
              <w:t xml:space="preserve">Stable until the expiration date when </w:t>
            </w:r>
            <w:r>
              <w:rPr>
                <w:rFonts w:cs="Arial"/>
                <w:bCs/>
                <w:szCs w:val="20"/>
              </w:rPr>
              <w:t>stored frozen between -20 and -7</w:t>
            </w:r>
            <w:r w:rsidRPr="008E0E52">
              <w:rPr>
                <w:rFonts w:cs="Arial"/>
                <w:bCs/>
                <w:szCs w:val="20"/>
              </w:rPr>
              <w:t xml:space="preserve">0°C.  Once thawed, opened, and stored tightly capped at 2 to 8°C, this product is stable for </w:t>
            </w:r>
            <w:r>
              <w:rPr>
                <w:rFonts w:cs="Arial"/>
                <w:bCs/>
                <w:szCs w:val="20"/>
              </w:rPr>
              <w:t>7 days.</w:t>
            </w:r>
          </w:p>
          <w:p w14:paraId="10B666B1" w14:textId="19575767" w:rsidR="001253B6" w:rsidRPr="00CA70F6" w:rsidRDefault="001253B6" w:rsidP="001253B6">
            <w:pPr>
              <w:autoSpaceDE w:val="0"/>
              <w:autoSpaceDN w:val="0"/>
              <w:adjustRightInd w:val="0"/>
              <w:jc w:val="both"/>
              <w:rPr>
                <w:rFonts w:cs="Arial"/>
                <w:b/>
                <w:szCs w:val="20"/>
              </w:rPr>
            </w:pPr>
            <w:r w:rsidRPr="00CA70F6">
              <w:rPr>
                <w:rFonts w:cs="Arial"/>
                <w:b/>
                <w:szCs w:val="20"/>
              </w:rPr>
              <w:t xml:space="preserve">Preparation: </w:t>
            </w:r>
            <w:r>
              <w:rPr>
                <w:rFonts w:cs="Arial"/>
                <w:szCs w:val="20"/>
              </w:rPr>
              <w:t>Thaw at room temperature until completely thawed, 45-60 minutes. Mix by</w:t>
            </w:r>
            <w:r w:rsidR="004920BD">
              <w:rPr>
                <w:rFonts w:cs="Arial"/>
                <w:szCs w:val="20"/>
              </w:rPr>
              <w:t xml:space="preserve"> gentle</w:t>
            </w:r>
            <w:r>
              <w:rPr>
                <w:rFonts w:cs="Arial"/>
                <w:szCs w:val="20"/>
              </w:rPr>
              <w:t xml:space="preserve"> inversion 10 times before opening. </w:t>
            </w:r>
            <w:r w:rsidRPr="00CA70F6">
              <w:rPr>
                <w:rFonts w:cs="Arial"/>
                <w:szCs w:val="20"/>
              </w:rPr>
              <w:t xml:space="preserve">  </w:t>
            </w:r>
          </w:p>
          <w:p w14:paraId="5A5C7A7A" w14:textId="77777777" w:rsidR="0002771B" w:rsidRPr="00DC7421" w:rsidRDefault="0002771B" w:rsidP="008D3369">
            <w:pPr>
              <w:autoSpaceDE w:val="0"/>
              <w:autoSpaceDN w:val="0"/>
              <w:adjustRightInd w:val="0"/>
              <w:rPr>
                <w:rFonts w:cs="Arial"/>
                <w:szCs w:val="20"/>
              </w:rPr>
            </w:pPr>
          </w:p>
          <w:p w14:paraId="5CCFFFFC" w14:textId="77777777"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14:paraId="5CD00000" w14:textId="77777777"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14:paraId="5CD00001" w14:textId="04E7BB06"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In the even</w:t>
            </w:r>
            <w:r w:rsidR="00342047">
              <w:rPr>
                <w:rFonts w:cs="Arial"/>
                <w:szCs w:val="20"/>
              </w:rPr>
              <w:t>t of a QC failure, refer to the Quality Control review procedures located in the Quality section of the Chemistry SOP.</w:t>
            </w:r>
          </w:p>
          <w:p w14:paraId="5CD00002" w14:textId="77777777"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14:paraId="5CD00003" w14:textId="77777777" w:rsidR="00DC7421" w:rsidRPr="00DC7421" w:rsidRDefault="00DC7421" w:rsidP="00DC7421">
            <w:pPr>
              <w:autoSpaceDE w:val="0"/>
              <w:autoSpaceDN w:val="0"/>
              <w:adjustRightInd w:val="0"/>
              <w:ind w:left="360"/>
              <w:jc w:val="both"/>
              <w:rPr>
                <w:rFonts w:cs="Arial"/>
                <w:color w:val="000000"/>
                <w:szCs w:val="20"/>
              </w:rPr>
            </w:pPr>
          </w:p>
        </w:tc>
      </w:tr>
      <w:tr w:rsidR="00E3253B" w14:paraId="5CD00012" w14:textId="77777777" w:rsidTr="007132A9">
        <w:trPr>
          <w:tblHeader/>
        </w:trPr>
        <w:tc>
          <w:tcPr>
            <w:tcW w:w="1800" w:type="dxa"/>
            <w:tcBorders>
              <w:top w:val="nil"/>
              <w:left w:val="nil"/>
              <w:bottom w:val="nil"/>
              <w:right w:val="nil"/>
            </w:tcBorders>
          </w:tcPr>
          <w:p w14:paraId="5CD00005" w14:textId="77777777" w:rsidR="00E3253B" w:rsidRPr="00C00B65" w:rsidRDefault="00E3253B" w:rsidP="0039587D">
            <w:pPr>
              <w:rPr>
                <w:rFonts w:cs="Arial"/>
                <w:b/>
                <w:bCs/>
                <w:color w:val="0000FF"/>
                <w:szCs w:val="20"/>
              </w:rPr>
            </w:pPr>
            <w:r w:rsidRPr="00C00B65">
              <w:rPr>
                <w:rFonts w:cs="Arial"/>
                <w:b/>
                <w:bCs/>
                <w:color w:val="0000FF"/>
                <w:szCs w:val="20"/>
              </w:rPr>
              <w:t>Interferences</w:t>
            </w:r>
          </w:p>
        </w:tc>
        <w:tc>
          <w:tcPr>
            <w:tcW w:w="9360" w:type="dxa"/>
            <w:gridSpan w:val="4"/>
            <w:tcBorders>
              <w:top w:val="single" w:sz="18" w:space="0" w:color="BFBFBF"/>
              <w:left w:val="nil"/>
              <w:bottom w:val="single" w:sz="18" w:space="0" w:color="BFBFBF"/>
              <w:right w:val="nil"/>
            </w:tcBorders>
          </w:tcPr>
          <w:p w14:paraId="691F55F9" w14:textId="74001918" w:rsidR="00B44A36" w:rsidRDefault="00320282" w:rsidP="00320282">
            <w:pPr>
              <w:autoSpaceDE w:val="0"/>
              <w:autoSpaceDN w:val="0"/>
              <w:adjustRightInd w:val="0"/>
              <w:jc w:val="both"/>
              <w:rPr>
                <w:rFonts w:cs="Arial"/>
                <w:szCs w:val="20"/>
              </w:rPr>
            </w:pPr>
            <w:r>
              <w:rPr>
                <w:rFonts w:cs="Arial"/>
                <w:szCs w:val="20"/>
              </w:rPr>
              <w:t>Potential interference in the ARCHITECT Intact PTH assay from hemoglobin, bilirubin, triglycerides, and protein at the levels indicated below was demonstrated by a study based on guidance from the NCCLS Protocol EP7A.  There was no significant interference observed (&gt;10%) at the following levels:</w:t>
            </w:r>
          </w:p>
          <w:p w14:paraId="7092C8D3" w14:textId="77777777" w:rsidR="00320282" w:rsidRDefault="00320282" w:rsidP="00320282">
            <w:pPr>
              <w:autoSpaceDE w:val="0"/>
              <w:autoSpaceDN w:val="0"/>
              <w:adjustRightInd w:val="0"/>
              <w:jc w:val="both"/>
              <w:rPr>
                <w:rFonts w:cs="Arial"/>
                <w:szCs w:val="20"/>
              </w:rPr>
            </w:pPr>
          </w:p>
          <w:p w14:paraId="0F3A59DD" w14:textId="77777777" w:rsidR="00320282" w:rsidRDefault="00320282" w:rsidP="00320282">
            <w:pPr>
              <w:autoSpaceDE w:val="0"/>
              <w:autoSpaceDN w:val="0"/>
              <w:adjustRightInd w:val="0"/>
              <w:jc w:val="both"/>
              <w:rPr>
                <w:rFonts w:cs="Arial"/>
                <w:szCs w:val="20"/>
              </w:rPr>
            </w:pPr>
            <w:r>
              <w:rPr>
                <w:rFonts w:cs="Arial"/>
                <w:szCs w:val="20"/>
              </w:rPr>
              <w:t>Hemoglobin 500 mg/dL</w:t>
            </w:r>
          </w:p>
          <w:p w14:paraId="4C9625C9" w14:textId="77777777" w:rsidR="00320282" w:rsidRDefault="00320282" w:rsidP="00320282">
            <w:pPr>
              <w:autoSpaceDE w:val="0"/>
              <w:autoSpaceDN w:val="0"/>
              <w:adjustRightInd w:val="0"/>
              <w:jc w:val="both"/>
              <w:rPr>
                <w:rFonts w:cs="Arial"/>
                <w:szCs w:val="20"/>
              </w:rPr>
            </w:pPr>
            <w:r>
              <w:rPr>
                <w:rFonts w:cs="Arial"/>
                <w:szCs w:val="20"/>
              </w:rPr>
              <w:t>Bilirubin        20 mg/dL</w:t>
            </w:r>
          </w:p>
          <w:p w14:paraId="73409266" w14:textId="77777777" w:rsidR="00320282" w:rsidRDefault="00320282" w:rsidP="00320282">
            <w:pPr>
              <w:autoSpaceDE w:val="0"/>
              <w:autoSpaceDN w:val="0"/>
              <w:adjustRightInd w:val="0"/>
              <w:jc w:val="both"/>
              <w:rPr>
                <w:rFonts w:cs="Arial"/>
                <w:szCs w:val="20"/>
              </w:rPr>
            </w:pPr>
            <w:r>
              <w:rPr>
                <w:rFonts w:cs="Arial"/>
                <w:szCs w:val="20"/>
              </w:rPr>
              <w:t>Triglycerides   5000 mg/dL</w:t>
            </w:r>
          </w:p>
          <w:p w14:paraId="3C37792D" w14:textId="77777777" w:rsidR="00320282" w:rsidRDefault="00320282" w:rsidP="00320282">
            <w:pPr>
              <w:autoSpaceDE w:val="0"/>
              <w:autoSpaceDN w:val="0"/>
              <w:adjustRightInd w:val="0"/>
              <w:jc w:val="both"/>
              <w:rPr>
                <w:rFonts w:cs="Arial"/>
                <w:szCs w:val="20"/>
              </w:rPr>
            </w:pPr>
            <w:r>
              <w:rPr>
                <w:rFonts w:cs="Arial"/>
                <w:szCs w:val="20"/>
              </w:rPr>
              <w:t>Protein Low     4 g/dL</w:t>
            </w:r>
          </w:p>
          <w:p w14:paraId="5B82E92B" w14:textId="0D080256" w:rsidR="00320282" w:rsidRDefault="00320282" w:rsidP="00320282">
            <w:pPr>
              <w:autoSpaceDE w:val="0"/>
              <w:autoSpaceDN w:val="0"/>
              <w:adjustRightInd w:val="0"/>
              <w:jc w:val="both"/>
              <w:rPr>
                <w:rFonts w:cs="Arial"/>
                <w:szCs w:val="20"/>
              </w:rPr>
            </w:pPr>
            <w:r>
              <w:rPr>
                <w:rFonts w:cs="Arial"/>
                <w:szCs w:val="20"/>
              </w:rPr>
              <w:t>Protein High    9.5 g/dL</w:t>
            </w:r>
          </w:p>
          <w:p w14:paraId="5CD00011" w14:textId="4A81D656" w:rsidR="00320282" w:rsidRPr="00DC7421" w:rsidRDefault="00320282" w:rsidP="00320282">
            <w:pPr>
              <w:autoSpaceDE w:val="0"/>
              <w:autoSpaceDN w:val="0"/>
              <w:adjustRightInd w:val="0"/>
              <w:jc w:val="both"/>
              <w:rPr>
                <w:rFonts w:cs="Arial"/>
                <w:szCs w:val="20"/>
              </w:rPr>
            </w:pPr>
          </w:p>
        </w:tc>
      </w:tr>
      <w:tr w:rsidR="00E3253B" w14:paraId="5CD00019" w14:textId="77777777" w:rsidTr="00320282">
        <w:trPr>
          <w:trHeight w:val="1503"/>
          <w:tblHeader/>
        </w:trPr>
        <w:tc>
          <w:tcPr>
            <w:tcW w:w="1800" w:type="dxa"/>
            <w:tcBorders>
              <w:top w:val="nil"/>
              <w:left w:val="nil"/>
              <w:bottom w:val="nil"/>
              <w:right w:val="nil"/>
            </w:tcBorders>
          </w:tcPr>
          <w:p w14:paraId="5CD00016" w14:textId="5850EA9E" w:rsidR="00E3253B" w:rsidRDefault="00250A09" w:rsidP="0039587D">
            <w:pPr>
              <w:rPr>
                <w:rFonts w:cs="Arial"/>
                <w:b/>
                <w:bCs/>
                <w:color w:val="0000FF"/>
                <w:szCs w:val="20"/>
              </w:rPr>
            </w:pPr>
            <w:r>
              <w:rPr>
                <w:rFonts w:cs="Arial"/>
                <w:b/>
                <w:bCs/>
                <w:color w:val="0000FF"/>
                <w:szCs w:val="20"/>
              </w:rPr>
              <w:t>Reference Intervals</w:t>
            </w:r>
          </w:p>
          <w:p w14:paraId="5CD00017" w14:textId="77777777" w:rsidR="0039587D" w:rsidRPr="00C00B65" w:rsidRDefault="0039587D" w:rsidP="0039587D">
            <w:pPr>
              <w:rPr>
                <w:rFonts w:cs="Arial"/>
                <w:b/>
                <w:bCs/>
                <w:color w:val="0000FF"/>
                <w:szCs w:val="20"/>
              </w:rPr>
            </w:pPr>
          </w:p>
        </w:tc>
        <w:tc>
          <w:tcPr>
            <w:tcW w:w="9360" w:type="dxa"/>
            <w:gridSpan w:val="4"/>
            <w:tcBorders>
              <w:top w:val="nil"/>
              <w:left w:val="nil"/>
              <w:bottom w:val="single" w:sz="18" w:space="0" w:color="BFBFBF"/>
              <w:right w:val="nil"/>
            </w:tcBorders>
          </w:tcPr>
          <w:tbl>
            <w:tblPr>
              <w:tblStyle w:val="TableGrid"/>
              <w:tblW w:w="0" w:type="auto"/>
              <w:tblLayout w:type="fixed"/>
              <w:tblLook w:val="04A0" w:firstRow="1" w:lastRow="0" w:firstColumn="1" w:lastColumn="0" w:noHBand="0" w:noVBand="1"/>
            </w:tblPr>
            <w:tblGrid>
              <w:gridCol w:w="2893"/>
              <w:gridCol w:w="2893"/>
              <w:gridCol w:w="2893"/>
            </w:tblGrid>
            <w:tr w:rsidR="00320282" w14:paraId="32CEDBEB" w14:textId="77777777" w:rsidTr="004F2BB4">
              <w:tc>
                <w:tcPr>
                  <w:tcW w:w="2893" w:type="dxa"/>
                </w:tcPr>
                <w:p w14:paraId="65CDCA01" w14:textId="77777777" w:rsidR="00320282" w:rsidRPr="001F2FF6" w:rsidRDefault="00320282" w:rsidP="00320282">
                  <w:pPr>
                    <w:rPr>
                      <w:rFonts w:cs="Arial"/>
                      <w:b/>
                    </w:rPr>
                  </w:pPr>
                  <w:r w:rsidRPr="001F2FF6">
                    <w:rPr>
                      <w:rFonts w:cs="Arial"/>
                      <w:b/>
                    </w:rPr>
                    <w:t>Age</w:t>
                  </w:r>
                </w:p>
              </w:tc>
              <w:tc>
                <w:tcPr>
                  <w:tcW w:w="2893" w:type="dxa"/>
                </w:tcPr>
                <w:p w14:paraId="22CB795B" w14:textId="77777777" w:rsidR="00320282" w:rsidRPr="001F2FF6" w:rsidRDefault="00320282" w:rsidP="00320282">
                  <w:pPr>
                    <w:rPr>
                      <w:rFonts w:cs="Arial"/>
                      <w:b/>
                    </w:rPr>
                  </w:pPr>
                  <w:r w:rsidRPr="001F2FF6">
                    <w:rPr>
                      <w:rFonts w:cs="Arial"/>
                      <w:b/>
                    </w:rPr>
                    <w:t>Lower Limit</w:t>
                  </w:r>
                </w:p>
              </w:tc>
              <w:tc>
                <w:tcPr>
                  <w:tcW w:w="2893" w:type="dxa"/>
                </w:tcPr>
                <w:p w14:paraId="72FB6E99" w14:textId="77777777" w:rsidR="00320282" w:rsidRPr="001F2FF6" w:rsidRDefault="00320282" w:rsidP="00320282">
                  <w:pPr>
                    <w:rPr>
                      <w:rFonts w:cs="Arial"/>
                      <w:b/>
                    </w:rPr>
                  </w:pPr>
                  <w:r w:rsidRPr="001F2FF6">
                    <w:rPr>
                      <w:rFonts w:cs="Arial"/>
                      <w:b/>
                    </w:rPr>
                    <w:t>Upper Limit</w:t>
                  </w:r>
                </w:p>
              </w:tc>
            </w:tr>
            <w:tr w:rsidR="00320282" w14:paraId="5D226F74" w14:textId="77777777" w:rsidTr="004F2BB4">
              <w:tc>
                <w:tcPr>
                  <w:tcW w:w="2893" w:type="dxa"/>
                </w:tcPr>
                <w:p w14:paraId="44D7956C" w14:textId="77777777" w:rsidR="00320282" w:rsidRDefault="00320282" w:rsidP="00320282">
                  <w:pPr>
                    <w:jc w:val="both"/>
                    <w:rPr>
                      <w:rFonts w:cs="Arial"/>
                    </w:rPr>
                  </w:pPr>
                  <w:r>
                    <w:rPr>
                      <w:rFonts w:cs="Arial"/>
                    </w:rPr>
                    <w:t>Birth to &lt; 1 year</w:t>
                  </w:r>
                </w:p>
              </w:tc>
              <w:tc>
                <w:tcPr>
                  <w:tcW w:w="2893" w:type="dxa"/>
                </w:tcPr>
                <w:p w14:paraId="1D8C1BEA" w14:textId="77777777" w:rsidR="00320282" w:rsidRDefault="00320282" w:rsidP="00320282">
                  <w:pPr>
                    <w:jc w:val="both"/>
                    <w:rPr>
                      <w:rFonts w:cs="Arial"/>
                    </w:rPr>
                  </w:pPr>
                  <w:r>
                    <w:rPr>
                      <w:rFonts w:cs="Arial"/>
                    </w:rPr>
                    <w:t>6 pg/mL</w:t>
                  </w:r>
                </w:p>
              </w:tc>
              <w:tc>
                <w:tcPr>
                  <w:tcW w:w="2893" w:type="dxa"/>
                </w:tcPr>
                <w:p w14:paraId="2317A505" w14:textId="77777777" w:rsidR="00320282" w:rsidRDefault="00320282" w:rsidP="00320282">
                  <w:pPr>
                    <w:jc w:val="both"/>
                    <w:rPr>
                      <w:rFonts w:cs="Arial"/>
                    </w:rPr>
                  </w:pPr>
                  <w:r>
                    <w:rPr>
                      <w:rFonts w:cs="Arial"/>
                    </w:rPr>
                    <w:t>88 pg/mL</w:t>
                  </w:r>
                </w:p>
              </w:tc>
            </w:tr>
            <w:tr w:rsidR="00320282" w14:paraId="123FB6E9" w14:textId="77777777" w:rsidTr="004F2BB4">
              <w:tc>
                <w:tcPr>
                  <w:tcW w:w="2893" w:type="dxa"/>
                </w:tcPr>
                <w:p w14:paraId="0D1AAFA7" w14:textId="77777777" w:rsidR="00320282" w:rsidRDefault="00320282" w:rsidP="00320282">
                  <w:pPr>
                    <w:jc w:val="both"/>
                    <w:rPr>
                      <w:rFonts w:cs="Arial"/>
                    </w:rPr>
                  </w:pPr>
                  <w:r>
                    <w:rPr>
                      <w:rFonts w:cs="Arial"/>
                    </w:rPr>
                    <w:t>1 year to &lt; 9 years</w:t>
                  </w:r>
                </w:p>
              </w:tc>
              <w:tc>
                <w:tcPr>
                  <w:tcW w:w="2893" w:type="dxa"/>
                </w:tcPr>
                <w:p w14:paraId="53D14C78" w14:textId="77777777" w:rsidR="00320282" w:rsidRDefault="00320282" w:rsidP="00320282">
                  <w:pPr>
                    <w:jc w:val="both"/>
                    <w:rPr>
                      <w:rFonts w:cs="Arial"/>
                    </w:rPr>
                  </w:pPr>
                  <w:r>
                    <w:rPr>
                      <w:rFonts w:cs="Arial"/>
                    </w:rPr>
                    <w:t>15 pg/mL</w:t>
                  </w:r>
                </w:p>
              </w:tc>
              <w:tc>
                <w:tcPr>
                  <w:tcW w:w="2893" w:type="dxa"/>
                </w:tcPr>
                <w:p w14:paraId="1F6F7748" w14:textId="77777777" w:rsidR="00320282" w:rsidRDefault="00320282" w:rsidP="00320282">
                  <w:pPr>
                    <w:jc w:val="both"/>
                    <w:rPr>
                      <w:rFonts w:cs="Arial"/>
                    </w:rPr>
                  </w:pPr>
                  <w:r>
                    <w:rPr>
                      <w:rFonts w:cs="Arial"/>
                    </w:rPr>
                    <w:t>65 pg/mL</w:t>
                  </w:r>
                </w:p>
              </w:tc>
            </w:tr>
            <w:tr w:rsidR="00320282" w14:paraId="266FDF78" w14:textId="77777777" w:rsidTr="004F2BB4">
              <w:tc>
                <w:tcPr>
                  <w:tcW w:w="2893" w:type="dxa"/>
                </w:tcPr>
                <w:p w14:paraId="3158D380" w14:textId="77777777" w:rsidR="00320282" w:rsidRDefault="00320282" w:rsidP="00320282">
                  <w:pPr>
                    <w:jc w:val="both"/>
                    <w:rPr>
                      <w:rFonts w:cs="Arial"/>
                    </w:rPr>
                  </w:pPr>
                  <w:r>
                    <w:rPr>
                      <w:rFonts w:cs="Arial"/>
                    </w:rPr>
                    <w:t>9 years to &lt;17 years</w:t>
                  </w:r>
                </w:p>
              </w:tc>
              <w:tc>
                <w:tcPr>
                  <w:tcW w:w="2893" w:type="dxa"/>
                </w:tcPr>
                <w:p w14:paraId="37B69A96" w14:textId="77777777" w:rsidR="00320282" w:rsidRDefault="00320282" w:rsidP="00320282">
                  <w:pPr>
                    <w:jc w:val="both"/>
                    <w:rPr>
                      <w:rFonts w:cs="Arial"/>
                    </w:rPr>
                  </w:pPr>
                  <w:r>
                    <w:rPr>
                      <w:rFonts w:cs="Arial"/>
                    </w:rPr>
                    <w:t>22 pg/mL</w:t>
                  </w:r>
                </w:p>
              </w:tc>
              <w:tc>
                <w:tcPr>
                  <w:tcW w:w="2893" w:type="dxa"/>
                </w:tcPr>
                <w:p w14:paraId="73553219" w14:textId="77777777" w:rsidR="00320282" w:rsidRDefault="00320282" w:rsidP="00320282">
                  <w:pPr>
                    <w:jc w:val="both"/>
                    <w:rPr>
                      <w:rFonts w:cs="Arial"/>
                    </w:rPr>
                  </w:pPr>
                  <w:r>
                    <w:rPr>
                      <w:rFonts w:cs="Arial"/>
                    </w:rPr>
                    <w:t>88 pg/mL</w:t>
                  </w:r>
                </w:p>
              </w:tc>
            </w:tr>
            <w:tr w:rsidR="00320282" w14:paraId="49DFECF5" w14:textId="77777777" w:rsidTr="004F2BB4">
              <w:tc>
                <w:tcPr>
                  <w:tcW w:w="2893" w:type="dxa"/>
                </w:tcPr>
                <w:p w14:paraId="2CDCD822" w14:textId="77777777" w:rsidR="00320282" w:rsidRDefault="00320282" w:rsidP="00320282">
                  <w:pPr>
                    <w:jc w:val="both"/>
                    <w:rPr>
                      <w:rFonts w:cs="Arial"/>
                    </w:rPr>
                  </w:pPr>
                  <w:r>
                    <w:rPr>
                      <w:rFonts w:cs="Arial"/>
                    </w:rPr>
                    <w:t>17 years to &lt; 19 years</w:t>
                  </w:r>
                </w:p>
              </w:tc>
              <w:tc>
                <w:tcPr>
                  <w:tcW w:w="2893" w:type="dxa"/>
                </w:tcPr>
                <w:p w14:paraId="2F5C6C84" w14:textId="77777777" w:rsidR="00320282" w:rsidRDefault="00320282" w:rsidP="00320282">
                  <w:pPr>
                    <w:jc w:val="both"/>
                    <w:rPr>
                      <w:rFonts w:cs="Arial"/>
                    </w:rPr>
                  </w:pPr>
                  <w:r>
                    <w:rPr>
                      <w:rFonts w:cs="Arial"/>
                    </w:rPr>
                    <w:t>15 pg/mL</w:t>
                  </w:r>
                </w:p>
              </w:tc>
              <w:tc>
                <w:tcPr>
                  <w:tcW w:w="2893" w:type="dxa"/>
                </w:tcPr>
                <w:p w14:paraId="07BBC778" w14:textId="77777777" w:rsidR="00320282" w:rsidRDefault="00320282" w:rsidP="00320282">
                  <w:pPr>
                    <w:jc w:val="both"/>
                    <w:rPr>
                      <w:rFonts w:cs="Arial"/>
                    </w:rPr>
                  </w:pPr>
                  <w:r>
                    <w:rPr>
                      <w:rFonts w:cs="Arial"/>
                    </w:rPr>
                    <w:t>65 pg/mL</w:t>
                  </w:r>
                </w:p>
              </w:tc>
            </w:tr>
          </w:tbl>
          <w:p w14:paraId="5CD00018" w14:textId="22C863BA" w:rsidR="0039587D" w:rsidRPr="00DC7421" w:rsidRDefault="0039587D" w:rsidP="0039587D">
            <w:pPr>
              <w:rPr>
                <w:rFonts w:cs="Arial"/>
                <w:szCs w:val="20"/>
              </w:rPr>
            </w:pPr>
          </w:p>
        </w:tc>
      </w:tr>
      <w:tr w:rsidR="00E3253B" w14:paraId="5CD0001C" w14:textId="77777777" w:rsidTr="007132A9">
        <w:trPr>
          <w:trHeight w:val="558"/>
          <w:tblHeader/>
        </w:trPr>
        <w:tc>
          <w:tcPr>
            <w:tcW w:w="1800" w:type="dxa"/>
            <w:tcBorders>
              <w:top w:val="nil"/>
              <w:left w:val="nil"/>
              <w:bottom w:val="nil"/>
              <w:right w:val="nil"/>
            </w:tcBorders>
          </w:tcPr>
          <w:p w14:paraId="5CD0001A" w14:textId="77777777" w:rsidR="00E3253B" w:rsidRPr="00C00B65" w:rsidRDefault="00E3253B" w:rsidP="0039587D">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14:paraId="5CD0001B" w14:textId="2E924CD8" w:rsidR="00E3253B" w:rsidRPr="00DC7421" w:rsidRDefault="00320282" w:rsidP="001C641E">
            <w:pPr>
              <w:pStyle w:val="Header"/>
              <w:tabs>
                <w:tab w:val="clear" w:pos="4320"/>
                <w:tab w:val="clear" w:pos="8640"/>
              </w:tabs>
              <w:rPr>
                <w:rFonts w:cs="Arial"/>
                <w:szCs w:val="20"/>
              </w:rPr>
            </w:pPr>
            <w:r>
              <w:rPr>
                <w:rFonts w:cs="Arial"/>
                <w:szCs w:val="20"/>
              </w:rPr>
              <w:t>None specified</w:t>
            </w:r>
          </w:p>
        </w:tc>
      </w:tr>
      <w:tr w:rsidR="00E3253B" w14:paraId="5CD00022" w14:textId="77777777" w:rsidTr="007132A9">
        <w:trPr>
          <w:tblHeader/>
        </w:trPr>
        <w:tc>
          <w:tcPr>
            <w:tcW w:w="1800" w:type="dxa"/>
            <w:tcBorders>
              <w:top w:val="nil"/>
              <w:left w:val="nil"/>
              <w:bottom w:val="nil"/>
              <w:right w:val="nil"/>
            </w:tcBorders>
          </w:tcPr>
          <w:p w14:paraId="5CD0001D" w14:textId="77777777" w:rsidR="00E3253B" w:rsidRPr="00C00B65" w:rsidRDefault="00E3253B" w:rsidP="0039587D">
            <w:pPr>
              <w:rPr>
                <w:rFonts w:cs="Arial"/>
                <w:b/>
                <w:bCs/>
                <w:color w:val="0000FF"/>
                <w:szCs w:val="20"/>
              </w:rPr>
            </w:pPr>
            <w:r w:rsidRPr="00C00B65">
              <w:rPr>
                <w:rFonts w:cs="Arial"/>
                <w:b/>
                <w:bCs/>
                <w:color w:val="0000FF"/>
                <w:szCs w:val="20"/>
              </w:rPr>
              <w:t>Limitations</w:t>
            </w:r>
          </w:p>
        </w:tc>
        <w:tc>
          <w:tcPr>
            <w:tcW w:w="9360" w:type="dxa"/>
            <w:gridSpan w:val="4"/>
            <w:tcBorders>
              <w:top w:val="single" w:sz="18" w:space="0" w:color="BFBFBF"/>
              <w:left w:val="nil"/>
              <w:bottom w:val="single" w:sz="18" w:space="0" w:color="BFBFBF"/>
              <w:right w:val="nil"/>
            </w:tcBorders>
          </w:tcPr>
          <w:p w14:paraId="5B3DBAAC" w14:textId="2574721E" w:rsidR="00320282" w:rsidRPr="00320282" w:rsidRDefault="00320282" w:rsidP="00320282">
            <w:pPr>
              <w:autoSpaceDE w:val="0"/>
              <w:autoSpaceDN w:val="0"/>
              <w:adjustRightInd w:val="0"/>
              <w:rPr>
                <w:rFonts w:cs="Arial"/>
                <w:bCs/>
                <w:szCs w:val="20"/>
              </w:rPr>
            </w:pPr>
            <w:r w:rsidRPr="00320282">
              <w:rPr>
                <w:rFonts w:cs="Arial"/>
                <w:bCs/>
                <w:szCs w:val="20"/>
              </w:rPr>
              <w:t>• Results should be used in con</w:t>
            </w:r>
            <w:r>
              <w:rPr>
                <w:rFonts w:cs="Arial"/>
                <w:bCs/>
                <w:szCs w:val="20"/>
              </w:rPr>
              <w:t xml:space="preserve">junction with other data; e.g., </w:t>
            </w:r>
            <w:r w:rsidRPr="00320282">
              <w:rPr>
                <w:rFonts w:cs="Arial"/>
                <w:bCs/>
                <w:szCs w:val="20"/>
              </w:rPr>
              <w:t>symptoms, results of other tests, and clinical impressions.</w:t>
            </w:r>
          </w:p>
          <w:p w14:paraId="2FEF68B9" w14:textId="3C93AC1A" w:rsidR="00320282" w:rsidRPr="00320282" w:rsidRDefault="00320282" w:rsidP="00320282">
            <w:pPr>
              <w:autoSpaceDE w:val="0"/>
              <w:autoSpaceDN w:val="0"/>
              <w:adjustRightInd w:val="0"/>
              <w:rPr>
                <w:rFonts w:cs="Arial"/>
                <w:bCs/>
                <w:szCs w:val="20"/>
              </w:rPr>
            </w:pPr>
            <w:r w:rsidRPr="00320282">
              <w:rPr>
                <w:rFonts w:cs="Arial"/>
                <w:bCs/>
                <w:szCs w:val="20"/>
              </w:rPr>
              <w:t>• If the Intact PTH results are incon</w:t>
            </w:r>
            <w:r>
              <w:rPr>
                <w:rFonts w:cs="Arial"/>
                <w:bCs/>
                <w:szCs w:val="20"/>
              </w:rPr>
              <w:t xml:space="preserve">sistent with clinical evidence, </w:t>
            </w:r>
            <w:r w:rsidRPr="00320282">
              <w:rPr>
                <w:rFonts w:cs="Arial"/>
                <w:bCs/>
                <w:szCs w:val="20"/>
              </w:rPr>
              <w:t>additional testing is suggested to confirm the result.</w:t>
            </w:r>
          </w:p>
          <w:p w14:paraId="44C1BD2E" w14:textId="73DFBB3F" w:rsidR="00320282" w:rsidRPr="00320282" w:rsidRDefault="00320282" w:rsidP="00320282">
            <w:pPr>
              <w:autoSpaceDE w:val="0"/>
              <w:autoSpaceDN w:val="0"/>
              <w:adjustRightInd w:val="0"/>
              <w:rPr>
                <w:rFonts w:cs="Arial"/>
                <w:bCs/>
                <w:szCs w:val="20"/>
              </w:rPr>
            </w:pPr>
            <w:r w:rsidRPr="00320282">
              <w:rPr>
                <w:rFonts w:cs="Arial"/>
                <w:bCs/>
                <w:szCs w:val="20"/>
              </w:rPr>
              <w:t>• Heterophilic antibodies in hum</w:t>
            </w:r>
            <w:r>
              <w:rPr>
                <w:rFonts w:cs="Arial"/>
                <w:bCs/>
                <w:szCs w:val="20"/>
              </w:rPr>
              <w:t xml:space="preserve">an serum can react with reagent </w:t>
            </w:r>
            <w:r w:rsidRPr="00320282">
              <w:rPr>
                <w:rFonts w:cs="Arial"/>
                <w:bCs/>
                <w:szCs w:val="20"/>
              </w:rPr>
              <w:t xml:space="preserve">immunoglobulins, interfering with </w:t>
            </w:r>
            <w:r>
              <w:rPr>
                <w:rFonts w:cs="Arial"/>
                <w:bCs/>
                <w:szCs w:val="20"/>
              </w:rPr>
              <w:t xml:space="preserve">in vitro immunoassays. Patients </w:t>
            </w:r>
            <w:r w:rsidRPr="00320282">
              <w:rPr>
                <w:rFonts w:cs="Arial"/>
                <w:bCs/>
                <w:szCs w:val="20"/>
              </w:rPr>
              <w:t xml:space="preserve">routinely exposed to animals </w:t>
            </w:r>
            <w:r>
              <w:rPr>
                <w:rFonts w:cs="Arial"/>
                <w:bCs/>
                <w:szCs w:val="20"/>
              </w:rPr>
              <w:t xml:space="preserve">or to animal serum products can </w:t>
            </w:r>
            <w:r w:rsidRPr="00320282">
              <w:rPr>
                <w:rFonts w:cs="Arial"/>
                <w:bCs/>
                <w:szCs w:val="20"/>
              </w:rPr>
              <w:t>be prone to this interferen</w:t>
            </w:r>
            <w:r>
              <w:rPr>
                <w:rFonts w:cs="Arial"/>
                <w:bCs/>
                <w:szCs w:val="20"/>
              </w:rPr>
              <w:t xml:space="preserve">ce, and anomalous values may be </w:t>
            </w:r>
            <w:r w:rsidRPr="00320282">
              <w:rPr>
                <w:rFonts w:cs="Arial"/>
                <w:bCs/>
                <w:szCs w:val="20"/>
              </w:rPr>
              <w:t xml:space="preserve">observed. Additional information </w:t>
            </w:r>
            <w:r>
              <w:rPr>
                <w:rFonts w:cs="Arial"/>
                <w:bCs/>
                <w:szCs w:val="20"/>
              </w:rPr>
              <w:t>may be required for diagnosis.</w:t>
            </w:r>
          </w:p>
          <w:p w14:paraId="6708BF51" w14:textId="77777777" w:rsidR="00DC7421" w:rsidRDefault="00320282" w:rsidP="00320282">
            <w:pPr>
              <w:autoSpaceDE w:val="0"/>
              <w:autoSpaceDN w:val="0"/>
              <w:adjustRightInd w:val="0"/>
              <w:rPr>
                <w:rFonts w:cs="Arial"/>
                <w:bCs/>
                <w:szCs w:val="20"/>
              </w:rPr>
            </w:pPr>
            <w:r w:rsidRPr="00320282">
              <w:rPr>
                <w:rFonts w:cs="Arial"/>
                <w:bCs/>
                <w:szCs w:val="20"/>
              </w:rPr>
              <w:t>• This assay has not been clinical</w:t>
            </w:r>
            <w:r>
              <w:rPr>
                <w:rFonts w:cs="Arial"/>
                <w:bCs/>
                <w:szCs w:val="20"/>
              </w:rPr>
              <w:t xml:space="preserve">ly validated for intraoperative </w:t>
            </w:r>
            <w:r w:rsidRPr="00320282">
              <w:rPr>
                <w:rFonts w:cs="Arial"/>
                <w:bCs/>
                <w:szCs w:val="20"/>
              </w:rPr>
              <w:t>use.</w:t>
            </w:r>
          </w:p>
          <w:p w14:paraId="5CD00021" w14:textId="0CE4E8C0" w:rsidR="00320282" w:rsidRPr="00DC7421" w:rsidRDefault="00320282" w:rsidP="00320282">
            <w:pPr>
              <w:autoSpaceDE w:val="0"/>
              <w:autoSpaceDN w:val="0"/>
              <w:adjustRightInd w:val="0"/>
              <w:rPr>
                <w:rFonts w:cs="Arial"/>
                <w:bCs/>
                <w:szCs w:val="20"/>
              </w:rPr>
            </w:pPr>
          </w:p>
        </w:tc>
      </w:tr>
      <w:tr w:rsidR="00F83DB0" w14:paraId="0A2A1650" w14:textId="77777777" w:rsidTr="007132A9">
        <w:trPr>
          <w:tblHeader/>
        </w:trPr>
        <w:tc>
          <w:tcPr>
            <w:tcW w:w="1800" w:type="dxa"/>
            <w:tcBorders>
              <w:top w:val="nil"/>
              <w:left w:val="nil"/>
              <w:bottom w:val="nil"/>
              <w:right w:val="nil"/>
            </w:tcBorders>
          </w:tcPr>
          <w:p w14:paraId="3CAD869B" w14:textId="3D4557E2" w:rsidR="00F83DB0" w:rsidRPr="00C00B65" w:rsidRDefault="00F83DB0" w:rsidP="0039587D">
            <w:pPr>
              <w:rPr>
                <w:rFonts w:cs="Arial"/>
                <w:b/>
                <w:bCs/>
                <w:color w:val="0000FF"/>
                <w:szCs w:val="20"/>
              </w:rPr>
            </w:pPr>
            <w:r w:rsidRPr="00C00B65">
              <w:rPr>
                <w:rFonts w:cs="Arial"/>
                <w:b/>
                <w:bCs/>
                <w:color w:val="0000FF"/>
                <w:szCs w:val="20"/>
              </w:rPr>
              <w:t>Dilutions</w:t>
            </w:r>
          </w:p>
        </w:tc>
        <w:tc>
          <w:tcPr>
            <w:tcW w:w="9360" w:type="dxa"/>
            <w:gridSpan w:val="4"/>
            <w:tcBorders>
              <w:top w:val="single" w:sz="18" w:space="0" w:color="BFBFBF"/>
              <w:left w:val="nil"/>
              <w:bottom w:val="single" w:sz="18" w:space="0" w:color="BFBFBF"/>
              <w:right w:val="nil"/>
            </w:tcBorders>
          </w:tcPr>
          <w:p w14:paraId="0BA69FB5" w14:textId="5E1ABC10" w:rsidR="00F83DB0" w:rsidRDefault="00320282" w:rsidP="00E47DE5">
            <w:pPr>
              <w:autoSpaceDE w:val="0"/>
              <w:autoSpaceDN w:val="0"/>
              <w:adjustRightInd w:val="0"/>
              <w:rPr>
                <w:rFonts w:cs="Arial"/>
                <w:bCs/>
                <w:szCs w:val="20"/>
              </w:rPr>
            </w:pPr>
            <w:r>
              <w:rPr>
                <w:rFonts w:cs="Arial"/>
                <w:bCs/>
                <w:szCs w:val="20"/>
              </w:rPr>
              <w:t>Do not dilute.</w:t>
            </w:r>
          </w:p>
          <w:p w14:paraId="0F826C27" w14:textId="77777777" w:rsidR="00F83DB0" w:rsidRDefault="00F83DB0" w:rsidP="00E47DE5">
            <w:pPr>
              <w:autoSpaceDE w:val="0"/>
              <w:autoSpaceDN w:val="0"/>
              <w:adjustRightInd w:val="0"/>
              <w:rPr>
                <w:rFonts w:cs="Arial"/>
                <w:bCs/>
                <w:szCs w:val="20"/>
              </w:rPr>
            </w:pPr>
          </w:p>
          <w:p w14:paraId="6811B3C2" w14:textId="77777777" w:rsidR="00F83DB0" w:rsidRPr="00DC7421" w:rsidRDefault="00F83DB0" w:rsidP="00E47DE5">
            <w:pPr>
              <w:autoSpaceDE w:val="0"/>
              <w:autoSpaceDN w:val="0"/>
              <w:adjustRightInd w:val="0"/>
              <w:rPr>
                <w:rFonts w:cs="Arial"/>
                <w:bCs/>
                <w:szCs w:val="20"/>
              </w:rPr>
            </w:pPr>
          </w:p>
        </w:tc>
      </w:tr>
      <w:tr w:rsidR="00E3253B" w14:paraId="5CD0003D" w14:textId="77777777" w:rsidTr="007132A9">
        <w:trPr>
          <w:tblHeader/>
        </w:trPr>
        <w:tc>
          <w:tcPr>
            <w:tcW w:w="1800" w:type="dxa"/>
            <w:tcBorders>
              <w:top w:val="nil"/>
              <w:left w:val="nil"/>
              <w:bottom w:val="nil"/>
              <w:right w:val="nil"/>
            </w:tcBorders>
          </w:tcPr>
          <w:p w14:paraId="643D95AC" w14:textId="77777777" w:rsidR="00EA580E" w:rsidRDefault="00EA580E" w:rsidP="0039587D">
            <w:pPr>
              <w:rPr>
                <w:rFonts w:cs="Arial"/>
                <w:b/>
                <w:bCs/>
                <w:color w:val="0000FF"/>
                <w:szCs w:val="20"/>
              </w:rPr>
            </w:pPr>
          </w:p>
          <w:p w14:paraId="29A3D209" w14:textId="77777777" w:rsidR="00EA580E" w:rsidRDefault="00EA580E" w:rsidP="0039587D">
            <w:pPr>
              <w:rPr>
                <w:rFonts w:cs="Arial"/>
                <w:b/>
                <w:bCs/>
                <w:color w:val="0000FF"/>
                <w:szCs w:val="20"/>
              </w:rPr>
            </w:pPr>
          </w:p>
          <w:p w14:paraId="5CD00036" w14:textId="77777777" w:rsidR="00E3253B" w:rsidRPr="00C00B65" w:rsidRDefault="00E3253B" w:rsidP="0039587D">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14:paraId="63C923BE" w14:textId="42AAFC6B" w:rsidR="00EA580E" w:rsidRDefault="00EA580E" w:rsidP="00EA580E">
            <w:pPr>
              <w:rPr>
                <w:rFonts w:cs="Arial"/>
                <w:b/>
                <w:bCs/>
                <w:color w:val="7030A0"/>
                <w:szCs w:val="20"/>
              </w:rPr>
            </w:pPr>
            <w:r w:rsidRPr="00A062E1">
              <w:rPr>
                <w:rFonts w:cs="Arial"/>
                <w:b/>
                <w:bCs/>
                <w:color w:val="7030A0"/>
                <w:szCs w:val="20"/>
              </w:rPr>
              <w:t>Alinity c</w:t>
            </w:r>
            <w:r w:rsidR="00882536">
              <w:rPr>
                <w:rFonts w:cs="Arial"/>
                <w:b/>
                <w:bCs/>
                <w:color w:val="7030A0"/>
                <w:szCs w:val="20"/>
              </w:rPr>
              <w:t xml:space="preserve"> and Architect i1000:</w:t>
            </w:r>
          </w:p>
          <w:p w14:paraId="7EEC7ABE" w14:textId="5E6B1813" w:rsidR="00F84C8E" w:rsidRPr="00DC7421" w:rsidRDefault="00F84C8E" w:rsidP="00F84C8E">
            <w:pPr>
              <w:pStyle w:val="Header"/>
              <w:numPr>
                <w:ilvl w:val="0"/>
                <w:numId w:val="40"/>
              </w:numPr>
              <w:tabs>
                <w:tab w:val="clear" w:pos="4320"/>
                <w:tab w:val="clear" w:pos="8640"/>
              </w:tabs>
              <w:rPr>
                <w:rFonts w:cs="Arial"/>
                <w:szCs w:val="20"/>
              </w:rPr>
            </w:pPr>
            <w:r>
              <w:rPr>
                <w:rFonts w:cs="Arial"/>
                <w:szCs w:val="20"/>
              </w:rPr>
              <w:t xml:space="preserve">Results between </w:t>
            </w:r>
            <w:r w:rsidR="00320282">
              <w:rPr>
                <w:rFonts w:cs="Arial"/>
                <w:szCs w:val="20"/>
              </w:rPr>
              <w:t>4.0</w:t>
            </w:r>
            <w:r w:rsidR="00E47DE5">
              <w:rPr>
                <w:rFonts w:cs="Arial"/>
                <w:szCs w:val="20"/>
              </w:rPr>
              <w:t xml:space="preserve"> </w:t>
            </w:r>
            <w:r>
              <w:rPr>
                <w:rFonts w:cs="Arial"/>
                <w:szCs w:val="20"/>
              </w:rPr>
              <w:t xml:space="preserve">and </w:t>
            </w:r>
            <w:r w:rsidR="00320282">
              <w:rPr>
                <w:rFonts w:cs="Arial"/>
                <w:szCs w:val="20"/>
              </w:rPr>
              <w:t>2500.0 pg/mL</w:t>
            </w:r>
            <w:r w:rsidR="00E47DE5" w:rsidRPr="00DC7421">
              <w:rPr>
                <w:rFonts w:cs="Arial"/>
                <w:szCs w:val="20"/>
              </w:rPr>
              <w:t xml:space="preserve"> </w:t>
            </w:r>
            <w:r w:rsidRPr="00DC7421">
              <w:rPr>
                <w:rFonts w:cs="Arial"/>
                <w:szCs w:val="20"/>
              </w:rPr>
              <w:t>without error messages are released</w:t>
            </w:r>
          </w:p>
          <w:p w14:paraId="512DB6C5" w14:textId="49C7055E" w:rsidR="00F84C8E" w:rsidRPr="00DC7421" w:rsidRDefault="00F84C8E" w:rsidP="00F84C8E">
            <w:pPr>
              <w:numPr>
                <w:ilvl w:val="0"/>
                <w:numId w:val="40"/>
              </w:numPr>
              <w:rPr>
                <w:rFonts w:cs="Arial"/>
                <w:szCs w:val="20"/>
              </w:rPr>
            </w:pPr>
            <w:r>
              <w:rPr>
                <w:rFonts w:cs="Arial"/>
                <w:szCs w:val="20"/>
              </w:rPr>
              <w:t xml:space="preserve">Results below </w:t>
            </w:r>
            <w:r w:rsidR="00320282">
              <w:rPr>
                <w:rFonts w:cs="Arial"/>
                <w:szCs w:val="20"/>
              </w:rPr>
              <w:t>4.0</w:t>
            </w:r>
            <w:r w:rsidR="00E47DE5">
              <w:rPr>
                <w:rFonts w:cs="Arial"/>
                <w:szCs w:val="20"/>
              </w:rPr>
              <w:t xml:space="preserve"> </w:t>
            </w:r>
            <w:r>
              <w:rPr>
                <w:rFonts w:cs="Arial"/>
                <w:szCs w:val="20"/>
              </w:rPr>
              <w:t xml:space="preserve">without error messages are reported as &lt; </w:t>
            </w:r>
            <w:r w:rsidR="00320282">
              <w:rPr>
                <w:rFonts w:cs="Arial"/>
                <w:szCs w:val="20"/>
              </w:rPr>
              <w:t>4.0 pg/mL</w:t>
            </w:r>
            <w:r>
              <w:rPr>
                <w:rFonts w:cs="Arial"/>
                <w:szCs w:val="20"/>
              </w:rPr>
              <w:t>.</w:t>
            </w:r>
          </w:p>
          <w:p w14:paraId="1516BBCC" w14:textId="1665D3B2" w:rsidR="00EA580E" w:rsidRPr="00320282" w:rsidRDefault="00F84C8E" w:rsidP="00320282">
            <w:pPr>
              <w:numPr>
                <w:ilvl w:val="0"/>
                <w:numId w:val="40"/>
              </w:numPr>
              <w:rPr>
                <w:rFonts w:cs="Arial"/>
                <w:szCs w:val="20"/>
              </w:rPr>
            </w:pPr>
            <w:r>
              <w:rPr>
                <w:rFonts w:cs="Arial"/>
                <w:szCs w:val="20"/>
              </w:rPr>
              <w:t>Results &gt;</w:t>
            </w:r>
            <w:r w:rsidR="00320282">
              <w:rPr>
                <w:rFonts w:cs="Arial"/>
                <w:szCs w:val="20"/>
              </w:rPr>
              <w:t xml:space="preserve"> 2500.0</w:t>
            </w:r>
            <w:r w:rsidR="00E47DE5">
              <w:rPr>
                <w:rFonts w:cs="Arial"/>
                <w:szCs w:val="20"/>
              </w:rPr>
              <w:t xml:space="preserve"> </w:t>
            </w:r>
            <w:r>
              <w:rPr>
                <w:rFonts w:cs="Arial"/>
                <w:szCs w:val="20"/>
              </w:rPr>
              <w:t xml:space="preserve">should be </w:t>
            </w:r>
            <w:r w:rsidRPr="00320282">
              <w:rPr>
                <w:rFonts w:cs="Arial"/>
                <w:szCs w:val="20"/>
              </w:rPr>
              <w:t xml:space="preserve">reported as &gt; </w:t>
            </w:r>
            <w:r w:rsidR="00320282">
              <w:rPr>
                <w:rFonts w:cs="Arial"/>
                <w:szCs w:val="20"/>
              </w:rPr>
              <w:t>2500 pg/mL</w:t>
            </w:r>
            <w:r w:rsidRPr="00320282">
              <w:rPr>
                <w:rFonts w:cs="Arial"/>
                <w:szCs w:val="20"/>
              </w:rPr>
              <w:t>.</w:t>
            </w:r>
          </w:p>
          <w:p w14:paraId="5CD0003C" w14:textId="77777777" w:rsidR="00F83DB0" w:rsidRPr="00DC7421" w:rsidRDefault="00F83DB0" w:rsidP="00882536">
            <w:pPr>
              <w:ind w:left="360"/>
              <w:rPr>
                <w:rFonts w:cs="Arial"/>
                <w:szCs w:val="20"/>
              </w:rPr>
            </w:pPr>
          </w:p>
        </w:tc>
      </w:tr>
      <w:tr w:rsidR="00E3253B" w14:paraId="5CD00040" w14:textId="77777777" w:rsidTr="007132A9">
        <w:trPr>
          <w:trHeight w:val="738"/>
          <w:tblHeader/>
        </w:trPr>
        <w:tc>
          <w:tcPr>
            <w:tcW w:w="1800" w:type="dxa"/>
            <w:tcBorders>
              <w:top w:val="nil"/>
              <w:left w:val="nil"/>
              <w:bottom w:val="nil"/>
              <w:right w:val="nil"/>
            </w:tcBorders>
          </w:tcPr>
          <w:p w14:paraId="5CD0003E" w14:textId="242F4812" w:rsidR="00E3253B" w:rsidRPr="00C00B65" w:rsidRDefault="00E3253B" w:rsidP="0039587D">
            <w:pPr>
              <w:rPr>
                <w:rFonts w:cs="Arial"/>
                <w:b/>
                <w:bCs/>
                <w:color w:val="0000FF"/>
                <w:szCs w:val="20"/>
              </w:rPr>
            </w:pPr>
            <w:r w:rsidRPr="00C00B65">
              <w:rPr>
                <w:rFonts w:cs="Arial"/>
                <w:b/>
                <w:bCs/>
                <w:color w:val="0000FF"/>
                <w:szCs w:val="20"/>
              </w:rPr>
              <w:t>Specimen Storage</w:t>
            </w:r>
          </w:p>
        </w:tc>
        <w:tc>
          <w:tcPr>
            <w:tcW w:w="9360" w:type="dxa"/>
            <w:gridSpan w:val="4"/>
            <w:tcBorders>
              <w:top w:val="single" w:sz="18" w:space="0" w:color="BFBFBF"/>
              <w:left w:val="nil"/>
              <w:bottom w:val="single" w:sz="18" w:space="0" w:color="BFBFBF"/>
              <w:right w:val="nil"/>
            </w:tcBorders>
          </w:tcPr>
          <w:p w14:paraId="5CD0003F" w14:textId="019E9324"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00320282">
              <w:rPr>
                <w:rFonts w:cs="Arial"/>
                <w:szCs w:val="20"/>
              </w:rPr>
              <w:t xml:space="preserve"> Samples are retained 14</w:t>
            </w:r>
            <w:r w:rsidRPr="00DC7421">
              <w:rPr>
                <w:rFonts w:cs="Arial"/>
                <w:szCs w:val="20"/>
              </w:rPr>
              <w:t xml:space="preserve"> d</w:t>
            </w:r>
            <w:r w:rsidR="00DC7421">
              <w:rPr>
                <w:rFonts w:cs="Arial"/>
                <w:szCs w:val="20"/>
              </w:rPr>
              <w:t>ays in specimen storage freezer.</w:t>
            </w:r>
          </w:p>
        </w:tc>
      </w:tr>
      <w:tr w:rsidR="00E3253B" w14:paraId="5CD00047" w14:textId="77777777" w:rsidTr="007132A9">
        <w:trPr>
          <w:tblHeader/>
        </w:trPr>
        <w:tc>
          <w:tcPr>
            <w:tcW w:w="1800" w:type="dxa"/>
            <w:tcBorders>
              <w:top w:val="nil"/>
              <w:left w:val="nil"/>
              <w:bottom w:val="nil"/>
              <w:right w:val="nil"/>
            </w:tcBorders>
          </w:tcPr>
          <w:p w14:paraId="5CD00041" w14:textId="77777777"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14:paraId="3C2D72FA" w14:textId="77777777" w:rsidR="00882536" w:rsidRPr="00882536" w:rsidRDefault="00882536" w:rsidP="00882536">
            <w:pPr>
              <w:numPr>
                <w:ilvl w:val="0"/>
                <w:numId w:val="33"/>
              </w:numPr>
              <w:rPr>
                <w:rFonts w:cs="Arial"/>
                <w:szCs w:val="20"/>
              </w:rPr>
            </w:pPr>
            <w:r w:rsidRPr="00882536">
              <w:rPr>
                <w:rFonts w:cs="Arial"/>
                <w:szCs w:val="20"/>
              </w:rPr>
              <w:t>Abbott Architect Intact PTH reagent cartridge insert sheet Abbott Laboratories, Abbott Park, IL, 60064. Revised Date January 2016</w:t>
            </w:r>
          </w:p>
          <w:p w14:paraId="36A0C7FF" w14:textId="77777777" w:rsidR="00882536" w:rsidRPr="00882536" w:rsidRDefault="00882536" w:rsidP="00882536">
            <w:pPr>
              <w:numPr>
                <w:ilvl w:val="0"/>
                <w:numId w:val="33"/>
              </w:numPr>
              <w:rPr>
                <w:rFonts w:cs="Arial"/>
                <w:szCs w:val="20"/>
              </w:rPr>
            </w:pPr>
            <w:r w:rsidRPr="00882536">
              <w:rPr>
                <w:rFonts w:cs="Arial"/>
                <w:szCs w:val="20"/>
              </w:rPr>
              <w:t>Abbott Architect Intact PTH calibrator insert sheet Abbott Laboratories, Abbott Park, IL 60064. Revised November 2015.</w:t>
            </w:r>
          </w:p>
          <w:p w14:paraId="5125600C" w14:textId="77777777" w:rsidR="00882536" w:rsidRDefault="00882536" w:rsidP="00882536">
            <w:pPr>
              <w:numPr>
                <w:ilvl w:val="0"/>
                <w:numId w:val="33"/>
              </w:numPr>
              <w:rPr>
                <w:rFonts w:cs="Arial"/>
                <w:szCs w:val="20"/>
              </w:rPr>
            </w:pPr>
            <w:r w:rsidRPr="00882536">
              <w:rPr>
                <w:rFonts w:cs="Arial"/>
                <w:szCs w:val="20"/>
              </w:rPr>
              <w:t>Abbott Architect Safety Data Sheet, Abbott Diagnostics, Abbott Park, IL 60064. Revised 2016-04-09.</w:t>
            </w:r>
          </w:p>
          <w:p w14:paraId="021C715B" w14:textId="2F4E567F" w:rsidR="00882536" w:rsidRDefault="00882536" w:rsidP="00882536">
            <w:pPr>
              <w:numPr>
                <w:ilvl w:val="0"/>
                <w:numId w:val="33"/>
              </w:numPr>
              <w:rPr>
                <w:rFonts w:cs="Arial"/>
                <w:szCs w:val="20"/>
              </w:rPr>
            </w:pPr>
            <w:r>
              <w:rPr>
                <w:rFonts w:cs="Arial"/>
                <w:szCs w:val="20"/>
              </w:rPr>
              <w:t>Abbott Alinity i Intact PTH Reagent Kit Instructions for Use, Abbott Diagnostics, Abbott Park IL 60064.  Revised March 2018</w:t>
            </w:r>
          </w:p>
          <w:p w14:paraId="6B591988" w14:textId="09CBB9A1" w:rsidR="00882536" w:rsidRPr="00882536" w:rsidRDefault="00882536" w:rsidP="00882536">
            <w:pPr>
              <w:numPr>
                <w:ilvl w:val="0"/>
                <w:numId w:val="33"/>
              </w:numPr>
              <w:rPr>
                <w:rFonts w:cs="Arial"/>
                <w:szCs w:val="20"/>
              </w:rPr>
            </w:pPr>
            <w:r>
              <w:rPr>
                <w:rFonts w:cs="Arial"/>
                <w:szCs w:val="20"/>
              </w:rPr>
              <w:t>Abbott Alinity i Intact PTH Calibrator Kit Instructions for Use, Abbott Diagnostics, Abbott Park IL 60064.  Revised March 2018</w:t>
            </w:r>
          </w:p>
          <w:p w14:paraId="21E2811B" w14:textId="77777777" w:rsidR="00882536" w:rsidRDefault="00882536" w:rsidP="00882536">
            <w:pPr>
              <w:numPr>
                <w:ilvl w:val="0"/>
                <w:numId w:val="33"/>
              </w:numPr>
              <w:rPr>
                <w:rFonts w:cs="Arial"/>
                <w:szCs w:val="20"/>
              </w:rPr>
            </w:pPr>
            <w:r w:rsidRPr="00882536">
              <w:rPr>
                <w:rFonts w:cs="Arial"/>
                <w:szCs w:val="20"/>
              </w:rPr>
              <w:t>Bio-Rad Lyphochek Specialty Immunoassay Control Product Insert, Bio-Rad Laboratories, Irvine, CA 92618 January 2018</w:t>
            </w:r>
          </w:p>
          <w:p w14:paraId="10D34A26" w14:textId="63ADE56C" w:rsidR="001253B6" w:rsidRPr="001253B6" w:rsidRDefault="001253B6" w:rsidP="001253B6">
            <w:pPr>
              <w:numPr>
                <w:ilvl w:val="0"/>
                <w:numId w:val="33"/>
              </w:numPr>
              <w:rPr>
                <w:rFonts w:cs="Arial"/>
                <w:szCs w:val="20"/>
              </w:rPr>
            </w:pPr>
            <w:r w:rsidRPr="00882536">
              <w:rPr>
                <w:rFonts w:cs="Arial"/>
                <w:szCs w:val="20"/>
              </w:rPr>
              <w:t>Bio-Rad Specialty Immunoassay Control Product Insert, Bio-Rad Laboratories, Irvine, CA 92618 January 2018</w:t>
            </w:r>
          </w:p>
          <w:p w14:paraId="679D19E5" w14:textId="77777777" w:rsidR="00E3253B" w:rsidRDefault="00882536" w:rsidP="00882536">
            <w:pPr>
              <w:numPr>
                <w:ilvl w:val="0"/>
                <w:numId w:val="33"/>
              </w:numPr>
              <w:rPr>
                <w:rFonts w:cs="Arial"/>
                <w:szCs w:val="20"/>
              </w:rPr>
            </w:pPr>
            <w:r w:rsidRPr="00882536">
              <w:rPr>
                <w:rFonts w:cs="Arial"/>
                <w:szCs w:val="20"/>
              </w:rPr>
              <w:t>Caliper Paediatric Reference Intervals.  The Hospital for Sick Children, Toronto, Ontario</w:t>
            </w:r>
          </w:p>
          <w:p w14:paraId="5CD00046" w14:textId="097FACFF" w:rsidR="00882536" w:rsidRPr="00DC7421" w:rsidRDefault="00882536" w:rsidP="00882536">
            <w:pPr>
              <w:ind w:left="360"/>
              <w:rPr>
                <w:rFonts w:cs="Arial"/>
                <w:szCs w:val="20"/>
              </w:rPr>
            </w:pPr>
          </w:p>
        </w:tc>
      </w:tr>
      <w:tr w:rsidR="00F50200" w14:paraId="5CD0004D"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5CD00048" w14:textId="5435569D"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5CD00049" w14:textId="77777777"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14:paraId="5CD0004A" w14:textId="77777777"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CD0004B" w14:textId="77777777"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CD0004C" w14:textId="77777777" w:rsidR="00F50200" w:rsidRPr="00DC7421" w:rsidRDefault="00F50200">
            <w:pPr>
              <w:rPr>
                <w:rFonts w:cs="Arial"/>
                <w:b/>
                <w:bCs/>
                <w:iCs/>
                <w:szCs w:val="20"/>
              </w:rPr>
            </w:pPr>
            <w:r w:rsidRPr="00DC7421">
              <w:rPr>
                <w:rFonts w:cs="Arial"/>
                <w:b/>
                <w:bCs/>
                <w:iCs/>
                <w:szCs w:val="20"/>
              </w:rPr>
              <w:t>Summary of Revisions</w:t>
            </w:r>
          </w:p>
        </w:tc>
      </w:tr>
      <w:tr w:rsidR="00F50200" w14:paraId="5CD00053"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5CD0004E"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4F" w14:textId="34A25B01" w:rsidR="00F50200" w:rsidRPr="00DC7421" w:rsidRDefault="00F50200">
            <w:pPr>
              <w:rPr>
                <w:rFonts w:cs="Arial"/>
                <w:szCs w:val="20"/>
              </w:rPr>
            </w:pPr>
          </w:p>
        </w:tc>
        <w:tc>
          <w:tcPr>
            <w:tcW w:w="2430" w:type="dxa"/>
            <w:tcBorders>
              <w:top w:val="single" w:sz="4" w:space="0" w:color="auto"/>
              <w:left w:val="single" w:sz="4" w:space="0" w:color="auto"/>
              <w:bottom w:val="single" w:sz="4" w:space="0" w:color="auto"/>
              <w:right w:val="single" w:sz="4" w:space="0" w:color="auto"/>
            </w:tcBorders>
          </w:tcPr>
          <w:p w14:paraId="5CD00050" w14:textId="7208850B" w:rsidR="00F50200" w:rsidRPr="00DC7421" w:rsidRDefault="00180D60" w:rsidP="00180D60">
            <w:pPr>
              <w:rPr>
                <w:rFonts w:cs="Arial"/>
                <w:iCs/>
                <w:szCs w:val="20"/>
              </w:rPr>
            </w:pPr>
            <w:r>
              <w:rPr>
                <w:rFonts w:cs="Arial"/>
                <w:iCs/>
                <w:szCs w:val="20"/>
              </w:rPr>
              <w:t>Elauteria Earnhardt</w:t>
            </w:r>
          </w:p>
        </w:tc>
        <w:tc>
          <w:tcPr>
            <w:tcW w:w="1530" w:type="dxa"/>
            <w:tcBorders>
              <w:top w:val="single" w:sz="4" w:space="0" w:color="auto"/>
              <w:left w:val="single" w:sz="4" w:space="0" w:color="auto"/>
              <w:bottom w:val="single" w:sz="4" w:space="0" w:color="auto"/>
              <w:right w:val="single" w:sz="4" w:space="0" w:color="auto"/>
            </w:tcBorders>
          </w:tcPr>
          <w:p w14:paraId="5CD00051" w14:textId="183ECE16" w:rsidR="00F50200" w:rsidRPr="00DC7421" w:rsidRDefault="00180D60">
            <w:pPr>
              <w:rPr>
                <w:rFonts w:cs="Arial"/>
                <w:iCs/>
                <w:szCs w:val="20"/>
              </w:rPr>
            </w:pPr>
            <w:r>
              <w:rPr>
                <w:rFonts w:cs="Arial"/>
                <w:iCs/>
                <w:szCs w:val="20"/>
              </w:rPr>
              <w:t>May 18, 2020</w:t>
            </w:r>
          </w:p>
        </w:tc>
        <w:tc>
          <w:tcPr>
            <w:tcW w:w="4410" w:type="dxa"/>
            <w:tcBorders>
              <w:top w:val="single" w:sz="4" w:space="0" w:color="auto"/>
              <w:left w:val="single" w:sz="4" w:space="0" w:color="auto"/>
              <w:bottom w:val="single" w:sz="4" w:space="0" w:color="auto"/>
              <w:right w:val="single" w:sz="4" w:space="0" w:color="auto"/>
            </w:tcBorders>
          </w:tcPr>
          <w:p w14:paraId="5CD00052" w14:textId="77777777" w:rsidR="00F50200" w:rsidRPr="00DC7421" w:rsidRDefault="00824C10">
            <w:pPr>
              <w:rPr>
                <w:rFonts w:cs="Arial"/>
                <w:iCs/>
                <w:szCs w:val="20"/>
              </w:rPr>
            </w:pPr>
            <w:r w:rsidRPr="00DC7421">
              <w:rPr>
                <w:rFonts w:cs="Arial"/>
                <w:iCs/>
                <w:szCs w:val="20"/>
              </w:rPr>
              <w:t>New Procedure for Abbott analyzers</w:t>
            </w:r>
          </w:p>
        </w:tc>
      </w:tr>
      <w:tr w:rsidR="00F50200" w14:paraId="5CD00059"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14:paraId="5CD00054"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55" w14:textId="728D0E86" w:rsidR="00F50200" w:rsidRPr="00F84C8E" w:rsidRDefault="00882536">
            <w:pPr>
              <w:rPr>
                <w:rFonts w:cs="Arial"/>
                <w:iCs/>
                <w:szCs w:val="20"/>
              </w:rPr>
            </w:pPr>
            <w:r>
              <w:rPr>
                <w:rFonts w:cs="Arial"/>
                <w:iCs/>
                <w:szCs w:val="20"/>
              </w:rPr>
              <w:t>1</w:t>
            </w:r>
          </w:p>
        </w:tc>
        <w:tc>
          <w:tcPr>
            <w:tcW w:w="2430" w:type="dxa"/>
            <w:tcBorders>
              <w:top w:val="single" w:sz="4" w:space="0" w:color="auto"/>
              <w:left w:val="single" w:sz="4" w:space="0" w:color="auto"/>
              <w:bottom w:val="single" w:sz="4" w:space="0" w:color="auto"/>
              <w:right w:val="single" w:sz="4" w:space="0" w:color="auto"/>
            </w:tcBorders>
          </w:tcPr>
          <w:p w14:paraId="5CD00056" w14:textId="28732FD4" w:rsidR="00F50200" w:rsidRPr="00F84C8E" w:rsidRDefault="00882536">
            <w:pPr>
              <w:rPr>
                <w:rFonts w:cs="Arial"/>
                <w:iCs/>
                <w:szCs w:val="20"/>
              </w:rPr>
            </w:pPr>
            <w:r>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CD00057" w14:textId="65FEA950" w:rsidR="00F50200" w:rsidRPr="00F84C8E" w:rsidRDefault="00882536">
            <w:pPr>
              <w:rPr>
                <w:rFonts w:cs="Arial"/>
                <w:iCs/>
                <w:szCs w:val="20"/>
              </w:rPr>
            </w:pPr>
            <w:r>
              <w:rPr>
                <w:rFonts w:cs="Arial"/>
                <w:iCs/>
                <w:szCs w:val="20"/>
              </w:rPr>
              <w:t>October 28, 2020</w:t>
            </w:r>
          </w:p>
        </w:tc>
        <w:tc>
          <w:tcPr>
            <w:tcW w:w="4410" w:type="dxa"/>
            <w:tcBorders>
              <w:top w:val="single" w:sz="4" w:space="0" w:color="auto"/>
              <w:left w:val="single" w:sz="4" w:space="0" w:color="auto"/>
              <w:bottom w:val="single" w:sz="4" w:space="0" w:color="auto"/>
              <w:right w:val="single" w:sz="4" w:space="0" w:color="auto"/>
            </w:tcBorders>
          </w:tcPr>
          <w:p w14:paraId="5CD00058" w14:textId="310A153A" w:rsidR="00F50200" w:rsidRPr="00F84C8E" w:rsidRDefault="00882536">
            <w:pPr>
              <w:rPr>
                <w:rFonts w:cs="Arial"/>
                <w:iCs/>
                <w:szCs w:val="20"/>
              </w:rPr>
            </w:pPr>
            <w:r>
              <w:rPr>
                <w:rFonts w:cs="Arial"/>
                <w:iCs/>
                <w:szCs w:val="20"/>
              </w:rPr>
              <w:t xml:space="preserve">Updated for Alinity i analyzer.  </w:t>
            </w:r>
          </w:p>
        </w:tc>
      </w:tr>
      <w:tr w:rsidR="001253B6" w14:paraId="424FEB24"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tcBorders>
              <w:left w:val="nil"/>
              <w:right w:val="single" w:sz="4" w:space="0" w:color="auto"/>
            </w:tcBorders>
          </w:tcPr>
          <w:p w14:paraId="27FA8645" w14:textId="77777777" w:rsidR="001253B6" w:rsidRDefault="001253B6">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0FDDCE2" w14:textId="0EFCA351" w:rsidR="001253B6" w:rsidRDefault="001253B6">
            <w:pPr>
              <w:rPr>
                <w:rFonts w:cs="Arial"/>
                <w:iCs/>
                <w:szCs w:val="20"/>
              </w:rPr>
            </w:pPr>
            <w:r>
              <w:rPr>
                <w:rFonts w:cs="Arial"/>
                <w:iCs/>
                <w:szCs w:val="20"/>
              </w:rPr>
              <w:t>2</w:t>
            </w:r>
          </w:p>
        </w:tc>
        <w:tc>
          <w:tcPr>
            <w:tcW w:w="2430" w:type="dxa"/>
            <w:tcBorders>
              <w:top w:val="single" w:sz="4" w:space="0" w:color="auto"/>
              <w:left w:val="single" w:sz="4" w:space="0" w:color="auto"/>
              <w:bottom w:val="single" w:sz="4" w:space="0" w:color="auto"/>
              <w:right w:val="single" w:sz="4" w:space="0" w:color="auto"/>
            </w:tcBorders>
          </w:tcPr>
          <w:p w14:paraId="360F9F72" w14:textId="0D121433" w:rsidR="001253B6" w:rsidRDefault="001253B6">
            <w:pPr>
              <w:rPr>
                <w:rFonts w:cs="Arial"/>
                <w:iCs/>
                <w:szCs w:val="20"/>
              </w:rPr>
            </w:pPr>
            <w:r>
              <w:rPr>
                <w:rFonts w:cs="Arial"/>
                <w:iCs/>
                <w:szCs w:val="20"/>
              </w:rPr>
              <w:t>Matt Johnson</w:t>
            </w:r>
          </w:p>
        </w:tc>
        <w:tc>
          <w:tcPr>
            <w:tcW w:w="1530" w:type="dxa"/>
            <w:tcBorders>
              <w:top w:val="single" w:sz="4" w:space="0" w:color="auto"/>
              <w:left w:val="single" w:sz="4" w:space="0" w:color="auto"/>
              <w:bottom w:val="single" w:sz="4" w:space="0" w:color="auto"/>
              <w:right w:val="single" w:sz="4" w:space="0" w:color="auto"/>
            </w:tcBorders>
          </w:tcPr>
          <w:p w14:paraId="1064ADFC" w14:textId="099D9DBB" w:rsidR="001253B6" w:rsidRDefault="001253B6">
            <w:pPr>
              <w:rPr>
                <w:rFonts w:cs="Arial"/>
                <w:iCs/>
                <w:szCs w:val="20"/>
              </w:rPr>
            </w:pPr>
            <w:r>
              <w:rPr>
                <w:rFonts w:cs="Arial"/>
                <w:iCs/>
                <w:szCs w:val="20"/>
              </w:rPr>
              <w:t>September 16, 2021</w:t>
            </w:r>
          </w:p>
        </w:tc>
        <w:tc>
          <w:tcPr>
            <w:tcW w:w="4410" w:type="dxa"/>
            <w:tcBorders>
              <w:top w:val="single" w:sz="4" w:space="0" w:color="auto"/>
              <w:left w:val="single" w:sz="4" w:space="0" w:color="auto"/>
              <w:bottom w:val="single" w:sz="4" w:space="0" w:color="auto"/>
              <w:right w:val="single" w:sz="4" w:space="0" w:color="auto"/>
            </w:tcBorders>
          </w:tcPr>
          <w:p w14:paraId="017360A9" w14:textId="7EB8C10F" w:rsidR="001253B6" w:rsidRDefault="001253B6">
            <w:pPr>
              <w:rPr>
                <w:rFonts w:cs="Arial"/>
                <w:iCs/>
                <w:szCs w:val="20"/>
              </w:rPr>
            </w:pPr>
            <w:r>
              <w:rPr>
                <w:rFonts w:cs="Arial"/>
                <w:iCs/>
                <w:szCs w:val="20"/>
              </w:rPr>
              <w:t>Corrected QC material</w:t>
            </w:r>
          </w:p>
        </w:tc>
      </w:tr>
      <w:tr w:rsidR="00F9114F" w14:paraId="1CC33375"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tcBorders>
              <w:left w:val="nil"/>
              <w:right w:val="single" w:sz="4" w:space="0" w:color="auto"/>
            </w:tcBorders>
          </w:tcPr>
          <w:p w14:paraId="5E448CD0" w14:textId="77777777" w:rsidR="00F9114F" w:rsidRDefault="00F9114F">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06DAF39D" w14:textId="0799C7A1" w:rsidR="00F9114F" w:rsidRDefault="00F9114F">
            <w:pPr>
              <w:rPr>
                <w:rFonts w:cs="Arial"/>
                <w:iCs/>
                <w:szCs w:val="20"/>
              </w:rPr>
            </w:pPr>
            <w:r>
              <w:rPr>
                <w:rFonts w:cs="Arial"/>
                <w:iCs/>
                <w:szCs w:val="20"/>
              </w:rPr>
              <w:t>3</w:t>
            </w:r>
          </w:p>
        </w:tc>
        <w:tc>
          <w:tcPr>
            <w:tcW w:w="2430" w:type="dxa"/>
            <w:tcBorders>
              <w:top w:val="single" w:sz="4" w:space="0" w:color="auto"/>
              <w:left w:val="single" w:sz="4" w:space="0" w:color="auto"/>
              <w:bottom w:val="single" w:sz="4" w:space="0" w:color="auto"/>
              <w:right w:val="single" w:sz="4" w:space="0" w:color="auto"/>
            </w:tcBorders>
          </w:tcPr>
          <w:p w14:paraId="18C07EAB" w14:textId="3223A37F" w:rsidR="00F9114F" w:rsidRDefault="00F9114F">
            <w:pPr>
              <w:rPr>
                <w:rFonts w:cs="Arial"/>
                <w:iCs/>
                <w:szCs w:val="20"/>
              </w:rPr>
            </w:pPr>
            <w:r>
              <w:rPr>
                <w:rFonts w:cs="Arial"/>
                <w:iCs/>
                <w:szCs w:val="20"/>
              </w:rPr>
              <w:t>Matt Johnson</w:t>
            </w:r>
          </w:p>
        </w:tc>
        <w:tc>
          <w:tcPr>
            <w:tcW w:w="1530" w:type="dxa"/>
            <w:tcBorders>
              <w:top w:val="single" w:sz="4" w:space="0" w:color="auto"/>
              <w:left w:val="single" w:sz="4" w:space="0" w:color="auto"/>
              <w:bottom w:val="single" w:sz="4" w:space="0" w:color="auto"/>
              <w:right w:val="single" w:sz="4" w:space="0" w:color="auto"/>
            </w:tcBorders>
          </w:tcPr>
          <w:p w14:paraId="2BC8152D" w14:textId="77B08C55" w:rsidR="00F9114F" w:rsidRDefault="00F9114F">
            <w:pPr>
              <w:rPr>
                <w:rFonts w:cs="Arial"/>
                <w:iCs/>
                <w:szCs w:val="20"/>
              </w:rPr>
            </w:pPr>
            <w:r>
              <w:rPr>
                <w:rFonts w:cs="Arial"/>
                <w:iCs/>
                <w:szCs w:val="20"/>
              </w:rPr>
              <w:t>April 25, 2022</w:t>
            </w:r>
          </w:p>
        </w:tc>
        <w:tc>
          <w:tcPr>
            <w:tcW w:w="4410" w:type="dxa"/>
            <w:tcBorders>
              <w:top w:val="single" w:sz="4" w:space="0" w:color="auto"/>
              <w:left w:val="single" w:sz="4" w:space="0" w:color="auto"/>
              <w:bottom w:val="single" w:sz="4" w:space="0" w:color="auto"/>
              <w:right w:val="single" w:sz="4" w:space="0" w:color="auto"/>
            </w:tcBorders>
          </w:tcPr>
          <w:p w14:paraId="35E13BE3" w14:textId="5DBB11B8" w:rsidR="00F9114F" w:rsidRDefault="00F9114F">
            <w:pPr>
              <w:rPr>
                <w:rFonts w:cs="Arial"/>
                <w:iCs/>
                <w:szCs w:val="20"/>
              </w:rPr>
            </w:pPr>
            <w:r>
              <w:rPr>
                <w:rFonts w:cs="Arial"/>
                <w:iCs/>
                <w:szCs w:val="20"/>
              </w:rPr>
              <w:t xml:space="preserve">Revised specimen requirements. </w:t>
            </w:r>
            <w:proofErr w:type="spellStart"/>
            <w:r>
              <w:rPr>
                <w:rFonts w:cs="Arial"/>
                <w:iCs/>
                <w:szCs w:val="20"/>
              </w:rPr>
              <w:t>LiHep</w:t>
            </w:r>
            <w:proofErr w:type="spellEnd"/>
            <w:r>
              <w:rPr>
                <w:rFonts w:cs="Arial"/>
                <w:iCs/>
                <w:szCs w:val="20"/>
              </w:rPr>
              <w:t xml:space="preserve"> plasma is now preferred sample type.</w:t>
            </w:r>
          </w:p>
        </w:tc>
      </w:tr>
    </w:tbl>
    <w:p w14:paraId="5CD0005A" w14:textId="77777777" w:rsidR="00E3253B" w:rsidRPr="00BC1DCC" w:rsidRDefault="00E3253B" w:rsidP="007132A9">
      <w:pPr>
        <w:rPr>
          <w:rFonts w:cs="Arial"/>
        </w:rPr>
      </w:pPr>
    </w:p>
    <w:sectPr w:rsidR="00E3253B" w:rsidRPr="00BC1DCC" w:rsidSect="008F2C66">
      <w:headerReference w:type="default" r:id="rId14"/>
      <w:footerReference w:type="default" r:id="rId15"/>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0005D" w14:textId="77777777" w:rsidR="00EB4B6C" w:rsidRDefault="00EB4B6C">
      <w:r>
        <w:separator/>
      </w:r>
    </w:p>
  </w:endnote>
  <w:endnote w:type="continuationSeparator" w:id="0">
    <w:p w14:paraId="5CD0005E"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enPro-Regular">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63" w14:textId="78E5550C" w:rsidR="00B13C1A" w:rsidRPr="002E718D" w:rsidRDefault="00B13C1A" w:rsidP="002E718D">
    <w:pPr>
      <w:ind w:left="-1260" w:right="-1260"/>
      <w:rPr>
        <w:rFonts w:cs="Arial"/>
        <w:sz w:val="16"/>
      </w:rPr>
    </w:pPr>
    <w:r>
      <w:rPr>
        <w:rFonts w:cs="Arial"/>
        <w:sz w:val="16"/>
      </w:rPr>
      <w:t>Laboratory, Chil</w:t>
    </w:r>
    <w:r w:rsidR="002D391E">
      <w:rPr>
        <w:rFonts w:cs="Arial"/>
        <w:sz w:val="16"/>
      </w:rPr>
      <w:t>dren’s Minnesota, Minneapolis</w:t>
    </w:r>
    <w:r>
      <w:rPr>
        <w:rFonts w:cs="Arial"/>
        <w:sz w:val="16"/>
      </w:rPr>
      <w:t>,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B2518A">
      <w:rPr>
        <w:noProof/>
        <w:sz w:val="18"/>
      </w:rPr>
      <w:t>3</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B2518A">
      <w:rPr>
        <w:noProof/>
        <w:sz w:val="18"/>
      </w:rPr>
      <w:t>8</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0005B" w14:textId="77777777" w:rsidR="00EB4B6C" w:rsidRDefault="00EB4B6C">
      <w:r>
        <w:separator/>
      </w:r>
    </w:p>
  </w:footnote>
  <w:footnote w:type="continuationSeparator" w:id="0">
    <w:p w14:paraId="5CD0005C" w14:textId="77777777"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5F" w14:textId="5B41F74E" w:rsidR="00B13C1A" w:rsidRDefault="00420763">
    <w:pPr>
      <w:ind w:left="-1260" w:right="-1260"/>
      <w:rPr>
        <w:rFonts w:cs="Arial"/>
      </w:rPr>
    </w:pPr>
    <w:r>
      <w:rPr>
        <w:noProof/>
      </w:rPr>
      <w:drawing>
        <wp:anchor distT="0" distB="0" distL="114300" distR="114300" simplePos="0" relativeHeight="251659264" behindDoc="1" locked="0" layoutInCell="1" allowOverlap="1" wp14:anchorId="5CD00064" wp14:editId="5CD00065">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F52BBA">
      <w:rPr>
        <w:rFonts w:cs="Arial"/>
      </w:rPr>
      <w:t xml:space="preserve">CH </w:t>
    </w:r>
    <w:r w:rsidR="002D391E">
      <w:rPr>
        <w:rFonts w:cs="Arial"/>
      </w:rPr>
      <w:t>6.7315 PTH, Intact</w:t>
    </w:r>
  </w:p>
  <w:p w14:paraId="5CD00060" w14:textId="0931032B" w:rsidR="00B13C1A" w:rsidRDefault="00981A4A">
    <w:pPr>
      <w:ind w:left="-1260" w:right="-1260"/>
      <w:rPr>
        <w:rFonts w:cs="Arial"/>
      </w:rPr>
    </w:pPr>
    <w:r>
      <w:rPr>
        <w:rFonts w:cs="Arial"/>
      </w:rPr>
      <w:t xml:space="preserve">Version </w:t>
    </w:r>
    <w:r w:rsidR="000F3465">
      <w:rPr>
        <w:rFonts w:cs="Arial"/>
      </w:rPr>
      <w:t>3</w:t>
    </w:r>
  </w:p>
  <w:p w14:paraId="5CD00061" w14:textId="7B15022B" w:rsidR="00B13C1A" w:rsidRDefault="00B13C1A">
    <w:pPr>
      <w:ind w:left="-1260" w:right="-1260"/>
      <w:rPr>
        <w:rFonts w:cs="Arial"/>
      </w:rPr>
    </w:pPr>
    <w:r>
      <w:rPr>
        <w:rFonts w:cs="Arial"/>
      </w:rPr>
      <w:t xml:space="preserve">Effective Date: </w:t>
    </w:r>
    <w:r w:rsidR="000F3465">
      <w:rPr>
        <w:rFonts w:cs="Arial"/>
      </w:rPr>
      <w:t>April</w:t>
    </w:r>
    <w:r w:rsidR="002D391E">
      <w:rPr>
        <w:rFonts w:cs="Arial"/>
      </w:rPr>
      <w:t xml:space="preserve"> </w:t>
    </w:r>
    <w:r w:rsidR="000F3465">
      <w:rPr>
        <w:rFonts w:cs="Arial"/>
      </w:rPr>
      <w:t>25</w:t>
    </w:r>
    <w:r w:rsidR="002D391E">
      <w:rPr>
        <w:rFonts w:cs="Arial"/>
      </w:rPr>
      <w:t xml:space="preserve">, </w:t>
    </w:r>
    <w:r w:rsidR="00EF4291">
      <w:rPr>
        <w:rFonts w:cs="Arial"/>
      </w:rPr>
      <w:t>202</w:t>
    </w:r>
    <w:r w:rsidR="000F3465">
      <w:rPr>
        <w:rFonts w:cs="Arial"/>
      </w:rPr>
      <w:t>2</w:t>
    </w:r>
  </w:p>
  <w:p w14:paraId="5CD00062" w14:textId="77777777"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E66A79"/>
    <w:multiLevelType w:val="hybridMultilevel"/>
    <w:tmpl w:val="FAD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4116AE0"/>
    <w:multiLevelType w:val="hybridMultilevel"/>
    <w:tmpl w:val="AD9A5980"/>
    <w:lvl w:ilvl="0" w:tplc="DAA22ACE">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EC4224"/>
    <w:multiLevelType w:val="hybridMultilevel"/>
    <w:tmpl w:val="4AA2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4"/>
  </w:num>
  <w:num w:numId="3">
    <w:abstractNumId w:val="31"/>
  </w:num>
  <w:num w:numId="4">
    <w:abstractNumId w:val="35"/>
  </w:num>
  <w:num w:numId="5">
    <w:abstractNumId w:val="5"/>
  </w:num>
  <w:num w:numId="6">
    <w:abstractNumId w:val="10"/>
  </w:num>
  <w:num w:numId="7">
    <w:abstractNumId w:val="27"/>
  </w:num>
  <w:num w:numId="8">
    <w:abstractNumId w:val="22"/>
  </w:num>
  <w:num w:numId="9">
    <w:abstractNumId w:val="13"/>
  </w:num>
  <w:num w:numId="10">
    <w:abstractNumId w:val="2"/>
  </w:num>
  <w:num w:numId="11">
    <w:abstractNumId w:val="28"/>
  </w:num>
  <w:num w:numId="12">
    <w:abstractNumId w:val="8"/>
  </w:num>
  <w:num w:numId="13">
    <w:abstractNumId w:val="29"/>
  </w:num>
  <w:num w:numId="14">
    <w:abstractNumId w:val="37"/>
  </w:num>
  <w:num w:numId="15">
    <w:abstractNumId w:val="20"/>
  </w:num>
  <w:num w:numId="16">
    <w:abstractNumId w:val="1"/>
  </w:num>
  <w:num w:numId="17">
    <w:abstractNumId w:val="40"/>
  </w:num>
  <w:num w:numId="18">
    <w:abstractNumId w:val="11"/>
  </w:num>
  <w:num w:numId="19">
    <w:abstractNumId w:val="19"/>
  </w:num>
  <w:num w:numId="20">
    <w:abstractNumId w:val="26"/>
  </w:num>
  <w:num w:numId="21">
    <w:abstractNumId w:val="33"/>
  </w:num>
  <w:num w:numId="22">
    <w:abstractNumId w:val="38"/>
  </w:num>
  <w:num w:numId="23">
    <w:abstractNumId w:val="24"/>
  </w:num>
  <w:num w:numId="24">
    <w:abstractNumId w:val="6"/>
  </w:num>
  <w:num w:numId="25">
    <w:abstractNumId w:val="18"/>
  </w:num>
  <w:num w:numId="26">
    <w:abstractNumId w:val="12"/>
  </w:num>
  <w:num w:numId="27">
    <w:abstractNumId w:val="7"/>
  </w:num>
  <w:num w:numId="28">
    <w:abstractNumId w:val="23"/>
  </w:num>
  <w:num w:numId="29">
    <w:abstractNumId w:val="32"/>
  </w:num>
  <w:num w:numId="30">
    <w:abstractNumId w:val="30"/>
  </w:num>
  <w:num w:numId="31">
    <w:abstractNumId w:val="21"/>
  </w:num>
  <w:num w:numId="32">
    <w:abstractNumId w:val="17"/>
  </w:num>
  <w:num w:numId="33">
    <w:abstractNumId w:val="4"/>
  </w:num>
  <w:num w:numId="34">
    <w:abstractNumId w:val="36"/>
  </w:num>
  <w:num w:numId="35">
    <w:abstractNumId w:val="34"/>
  </w:num>
  <w:num w:numId="36">
    <w:abstractNumId w:val="16"/>
  </w:num>
  <w:num w:numId="37">
    <w:abstractNumId w:val="39"/>
  </w:num>
  <w:num w:numId="38">
    <w:abstractNumId w:val="0"/>
  </w:num>
  <w:num w:numId="39">
    <w:abstractNumId w:val="9"/>
  </w:num>
  <w:num w:numId="40">
    <w:abstractNumId w:val="25"/>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001C2"/>
    <w:rsid w:val="0002281F"/>
    <w:rsid w:val="000244AC"/>
    <w:rsid w:val="00025B50"/>
    <w:rsid w:val="0002771B"/>
    <w:rsid w:val="00064AD2"/>
    <w:rsid w:val="000A3E5A"/>
    <w:rsid w:val="000E63E3"/>
    <w:rsid w:val="000F3465"/>
    <w:rsid w:val="001102B2"/>
    <w:rsid w:val="00115DD6"/>
    <w:rsid w:val="001241E4"/>
    <w:rsid w:val="001253B6"/>
    <w:rsid w:val="0017089C"/>
    <w:rsid w:val="00180D60"/>
    <w:rsid w:val="001A1584"/>
    <w:rsid w:val="001B58ED"/>
    <w:rsid w:val="001C1CFA"/>
    <w:rsid w:val="001C641E"/>
    <w:rsid w:val="001D1786"/>
    <w:rsid w:val="001D284B"/>
    <w:rsid w:val="001F5D12"/>
    <w:rsid w:val="00233AA0"/>
    <w:rsid w:val="00234774"/>
    <w:rsid w:val="002462C0"/>
    <w:rsid w:val="00250A09"/>
    <w:rsid w:val="00252F1D"/>
    <w:rsid w:val="002A3FA3"/>
    <w:rsid w:val="002C12BF"/>
    <w:rsid w:val="002C29CB"/>
    <w:rsid w:val="002C3006"/>
    <w:rsid w:val="002D391E"/>
    <w:rsid w:val="002E718D"/>
    <w:rsid w:val="002F5C68"/>
    <w:rsid w:val="002F5F18"/>
    <w:rsid w:val="0030640D"/>
    <w:rsid w:val="003100D1"/>
    <w:rsid w:val="003145F4"/>
    <w:rsid w:val="00320282"/>
    <w:rsid w:val="003278F7"/>
    <w:rsid w:val="00342047"/>
    <w:rsid w:val="00370B0F"/>
    <w:rsid w:val="00387FF5"/>
    <w:rsid w:val="0039587D"/>
    <w:rsid w:val="003A65AD"/>
    <w:rsid w:val="003C2130"/>
    <w:rsid w:val="003D5BD7"/>
    <w:rsid w:val="003D713F"/>
    <w:rsid w:val="003E0A08"/>
    <w:rsid w:val="003E168B"/>
    <w:rsid w:val="00416B6C"/>
    <w:rsid w:val="00420763"/>
    <w:rsid w:val="0042435C"/>
    <w:rsid w:val="00437425"/>
    <w:rsid w:val="00440E37"/>
    <w:rsid w:val="004735E9"/>
    <w:rsid w:val="00486653"/>
    <w:rsid w:val="004920BD"/>
    <w:rsid w:val="004A698D"/>
    <w:rsid w:val="004B5D63"/>
    <w:rsid w:val="004C14CE"/>
    <w:rsid w:val="004C6A64"/>
    <w:rsid w:val="00504F3B"/>
    <w:rsid w:val="005125A4"/>
    <w:rsid w:val="005665A7"/>
    <w:rsid w:val="00575F3F"/>
    <w:rsid w:val="005A7373"/>
    <w:rsid w:val="005B66A7"/>
    <w:rsid w:val="005C6F36"/>
    <w:rsid w:val="006200C0"/>
    <w:rsid w:val="00646E63"/>
    <w:rsid w:val="00655B61"/>
    <w:rsid w:val="00685D61"/>
    <w:rsid w:val="00693888"/>
    <w:rsid w:val="006A26B2"/>
    <w:rsid w:val="006A2770"/>
    <w:rsid w:val="006A41B1"/>
    <w:rsid w:val="006A4B0E"/>
    <w:rsid w:val="006A5A84"/>
    <w:rsid w:val="006B78CE"/>
    <w:rsid w:val="006C5661"/>
    <w:rsid w:val="006C7814"/>
    <w:rsid w:val="006F3EAE"/>
    <w:rsid w:val="007132A9"/>
    <w:rsid w:val="00747868"/>
    <w:rsid w:val="00792033"/>
    <w:rsid w:val="007B1809"/>
    <w:rsid w:val="007B2A3E"/>
    <w:rsid w:val="007B410A"/>
    <w:rsid w:val="007F5B07"/>
    <w:rsid w:val="008044BA"/>
    <w:rsid w:val="0081197E"/>
    <w:rsid w:val="0081598A"/>
    <w:rsid w:val="00824C10"/>
    <w:rsid w:val="00831C78"/>
    <w:rsid w:val="00882536"/>
    <w:rsid w:val="008A71A5"/>
    <w:rsid w:val="008A7CDA"/>
    <w:rsid w:val="008B53E5"/>
    <w:rsid w:val="008D3369"/>
    <w:rsid w:val="008D7EF5"/>
    <w:rsid w:val="008F2C66"/>
    <w:rsid w:val="00914DEC"/>
    <w:rsid w:val="00944DFA"/>
    <w:rsid w:val="009475C8"/>
    <w:rsid w:val="00950E15"/>
    <w:rsid w:val="00981A4A"/>
    <w:rsid w:val="00984816"/>
    <w:rsid w:val="009A1A3D"/>
    <w:rsid w:val="009A1AE6"/>
    <w:rsid w:val="009B6AAC"/>
    <w:rsid w:val="009C08FA"/>
    <w:rsid w:val="009C4BDA"/>
    <w:rsid w:val="009C5A69"/>
    <w:rsid w:val="009D085B"/>
    <w:rsid w:val="009F5F31"/>
    <w:rsid w:val="00A002D3"/>
    <w:rsid w:val="00A062E1"/>
    <w:rsid w:val="00A166AA"/>
    <w:rsid w:val="00A23086"/>
    <w:rsid w:val="00A23FFE"/>
    <w:rsid w:val="00A32948"/>
    <w:rsid w:val="00A34EE2"/>
    <w:rsid w:val="00A5637B"/>
    <w:rsid w:val="00A64AE8"/>
    <w:rsid w:val="00A776A5"/>
    <w:rsid w:val="00A86097"/>
    <w:rsid w:val="00A94DDD"/>
    <w:rsid w:val="00A9779B"/>
    <w:rsid w:val="00AA5656"/>
    <w:rsid w:val="00AB7F16"/>
    <w:rsid w:val="00AE2334"/>
    <w:rsid w:val="00AF1198"/>
    <w:rsid w:val="00AF56A8"/>
    <w:rsid w:val="00B01603"/>
    <w:rsid w:val="00B067D8"/>
    <w:rsid w:val="00B109AB"/>
    <w:rsid w:val="00B11633"/>
    <w:rsid w:val="00B13C1A"/>
    <w:rsid w:val="00B2518A"/>
    <w:rsid w:val="00B2749D"/>
    <w:rsid w:val="00B415C8"/>
    <w:rsid w:val="00B44A36"/>
    <w:rsid w:val="00BB3F98"/>
    <w:rsid w:val="00BC1DCC"/>
    <w:rsid w:val="00BD0AE4"/>
    <w:rsid w:val="00BD0E0F"/>
    <w:rsid w:val="00BD3CED"/>
    <w:rsid w:val="00C00B65"/>
    <w:rsid w:val="00C12514"/>
    <w:rsid w:val="00C13C50"/>
    <w:rsid w:val="00C424AF"/>
    <w:rsid w:val="00C648E5"/>
    <w:rsid w:val="00CA70F6"/>
    <w:rsid w:val="00CD06C7"/>
    <w:rsid w:val="00CE07E8"/>
    <w:rsid w:val="00CE16FB"/>
    <w:rsid w:val="00CF08A6"/>
    <w:rsid w:val="00D25013"/>
    <w:rsid w:val="00D271B1"/>
    <w:rsid w:val="00D302B9"/>
    <w:rsid w:val="00D63C07"/>
    <w:rsid w:val="00D75850"/>
    <w:rsid w:val="00D955F6"/>
    <w:rsid w:val="00DC24D6"/>
    <w:rsid w:val="00DC2D9C"/>
    <w:rsid w:val="00DC7091"/>
    <w:rsid w:val="00DC7421"/>
    <w:rsid w:val="00DF5549"/>
    <w:rsid w:val="00DF6343"/>
    <w:rsid w:val="00E049CF"/>
    <w:rsid w:val="00E246BA"/>
    <w:rsid w:val="00E3253B"/>
    <w:rsid w:val="00E47DE5"/>
    <w:rsid w:val="00E55C7B"/>
    <w:rsid w:val="00E93074"/>
    <w:rsid w:val="00EA2B3F"/>
    <w:rsid w:val="00EA580E"/>
    <w:rsid w:val="00EB4B6C"/>
    <w:rsid w:val="00EC68B0"/>
    <w:rsid w:val="00EE145B"/>
    <w:rsid w:val="00EF1741"/>
    <w:rsid w:val="00EF4291"/>
    <w:rsid w:val="00F0405E"/>
    <w:rsid w:val="00F236AF"/>
    <w:rsid w:val="00F50200"/>
    <w:rsid w:val="00F52BBA"/>
    <w:rsid w:val="00F6060A"/>
    <w:rsid w:val="00F63DA5"/>
    <w:rsid w:val="00F83DB0"/>
    <w:rsid w:val="00F84C8E"/>
    <w:rsid w:val="00F9114F"/>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FF71"/>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paragraph" w:styleId="BalloonText">
    <w:name w:val="Balloon Text"/>
    <w:basedOn w:val="Normal"/>
    <w:link w:val="BalloonTextChar"/>
    <w:uiPriority w:val="99"/>
    <w:semiHidden/>
    <w:unhideWhenUsed/>
    <w:rsid w:val="006B7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8CE"/>
    <w:rPr>
      <w:rFonts w:ascii="Segoe UI" w:hAnsi="Segoe UI" w:cs="Segoe UI"/>
      <w:sz w:val="18"/>
      <w:szCs w:val="18"/>
    </w:rPr>
  </w:style>
  <w:style w:type="character" w:styleId="FollowedHyperlink">
    <w:name w:val="FollowedHyperlink"/>
    <w:basedOn w:val="DefaultParagraphFont"/>
    <w:uiPriority w:val="99"/>
    <w:semiHidden/>
    <w:unhideWhenUsed/>
    <w:rsid w:val="003420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emergency-and-safet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2023-09-01T05:00:00+00:00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6.7315 PTH intact</Document_x0020_Title>
    <Content_x0020_Release_x0020_Date xmlns="199f0838-75a6-4f0c-9be1-f2c07140bccc">2021-09-16T05:00:00+00:00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F6TN54CWY5RS-50183619-47423</_dlc_DocId>
    <_dlc_DocIdUrl xmlns="199f0838-75a6-4f0c-9be1-f2c07140bccc">
      <Url>https://vcpsharepoint4.childrenshc.org/references/_layouts/15/DocIdRedir.aspx?ID=F6TN54CWY5RS-50183619-47423</Url>
      <Description>F6TN54CWY5RS-50183619-47423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01404-6C53-42D6-91CF-9965EE8E0C19}">
  <ds:schemaRefs>
    <ds:schemaRef ds:uri="http://schemas.microsoft.com/sharepoint/v3/contenttype/forms"/>
  </ds:schemaRefs>
</ds:datastoreItem>
</file>

<file path=customXml/itemProps2.xml><?xml version="1.0" encoding="utf-8"?>
<ds:datastoreItem xmlns:ds="http://schemas.openxmlformats.org/officeDocument/2006/customXml" ds:itemID="{486088E5-01B6-45A3-B360-8B0A61C6A90A}">
  <ds:schemaRefs>
    <ds:schemaRef ds:uri="http://purl.org/dc/dcmitype/"/>
    <ds:schemaRef ds:uri="199f0838-75a6-4f0c-9be1-f2c07140bccc"/>
    <ds:schemaRef ds:uri="http://purl.org/dc/elements/1.1/"/>
    <ds:schemaRef ds:uri="http://schemas.microsoft.com/office/2006/metadata/properties"/>
    <ds:schemaRef ds:uri="c1848e11-9cf6-4ce4-877e-6837d2c2fa23"/>
    <ds:schemaRef ds:uri="http://schemas.microsoft.com/office/infopath/2007/PartnerControls"/>
    <ds:schemaRef ds:uri="http://schemas.microsoft.com/sharepoint/v3"/>
    <ds:schemaRef ds:uri="http://schemas.openxmlformats.org/package/2006/metadata/core-properties"/>
    <ds:schemaRef ds:uri="http://schemas.microsoft.com/office/2006/documentManagement/types"/>
    <ds:schemaRef ds:uri="http://schemas.microsoft.com/sharepoint.v3"/>
    <ds:schemaRef ds:uri="http://schemas.microsoft.com/sharepoint/v3/fields"/>
    <ds:schemaRef ds:uri="http://www.w3.org/XML/1998/namespace"/>
    <ds:schemaRef ds:uri="http://purl.org/dc/terms/"/>
  </ds:schemaRefs>
</ds:datastoreItem>
</file>

<file path=customXml/itemProps3.xml><?xml version="1.0" encoding="utf-8"?>
<ds:datastoreItem xmlns:ds="http://schemas.openxmlformats.org/officeDocument/2006/customXml" ds:itemID="{32AB6C76-6B7A-4237-B0E6-811AB5C80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F70E1A-0307-41AB-9E3E-CA42C81DE98D}">
  <ds:schemaRefs>
    <ds:schemaRef ds:uri="http://schemas.microsoft.com/sharepoint/events"/>
  </ds:schemaRefs>
</ds:datastoreItem>
</file>

<file path=customXml/itemProps5.xml><?xml version="1.0" encoding="utf-8"?>
<ds:datastoreItem xmlns:ds="http://schemas.openxmlformats.org/officeDocument/2006/customXml" ds:itemID="{7ED15F0C-8723-4E71-8246-D21185DE5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8</Pages>
  <Words>2290</Words>
  <Characters>12727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CH 6.7315 PTH intact</vt:lpstr>
    </vt:vector>
  </TitlesOfParts>
  <Company>Authorized User</Company>
  <LinksUpToDate>false</LinksUpToDate>
  <CharactersWithSpaces>14988</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6.7315 PTH intact</dc:title>
  <dc:creator>CE155076</dc:creator>
  <dc:description>new procedure for abbott analyzers.  erb 10/28/20 (1/18/21) Corrected QC material. MCJ 9/16/2021</dc:description>
  <cp:lastModifiedBy>Matthew Johnson</cp:lastModifiedBy>
  <cp:revision>6</cp:revision>
  <cp:lastPrinted>2022-04-13T15:16:00Z</cp:lastPrinted>
  <dcterms:created xsi:type="dcterms:W3CDTF">2022-04-11T18:56:00Z</dcterms:created>
  <dcterms:modified xsi:type="dcterms:W3CDTF">2022-04-13T15:31:00Z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b756f88b-d12d-46a1-b22c-dd68c7c14285</vt:lpwstr>
  </property>
  <property fmtid="{D5CDD505-2E9C-101B-9397-08002B2CF9AE}" pid="4" name="WorkflowChangePath">
    <vt:lpwstr>85493ae8-44a3-4172-9f61-0b2d9e19d9ef,4;a8d28c1c-6954-4ce7-8b3c-93c4392a3501,4;a8d28c1c-6954-4ce7-8b3c-93c4392a3501,10;</vt:lpwstr>
  </property>
</Properties>
</file>