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98"/>
        <w:gridCol w:w="1904"/>
        <w:gridCol w:w="372"/>
        <w:gridCol w:w="1431"/>
        <w:gridCol w:w="343"/>
        <w:gridCol w:w="558"/>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074244" w:rsidP="009945CD">
            <w:pPr>
              <w:pStyle w:val="Title"/>
              <w:jc w:val="left"/>
              <w:rPr>
                <w:rFonts w:ascii="Arial" w:hAnsi="Arial"/>
                <w:color w:val="0000FF"/>
              </w:rPr>
            </w:pPr>
            <w:r>
              <w:rPr>
                <w:rFonts w:ascii="Arial" w:hAnsi="Arial"/>
                <w:color w:val="0000FF"/>
              </w:rPr>
              <w:t>GeneXpert TV Assay</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074244">
              <w:rPr>
                <w:rFonts w:ascii="Arial" w:hAnsi="Arial"/>
              </w:rPr>
              <w:t xml:space="preserve">performing the </w:t>
            </w:r>
            <w:proofErr w:type="spellStart"/>
            <w:r w:rsidR="00074244">
              <w:rPr>
                <w:rFonts w:ascii="Arial" w:hAnsi="Arial"/>
              </w:rPr>
              <w:t>Xpert</w:t>
            </w:r>
            <w:proofErr w:type="spellEnd"/>
            <w:r w:rsidR="00074244">
              <w:rPr>
                <w:rFonts w:ascii="Arial" w:hAnsi="Arial"/>
              </w:rPr>
              <w:t xml:space="preserve"> TV assay on the Cepheid GeneXpert system.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074244" w:rsidRPr="00074244" w:rsidRDefault="00074244" w:rsidP="00074244">
            <w:pPr>
              <w:autoSpaceDE w:val="0"/>
              <w:autoSpaceDN w:val="0"/>
              <w:adjustRightInd w:val="0"/>
              <w:jc w:val="left"/>
              <w:rPr>
                <w:rFonts w:ascii="Arial" w:eastAsiaTheme="minorHAnsi" w:hAnsi="Arial" w:cs="Arial"/>
                <w:sz w:val="20"/>
                <w:szCs w:val="20"/>
              </w:rPr>
            </w:pPr>
            <w:r w:rsidRPr="00074244">
              <w:rPr>
                <w:rFonts w:ascii="Arial" w:eastAsiaTheme="minorHAnsi" w:hAnsi="Arial" w:cs="Arial"/>
                <w:sz w:val="20"/>
                <w:szCs w:val="20"/>
              </w:rPr>
              <w:t xml:space="preserve">The </w:t>
            </w:r>
            <w:proofErr w:type="spellStart"/>
            <w:r w:rsidRPr="00074244">
              <w:rPr>
                <w:rFonts w:ascii="Arial" w:eastAsiaTheme="minorHAnsi" w:hAnsi="Arial" w:cs="Arial"/>
                <w:sz w:val="20"/>
                <w:szCs w:val="20"/>
              </w:rPr>
              <w:t>Xpert</w:t>
            </w:r>
            <w:proofErr w:type="spellEnd"/>
            <w:r w:rsidRPr="00074244">
              <w:rPr>
                <w:rFonts w:ascii="Arial" w:eastAsiaTheme="minorHAnsi" w:hAnsi="Arial" w:cs="Arial"/>
                <w:sz w:val="20"/>
                <w:szCs w:val="20"/>
              </w:rPr>
              <w:t xml:space="preserve"> TV Assay is intended to aid in the diagnosis of </w:t>
            </w:r>
            <w:proofErr w:type="spellStart"/>
            <w:r w:rsidRPr="00074244">
              <w:rPr>
                <w:rFonts w:ascii="Arial" w:eastAsiaTheme="minorHAnsi" w:hAnsi="Arial" w:cs="Arial"/>
                <w:sz w:val="20"/>
                <w:szCs w:val="20"/>
              </w:rPr>
              <w:t>trichomoniasis</w:t>
            </w:r>
            <w:proofErr w:type="spellEnd"/>
            <w:r w:rsidRPr="00074244">
              <w:rPr>
                <w:rFonts w:ascii="Arial" w:eastAsiaTheme="minorHAnsi" w:hAnsi="Arial" w:cs="Arial"/>
                <w:sz w:val="20"/>
                <w:szCs w:val="20"/>
              </w:rPr>
              <w:t xml:space="preserve"> in symptomatic or asymptomatic individuals.</w:t>
            </w:r>
          </w:p>
          <w:p w:rsidR="00074244" w:rsidRPr="00074244" w:rsidRDefault="00074244" w:rsidP="00074244">
            <w:pPr>
              <w:autoSpaceDE w:val="0"/>
              <w:autoSpaceDN w:val="0"/>
              <w:adjustRightInd w:val="0"/>
              <w:jc w:val="left"/>
              <w:rPr>
                <w:rFonts w:ascii="Arial" w:eastAsiaTheme="minorHAnsi" w:hAnsi="Arial" w:cs="Arial"/>
                <w:sz w:val="20"/>
                <w:szCs w:val="20"/>
              </w:rPr>
            </w:pPr>
          </w:p>
          <w:p w:rsidR="00074244" w:rsidRPr="00074244" w:rsidRDefault="00074244" w:rsidP="00074244">
            <w:pPr>
              <w:autoSpaceDE w:val="0"/>
              <w:autoSpaceDN w:val="0"/>
              <w:adjustRightInd w:val="0"/>
              <w:jc w:val="left"/>
              <w:rPr>
                <w:rFonts w:ascii="Arial" w:eastAsiaTheme="minorHAnsi" w:hAnsi="Arial" w:cs="Arial"/>
                <w:sz w:val="20"/>
                <w:szCs w:val="20"/>
              </w:rPr>
            </w:pPr>
            <w:r w:rsidRPr="00074244">
              <w:rPr>
                <w:rFonts w:ascii="Arial" w:eastAsiaTheme="minorHAnsi" w:hAnsi="Arial" w:cs="Arial"/>
                <w:sz w:val="20"/>
                <w:szCs w:val="20"/>
              </w:rPr>
              <w:t xml:space="preserve">The protozoan </w:t>
            </w:r>
            <w:r w:rsidRPr="00074244">
              <w:rPr>
                <w:rFonts w:ascii="Arial" w:eastAsiaTheme="minorHAnsi" w:hAnsi="Arial" w:cs="Arial"/>
                <w:i/>
                <w:iCs/>
                <w:sz w:val="20"/>
                <w:szCs w:val="20"/>
              </w:rPr>
              <w:t xml:space="preserve">Trichomonas vaginalis </w:t>
            </w:r>
            <w:r w:rsidRPr="00074244">
              <w:rPr>
                <w:rFonts w:ascii="Arial" w:eastAsiaTheme="minorHAnsi" w:hAnsi="Arial" w:cs="Arial"/>
                <w:sz w:val="20"/>
                <w:szCs w:val="20"/>
              </w:rPr>
              <w:t xml:space="preserve">is responsible for </w:t>
            </w:r>
            <w:proofErr w:type="spellStart"/>
            <w:r w:rsidRPr="00074244">
              <w:rPr>
                <w:rFonts w:ascii="Arial" w:eastAsiaTheme="minorHAnsi" w:hAnsi="Arial" w:cs="Arial"/>
                <w:sz w:val="20"/>
                <w:szCs w:val="20"/>
              </w:rPr>
              <w:t>trichomoniasis</w:t>
            </w:r>
            <w:proofErr w:type="spellEnd"/>
            <w:r w:rsidRPr="00074244">
              <w:rPr>
                <w:rFonts w:ascii="Arial" w:eastAsiaTheme="minorHAnsi" w:hAnsi="Arial" w:cs="Arial"/>
                <w:sz w:val="20"/>
                <w:szCs w:val="20"/>
              </w:rPr>
              <w:t xml:space="preserve">, which is a common sexually transmitted infection that can infect both men and women. There are 7.4 million cases of </w:t>
            </w:r>
            <w:proofErr w:type="spellStart"/>
            <w:r w:rsidRPr="00074244">
              <w:rPr>
                <w:rFonts w:ascii="Arial" w:eastAsiaTheme="minorHAnsi" w:hAnsi="Arial" w:cs="Arial"/>
                <w:sz w:val="20"/>
                <w:szCs w:val="20"/>
              </w:rPr>
              <w:t>trichomoniasis</w:t>
            </w:r>
            <w:proofErr w:type="spellEnd"/>
            <w:r w:rsidRPr="00074244">
              <w:rPr>
                <w:rFonts w:ascii="Arial" w:eastAsiaTheme="minorHAnsi" w:hAnsi="Arial" w:cs="Arial"/>
                <w:sz w:val="20"/>
                <w:szCs w:val="20"/>
              </w:rPr>
              <w:t xml:space="preserve"> annually in the United States. </w:t>
            </w:r>
            <w:proofErr w:type="spellStart"/>
            <w:r w:rsidRPr="00074244">
              <w:rPr>
                <w:rFonts w:ascii="Arial" w:eastAsiaTheme="minorHAnsi" w:hAnsi="Arial" w:cs="Arial"/>
                <w:sz w:val="20"/>
                <w:szCs w:val="20"/>
              </w:rPr>
              <w:t>Trichomoniasis</w:t>
            </w:r>
            <w:proofErr w:type="spellEnd"/>
            <w:r w:rsidRPr="00074244">
              <w:rPr>
                <w:rFonts w:ascii="Arial" w:eastAsiaTheme="minorHAnsi" w:hAnsi="Arial" w:cs="Arial"/>
                <w:sz w:val="20"/>
                <w:szCs w:val="20"/>
              </w:rPr>
              <w:t xml:space="preserve"> infections can be symptomatic or asymptomatic.  In women, </w:t>
            </w:r>
            <w:proofErr w:type="spellStart"/>
            <w:r w:rsidRPr="00074244">
              <w:rPr>
                <w:rFonts w:ascii="Arial" w:eastAsiaTheme="minorHAnsi" w:hAnsi="Arial" w:cs="Arial"/>
                <w:sz w:val="20"/>
                <w:szCs w:val="20"/>
              </w:rPr>
              <w:t>trichomoniasis</w:t>
            </w:r>
            <w:proofErr w:type="spellEnd"/>
            <w:r w:rsidRPr="00074244">
              <w:rPr>
                <w:rFonts w:ascii="Arial" w:eastAsiaTheme="minorHAnsi" w:hAnsi="Arial" w:cs="Arial"/>
                <w:sz w:val="20"/>
                <w:szCs w:val="20"/>
              </w:rPr>
              <w:t xml:space="preserve"> is one of a range of conditions that comprise vaginal discharge. Symptoms in females can include itching, burning, redness, or soreness of the genitals, unusual odor, discomfort with urination, or a thin clear, white, yellow, or green discharge.  In men, </w:t>
            </w:r>
            <w:proofErr w:type="spellStart"/>
            <w:r w:rsidRPr="00074244">
              <w:rPr>
                <w:rFonts w:ascii="Arial" w:eastAsiaTheme="minorHAnsi" w:hAnsi="Arial" w:cs="Arial"/>
                <w:sz w:val="20"/>
                <w:szCs w:val="20"/>
              </w:rPr>
              <w:t>trichomoniasis</w:t>
            </w:r>
            <w:proofErr w:type="spellEnd"/>
            <w:r w:rsidRPr="00074244">
              <w:rPr>
                <w:rFonts w:ascii="Arial" w:eastAsiaTheme="minorHAnsi" w:hAnsi="Arial" w:cs="Arial"/>
                <w:sz w:val="20"/>
                <w:szCs w:val="20"/>
              </w:rPr>
              <w:t xml:space="preserve"> may cause non-gonococcal urethritis (NGU). Symptoms in males can include itching or burning inside the penis, burning after ejaculation or urination, or penile discharge.</w:t>
            </w:r>
            <w:r w:rsidRPr="00074244">
              <w:rPr>
                <w:rFonts w:ascii="Arial" w:eastAsiaTheme="minorHAnsi" w:hAnsi="Arial" w:cs="Arial"/>
                <w:sz w:val="20"/>
                <w:szCs w:val="20"/>
              </w:rPr>
              <w:fldChar w:fldCharType="begin"/>
            </w:r>
            <w:r w:rsidRPr="00074244">
              <w:rPr>
                <w:rFonts w:ascii="Arial" w:eastAsiaTheme="minorHAnsi" w:hAnsi="Arial" w:cs="Arial"/>
                <w:sz w:val="20"/>
                <w:szCs w:val="20"/>
              </w:rPr>
              <w:instrText xml:space="preserve"> ADDIN EN.CITE &lt;EndNote&gt;&lt;Cite&gt;&lt;Year&gt;September 2016&lt;/Year&gt;&lt;RecNum&gt;1&lt;/RecNum&gt;&lt;DisplayText&gt;(1)&lt;/DisplayText&gt;&lt;record&gt;&lt;rec-number&gt;1&lt;/rec-number&gt;&lt;foreign-keys&gt;&lt;key app="EN" db-id="x5vw05verzwpsee5drupe9xs9fpwa52rra90" timestamp="1560167612"&gt;1&lt;/key&gt;&lt;/foreign-keys&gt;&lt;ref-type name="Pamphlet"&gt;24&lt;/ref-type&gt;&lt;contributors&gt;&lt;/contributors&gt;&lt;titles&gt;&lt;title&gt;Xpert TV Package Insert 301-2887, Rev. B&lt;/title&gt;&lt;/titles&gt;&lt;dates&gt;&lt;year&gt;September 2016&lt;/year&gt;&lt;/dates&gt;&lt;pub-location&gt;Sunnyvale, CA&lt;/pub-location&gt;&lt;publisher&gt;Cepheid&lt;/publisher&gt;&lt;urls&gt;&lt;/urls&gt;&lt;/record&gt;&lt;/Cite&gt;&lt;/EndNote&gt;</w:instrText>
            </w:r>
            <w:r w:rsidRPr="00074244">
              <w:rPr>
                <w:rFonts w:ascii="Arial" w:eastAsiaTheme="minorHAnsi" w:hAnsi="Arial" w:cs="Arial"/>
                <w:sz w:val="20"/>
                <w:szCs w:val="20"/>
              </w:rPr>
              <w:fldChar w:fldCharType="separate"/>
            </w:r>
            <w:r w:rsidRPr="00074244">
              <w:rPr>
                <w:rFonts w:ascii="Arial" w:eastAsiaTheme="minorHAnsi" w:hAnsi="Arial" w:cs="Arial"/>
                <w:noProof/>
                <w:sz w:val="20"/>
                <w:szCs w:val="20"/>
              </w:rPr>
              <w:t>(1)</w:t>
            </w:r>
            <w:r w:rsidRPr="00074244">
              <w:rPr>
                <w:rFonts w:ascii="Arial" w:eastAsiaTheme="minorHAnsi" w:hAnsi="Arial" w:cs="Arial"/>
                <w:sz w:val="20"/>
                <w:szCs w:val="20"/>
              </w:rPr>
              <w:fldChar w:fldCharType="end"/>
            </w:r>
            <w:r w:rsidRPr="00074244">
              <w:rPr>
                <w:rFonts w:ascii="Arial" w:eastAsiaTheme="minorHAnsi" w:hAnsi="Arial" w:cs="Arial"/>
                <w:sz w:val="20"/>
                <w:szCs w:val="20"/>
              </w:rPr>
              <w:t xml:space="preserve">  Infection can increase the risk of getting or spreading HIV, and pregnant women are more likely to have their babies too early and with a low birth weight.</w:t>
            </w:r>
            <w:r w:rsidRPr="00074244">
              <w:rPr>
                <w:rFonts w:ascii="Arial" w:eastAsiaTheme="minorHAnsi" w:hAnsi="Arial" w:cs="Arial"/>
                <w:sz w:val="20"/>
                <w:szCs w:val="20"/>
              </w:rPr>
              <w:fldChar w:fldCharType="begin"/>
            </w:r>
            <w:r w:rsidRPr="00074244">
              <w:rPr>
                <w:rFonts w:ascii="Arial" w:eastAsiaTheme="minorHAnsi" w:hAnsi="Arial" w:cs="Arial"/>
                <w:sz w:val="20"/>
                <w:szCs w:val="20"/>
              </w:rPr>
              <w:instrText xml:space="preserve"> ADDIN EN.CITE &lt;EndNote&gt;&lt;Cite&gt;&lt;RecNum&gt;2&lt;/RecNum&gt;&lt;DisplayText&gt;(2)&lt;/DisplayText&gt;&lt;record&gt;&lt;rec-number&gt;2&lt;/rec-number&gt;&lt;foreign-keys&gt;&lt;key app="EN" db-id="x5vw05verzwpsee5drupe9xs9fpwa52rra90" timestamp="1560523583"&gt;2&lt;/key&gt;&lt;/foreign-keys&gt;&lt;ref-type name="Web Page"&gt;12&lt;/ref-type&gt;&lt;contributors&gt;&lt;/contributors&gt;&lt;titles&gt;&lt;title&gt;Trichomoniasis Statistics &lt;/title&gt;&lt;/titles&gt;&lt;dates&gt;&lt;pub-dates&gt;&lt;date&gt;January 2017&lt;/date&gt;&lt;/pub-dates&gt;&lt;/dates&gt;&lt;pub-location&gt;GA&lt;/pub-location&gt;&lt;publisher&gt;CDC&lt;/publisher&gt;&lt;urls&gt;&lt;related-urls&gt;&lt;url&gt;&lt;style face="underline" font="default" size="100%"&gt;https://www.cdc.gov/std/trichomonas/stats.htm&lt;/style&gt;&lt;/url&gt;&lt;/related-urls&gt;&lt;/urls&gt;&lt;/record&gt;&lt;/Cite&gt;&lt;/EndNote&gt;</w:instrText>
            </w:r>
            <w:r w:rsidRPr="00074244">
              <w:rPr>
                <w:rFonts w:ascii="Arial" w:eastAsiaTheme="minorHAnsi" w:hAnsi="Arial" w:cs="Arial"/>
                <w:sz w:val="20"/>
                <w:szCs w:val="20"/>
              </w:rPr>
              <w:fldChar w:fldCharType="separate"/>
            </w:r>
            <w:r w:rsidRPr="00074244">
              <w:rPr>
                <w:rFonts w:ascii="Arial" w:eastAsiaTheme="minorHAnsi" w:hAnsi="Arial" w:cs="Arial"/>
                <w:noProof/>
                <w:sz w:val="20"/>
                <w:szCs w:val="20"/>
              </w:rPr>
              <w:t>(2)</w:t>
            </w:r>
            <w:r w:rsidRPr="00074244">
              <w:rPr>
                <w:rFonts w:ascii="Arial" w:eastAsiaTheme="minorHAnsi" w:hAnsi="Arial" w:cs="Arial"/>
                <w:sz w:val="20"/>
                <w:szCs w:val="20"/>
              </w:rPr>
              <w:fldChar w:fldCharType="end"/>
            </w:r>
            <w:r w:rsidRPr="00074244">
              <w:rPr>
                <w:rFonts w:ascii="Arial" w:eastAsiaTheme="minorHAnsi" w:hAnsi="Arial" w:cs="Arial"/>
                <w:sz w:val="20"/>
                <w:szCs w:val="20"/>
              </w:rPr>
              <w:t xml:space="preserve"> </w:t>
            </w:r>
          </w:p>
          <w:p w:rsidR="00074244" w:rsidRPr="00074244" w:rsidRDefault="00074244" w:rsidP="00074244">
            <w:pPr>
              <w:autoSpaceDE w:val="0"/>
              <w:autoSpaceDN w:val="0"/>
              <w:adjustRightInd w:val="0"/>
              <w:jc w:val="left"/>
              <w:rPr>
                <w:rFonts w:ascii="Arial" w:eastAsiaTheme="minorHAnsi" w:hAnsi="Arial" w:cs="Arial"/>
                <w:sz w:val="20"/>
                <w:szCs w:val="20"/>
              </w:rPr>
            </w:pPr>
          </w:p>
          <w:p w:rsidR="00074244" w:rsidRPr="00074244" w:rsidRDefault="00074244" w:rsidP="00074244">
            <w:pPr>
              <w:autoSpaceDE w:val="0"/>
              <w:autoSpaceDN w:val="0"/>
              <w:adjustRightInd w:val="0"/>
              <w:jc w:val="left"/>
              <w:rPr>
                <w:rFonts w:ascii="Arial" w:eastAsiaTheme="minorHAnsi" w:hAnsi="Arial" w:cs="Arial"/>
                <w:b/>
                <w:bCs/>
                <w:sz w:val="20"/>
                <w:szCs w:val="20"/>
              </w:rPr>
            </w:pPr>
            <w:r w:rsidRPr="00074244">
              <w:rPr>
                <w:rFonts w:ascii="Arial" w:eastAsiaTheme="minorHAnsi" w:hAnsi="Arial" w:cs="Arial"/>
                <w:sz w:val="20"/>
                <w:szCs w:val="20"/>
              </w:rPr>
              <w:t xml:space="preserve">The Cepheid </w:t>
            </w:r>
            <w:proofErr w:type="spellStart"/>
            <w:r w:rsidRPr="00074244">
              <w:rPr>
                <w:rFonts w:ascii="Arial" w:eastAsiaTheme="minorHAnsi" w:hAnsi="Arial" w:cs="Arial"/>
                <w:sz w:val="20"/>
                <w:szCs w:val="20"/>
              </w:rPr>
              <w:t>Xpert</w:t>
            </w:r>
            <w:proofErr w:type="spellEnd"/>
            <w:r w:rsidRPr="00074244">
              <w:rPr>
                <w:rFonts w:ascii="Arial" w:eastAsiaTheme="minorHAnsi" w:hAnsi="Arial" w:cs="Arial"/>
                <w:sz w:val="20"/>
                <w:szCs w:val="20"/>
              </w:rPr>
              <w:t xml:space="preserve"> TV Assay, performed on the GeneXpert  Instrument Systems, is a qualitative </w:t>
            </w:r>
            <w:r w:rsidRPr="00074244">
              <w:rPr>
                <w:rFonts w:ascii="Arial" w:eastAsiaTheme="minorHAnsi" w:hAnsi="Arial" w:cs="Arial"/>
                <w:i/>
                <w:iCs/>
                <w:sz w:val="20"/>
                <w:szCs w:val="20"/>
              </w:rPr>
              <w:t xml:space="preserve">in vitro </w:t>
            </w:r>
            <w:r w:rsidRPr="00074244">
              <w:rPr>
                <w:rFonts w:ascii="Arial" w:eastAsiaTheme="minorHAnsi" w:hAnsi="Arial" w:cs="Arial"/>
                <w:sz w:val="20"/>
                <w:szCs w:val="20"/>
              </w:rPr>
              <w:t xml:space="preserve">diagnostic test for the detection of </w:t>
            </w:r>
            <w:r w:rsidRPr="00074244">
              <w:rPr>
                <w:rFonts w:ascii="Arial" w:eastAsiaTheme="minorHAnsi" w:hAnsi="Arial" w:cs="Arial"/>
                <w:i/>
                <w:iCs/>
                <w:sz w:val="20"/>
                <w:szCs w:val="20"/>
              </w:rPr>
              <w:t xml:space="preserve">Trichomonas vaginalis </w:t>
            </w:r>
            <w:r w:rsidRPr="00074244">
              <w:rPr>
                <w:rFonts w:ascii="Arial" w:eastAsiaTheme="minorHAnsi" w:hAnsi="Arial" w:cs="Arial"/>
                <w:sz w:val="20"/>
                <w:szCs w:val="20"/>
              </w:rPr>
              <w:t xml:space="preserve">genomic DNA.  The test utilizes automated nucleic acid extraction and real-time polymerase chain reaction (PCR) to detect </w:t>
            </w:r>
            <w:r w:rsidRPr="00074244">
              <w:rPr>
                <w:rFonts w:ascii="Arial" w:eastAsiaTheme="minorHAnsi" w:hAnsi="Arial" w:cs="Arial"/>
                <w:i/>
                <w:iCs/>
                <w:sz w:val="20"/>
                <w:szCs w:val="20"/>
              </w:rPr>
              <w:t xml:space="preserve">Trichomonas vaginalis </w:t>
            </w:r>
            <w:r w:rsidRPr="00074244">
              <w:rPr>
                <w:rFonts w:ascii="Arial" w:eastAsiaTheme="minorHAnsi" w:hAnsi="Arial" w:cs="Arial"/>
                <w:sz w:val="20"/>
                <w:szCs w:val="20"/>
              </w:rPr>
              <w:t>genomic DNA.  An Early Assay Termination function provides positive results if target DNA reaches a predetermined threshold before the full 45 PCR cycles have been completed.</w:t>
            </w:r>
            <w:r w:rsidRPr="00074244">
              <w:rPr>
                <w:rFonts w:ascii="Arial" w:eastAsiaTheme="minorHAnsi" w:hAnsi="Arial" w:cs="Arial"/>
                <w:sz w:val="20"/>
                <w:szCs w:val="20"/>
              </w:rPr>
              <w:fldChar w:fldCharType="begin"/>
            </w:r>
            <w:r w:rsidRPr="00074244">
              <w:rPr>
                <w:rFonts w:ascii="Arial" w:eastAsiaTheme="minorHAnsi" w:hAnsi="Arial" w:cs="Arial"/>
                <w:sz w:val="20"/>
                <w:szCs w:val="20"/>
              </w:rPr>
              <w:instrText xml:space="preserve"> ADDIN EN.CITE &lt;EndNote&gt;&lt;Cite&gt;&lt;Year&gt;September 2016&lt;/Year&gt;&lt;RecNum&gt;1&lt;/RecNum&gt;&lt;DisplayText&gt;(1)&lt;/DisplayText&gt;&lt;record&gt;&lt;rec-number&gt;1&lt;/rec-number&gt;&lt;foreign-keys&gt;&lt;key app="EN" db-id="x5vw05verzwpsee5drupe9xs9fpwa52rra90" timestamp="1560167612"&gt;1&lt;/key&gt;&lt;/foreign-keys&gt;&lt;ref-type name="Pamphlet"&gt;24&lt;/ref-type&gt;&lt;contributors&gt;&lt;/contributors&gt;&lt;titles&gt;&lt;title&gt;Xpert TV Package Insert 301-2887, Rev. B&lt;/title&gt;&lt;/titles&gt;&lt;dates&gt;&lt;year&gt;September 2016&lt;/year&gt;&lt;/dates&gt;&lt;pub-location&gt;Sunnyvale, CA&lt;/pub-location&gt;&lt;publisher&gt;Cepheid&lt;/publisher&gt;&lt;urls&gt;&lt;/urls&gt;&lt;/record&gt;&lt;/Cite&gt;&lt;/EndNote&gt;</w:instrText>
            </w:r>
            <w:r w:rsidRPr="00074244">
              <w:rPr>
                <w:rFonts w:ascii="Arial" w:eastAsiaTheme="minorHAnsi" w:hAnsi="Arial" w:cs="Arial"/>
                <w:sz w:val="20"/>
                <w:szCs w:val="20"/>
              </w:rPr>
              <w:fldChar w:fldCharType="separate"/>
            </w:r>
            <w:r w:rsidRPr="00074244">
              <w:rPr>
                <w:rFonts w:ascii="Arial" w:eastAsiaTheme="minorHAnsi" w:hAnsi="Arial" w:cs="Arial"/>
                <w:noProof/>
                <w:sz w:val="20"/>
                <w:szCs w:val="20"/>
              </w:rPr>
              <w:t>(1)</w:t>
            </w:r>
            <w:r w:rsidRPr="00074244">
              <w:rPr>
                <w:rFonts w:ascii="Arial" w:eastAsiaTheme="minorHAnsi" w:hAnsi="Arial" w:cs="Arial"/>
                <w:sz w:val="20"/>
                <w:szCs w:val="20"/>
              </w:rPr>
              <w:fldChar w:fldCharType="end"/>
            </w:r>
            <w:r w:rsidRPr="00074244">
              <w:rPr>
                <w:rFonts w:ascii="Arial" w:eastAsiaTheme="minorHAnsi" w:hAnsi="Arial" w:cs="Arial"/>
                <w:sz w:val="20"/>
                <w:szCs w:val="20"/>
              </w:rPr>
              <w:t xml:space="preserve"> </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074244">
              <w:rPr>
                <w:rFonts w:ascii="Arial" w:hAnsi="Arial"/>
                <w:sz w:val="20"/>
              </w:rPr>
              <w:t>testing on the GeneXpert.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074244">
            <w:pPr>
              <w:tabs>
                <w:tab w:val="left" w:pos="3382"/>
              </w:tabs>
              <w:rPr>
                <w:rFonts w:ascii="Arial" w:hAnsi="Arial"/>
                <w:sz w:val="20"/>
              </w:rPr>
            </w:pPr>
            <w:r>
              <w:rPr>
                <w:rFonts w:ascii="Arial" w:hAnsi="Arial"/>
                <w:sz w:val="20"/>
              </w:rPr>
              <w:t>TVPCR</w:t>
            </w:r>
          </w:p>
        </w:tc>
      </w:tr>
      <w:tr w:rsidR="00927AD8" w:rsidTr="0007424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240" w:type="dxa"/>
            <w:gridSpan w:val="2"/>
            <w:tcBorders>
              <w:top w:val="nil"/>
              <w:left w:val="nil"/>
              <w:bottom w:val="single" w:sz="4" w:space="0" w:color="auto"/>
              <w:right w:val="nil"/>
            </w:tcBorders>
          </w:tcPr>
          <w:p w:rsidR="00927AD8" w:rsidRDefault="00927AD8">
            <w:pPr>
              <w:rPr>
                <w:rFonts w:ascii="Arial" w:hAnsi="Arial"/>
                <w:b/>
                <w:sz w:val="20"/>
              </w:rPr>
            </w:pPr>
          </w:p>
        </w:tc>
        <w:tc>
          <w:tcPr>
            <w:tcW w:w="405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558" w:type="dxa"/>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074244" w:rsidTr="0007424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074244" w:rsidRDefault="00074244">
            <w:pPr>
              <w:jc w:val="left"/>
              <w:rPr>
                <w:rFonts w:ascii="Arial" w:hAnsi="Arial"/>
                <w:b/>
                <w:color w:val="0000FF"/>
                <w:sz w:val="20"/>
              </w:rPr>
            </w:pPr>
          </w:p>
        </w:tc>
        <w:tc>
          <w:tcPr>
            <w:tcW w:w="2240" w:type="dxa"/>
            <w:gridSpan w:val="2"/>
            <w:tcBorders>
              <w:top w:val="single" w:sz="4" w:space="0" w:color="auto"/>
              <w:left w:val="single" w:sz="4" w:space="0" w:color="auto"/>
              <w:bottom w:val="single" w:sz="4" w:space="0" w:color="auto"/>
              <w:right w:val="single" w:sz="4" w:space="0" w:color="auto"/>
            </w:tcBorders>
          </w:tcPr>
          <w:p w:rsidR="00074244" w:rsidRDefault="00074244">
            <w:pPr>
              <w:jc w:val="left"/>
              <w:rPr>
                <w:rFonts w:ascii="Arial" w:hAnsi="Arial"/>
                <w:b/>
                <w:sz w:val="20"/>
              </w:rPr>
            </w:pPr>
            <w:r>
              <w:rPr>
                <w:rFonts w:ascii="Arial" w:hAnsi="Arial"/>
                <w:b/>
                <w:sz w:val="20"/>
              </w:rPr>
              <w:t>Reagents</w:t>
            </w:r>
          </w:p>
        </w:tc>
        <w:tc>
          <w:tcPr>
            <w:tcW w:w="4050" w:type="dxa"/>
            <w:gridSpan w:val="4"/>
            <w:tcBorders>
              <w:top w:val="single" w:sz="4" w:space="0" w:color="auto"/>
              <w:left w:val="single" w:sz="4" w:space="0" w:color="auto"/>
              <w:bottom w:val="single" w:sz="4" w:space="0" w:color="auto"/>
              <w:right w:val="single" w:sz="4" w:space="0" w:color="auto"/>
            </w:tcBorders>
          </w:tcPr>
          <w:p w:rsidR="00074244" w:rsidRDefault="00074244">
            <w:pPr>
              <w:jc w:val="left"/>
              <w:rPr>
                <w:rFonts w:ascii="Arial" w:hAnsi="Arial"/>
                <w:b/>
                <w:sz w:val="20"/>
              </w:rPr>
            </w:pPr>
            <w:r>
              <w:rPr>
                <w:rFonts w:ascii="Arial" w:hAnsi="Arial"/>
                <w:b/>
                <w:sz w:val="20"/>
              </w:rPr>
              <w:t>Supplies</w:t>
            </w:r>
          </w:p>
        </w:tc>
        <w:tc>
          <w:tcPr>
            <w:tcW w:w="3086" w:type="dxa"/>
            <w:gridSpan w:val="2"/>
            <w:tcBorders>
              <w:top w:val="single" w:sz="4" w:space="0" w:color="auto"/>
              <w:left w:val="single" w:sz="4" w:space="0" w:color="auto"/>
              <w:bottom w:val="single" w:sz="4" w:space="0" w:color="auto"/>
              <w:right w:val="single" w:sz="4" w:space="0" w:color="auto"/>
            </w:tcBorders>
          </w:tcPr>
          <w:p w:rsidR="00074244" w:rsidRDefault="00074244">
            <w:pPr>
              <w:jc w:val="left"/>
              <w:rPr>
                <w:rFonts w:ascii="Arial" w:hAnsi="Arial"/>
                <w:b/>
                <w:sz w:val="20"/>
              </w:rPr>
            </w:pPr>
            <w:r>
              <w:rPr>
                <w:rFonts w:ascii="Arial" w:hAnsi="Arial"/>
                <w:b/>
                <w:sz w:val="20"/>
              </w:rPr>
              <w:t>Equipment</w:t>
            </w:r>
          </w:p>
        </w:tc>
      </w:tr>
      <w:tr w:rsidR="00074244" w:rsidTr="0007424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074244" w:rsidRDefault="00074244">
            <w:pPr>
              <w:jc w:val="left"/>
              <w:rPr>
                <w:rFonts w:ascii="Arial" w:hAnsi="Arial"/>
                <w:b/>
                <w:color w:val="0000FF"/>
                <w:sz w:val="20"/>
              </w:rPr>
            </w:pPr>
          </w:p>
        </w:tc>
        <w:tc>
          <w:tcPr>
            <w:tcW w:w="2240" w:type="dxa"/>
            <w:gridSpan w:val="2"/>
            <w:tcBorders>
              <w:top w:val="single" w:sz="4" w:space="0" w:color="auto"/>
              <w:left w:val="single" w:sz="4" w:space="0" w:color="auto"/>
              <w:bottom w:val="single" w:sz="4" w:space="0" w:color="auto"/>
              <w:right w:val="single" w:sz="4" w:space="0" w:color="auto"/>
            </w:tcBorders>
          </w:tcPr>
          <w:p w:rsidR="00074244" w:rsidRDefault="00074244" w:rsidP="00074244">
            <w:pPr>
              <w:pStyle w:val="ListParagraph"/>
              <w:numPr>
                <w:ilvl w:val="0"/>
                <w:numId w:val="3"/>
              </w:numPr>
              <w:contextualSpacing/>
              <w:jc w:val="left"/>
              <w:rPr>
                <w:rFonts w:ascii="Arial" w:hAnsi="Arial"/>
                <w:sz w:val="20"/>
              </w:rPr>
            </w:pPr>
            <w:r>
              <w:rPr>
                <w:rFonts w:ascii="Arial" w:hAnsi="Arial"/>
                <w:sz w:val="20"/>
              </w:rPr>
              <w:t>Household bleach</w:t>
            </w:r>
          </w:p>
          <w:p w:rsidR="00074244" w:rsidRPr="004A0608" w:rsidRDefault="00074244" w:rsidP="00074244">
            <w:pPr>
              <w:numPr>
                <w:ilvl w:val="0"/>
                <w:numId w:val="3"/>
              </w:numPr>
              <w:jc w:val="left"/>
              <w:rPr>
                <w:rFonts w:ascii="Arial" w:hAnsi="Arial"/>
                <w:sz w:val="18"/>
                <w:szCs w:val="18"/>
              </w:rPr>
            </w:pPr>
            <w:r>
              <w:rPr>
                <w:rFonts w:ascii="Arial" w:hAnsi="Arial"/>
                <w:sz w:val="20"/>
              </w:rPr>
              <w:t>70% ethanol</w:t>
            </w:r>
          </w:p>
        </w:tc>
        <w:tc>
          <w:tcPr>
            <w:tcW w:w="4050" w:type="dxa"/>
            <w:gridSpan w:val="4"/>
            <w:tcBorders>
              <w:top w:val="single" w:sz="4" w:space="0" w:color="auto"/>
              <w:left w:val="single" w:sz="4" w:space="0" w:color="auto"/>
              <w:bottom w:val="single" w:sz="4" w:space="0" w:color="auto"/>
              <w:right w:val="single" w:sz="4" w:space="0" w:color="auto"/>
            </w:tcBorders>
          </w:tcPr>
          <w:p w:rsidR="00074244" w:rsidRDefault="00074244" w:rsidP="00074244">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Vaginal/Endocervical Specimen Collection Kits</w:t>
            </w:r>
          </w:p>
          <w:p w:rsidR="00074244" w:rsidRDefault="00074244" w:rsidP="00074244">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Urine Specimen Collection Kits</w:t>
            </w:r>
          </w:p>
          <w:p w:rsidR="00074244" w:rsidRDefault="00074244" w:rsidP="00074244">
            <w:pPr>
              <w:pStyle w:val="ListParagraph"/>
              <w:numPr>
                <w:ilvl w:val="0"/>
                <w:numId w:val="3"/>
              </w:numPr>
              <w:contextualSpacing/>
              <w:jc w:val="left"/>
              <w:rPr>
                <w:rFonts w:ascii="Arial" w:hAnsi="Arial"/>
                <w:sz w:val="20"/>
              </w:rPr>
            </w:pPr>
            <w:proofErr w:type="spellStart"/>
            <w:r>
              <w:rPr>
                <w:rFonts w:ascii="Arial" w:hAnsi="Arial"/>
                <w:sz w:val="20"/>
              </w:rPr>
              <w:t>Xpert</w:t>
            </w:r>
            <w:proofErr w:type="spellEnd"/>
            <w:r>
              <w:rPr>
                <w:rFonts w:ascii="Arial" w:hAnsi="Arial"/>
                <w:sz w:val="20"/>
              </w:rPr>
              <w:t xml:space="preserve"> TV Assay cartridges</w:t>
            </w:r>
          </w:p>
          <w:p w:rsidR="00074244" w:rsidRDefault="00074244" w:rsidP="00074244">
            <w:pPr>
              <w:pStyle w:val="ListParagraph"/>
              <w:numPr>
                <w:ilvl w:val="0"/>
                <w:numId w:val="3"/>
              </w:numPr>
              <w:contextualSpacing/>
              <w:jc w:val="left"/>
              <w:rPr>
                <w:rFonts w:ascii="Arial" w:hAnsi="Arial"/>
                <w:sz w:val="20"/>
              </w:rPr>
            </w:pPr>
            <w:r>
              <w:rPr>
                <w:rFonts w:ascii="Arial" w:hAnsi="Arial"/>
                <w:sz w:val="20"/>
              </w:rPr>
              <w:t>Transfer pipettes</w:t>
            </w:r>
          </w:p>
          <w:p w:rsidR="00074244" w:rsidRDefault="00074244" w:rsidP="00074244">
            <w:pPr>
              <w:pStyle w:val="ListParagraph"/>
              <w:numPr>
                <w:ilvl w:val="0"/>
                <w:numId w:val="3"/>
              </w:numPr>
              <w:contextualSpacing/>
              <w:jc w:val="left"/>
              <w:rPr>
                <w:rFonts w:ascii="Arial" w:hAnsi="Arial"/>
                <w:sz w:val="20"/>
              </w:rPr>
            </w:pPr>
            <w:r>
              <w:rPr>
                <w:rFonts w:ascii="Arial" w:hAnsi="Arial"/>
                <w:sz w:val="20"/>
              </w:rPr>
              <w:t>Simple racks</w:t>
            </w:r>
          </w:p>
          <w:p w:rsidR="00074244" w:rsidRPr="00074244" w:rsidRDefault="00074244" w:rsidP="00074244">
            <w:pPr>
              <w:pStyle w:val="ListParagraph"/>
              <w:numPr>
                <w:ilvl w:val="0"/>
                <w:numId w:val="3"/>
              </w:numPr>
              <w:contextualSpacing/>
              <w:jc w:val="left"/>
              <w:rPr>
                <w:rFonts w:ascii="Arial" w:hAnsi="Arial"/>
                <w:sz w:val="20"/>
              </w:rPr>
            </w:pPr>
            <w:r>
              <w:rPr>
                <w:rFonts w:ascii="Arial" w:hAnsi="Arial"/>
                <w:sz w:val="20"/>
              </w:rPr>
              <w:t>Cartridge transfer tray</w:t>
            </w:r>
          </w:p>
        </w:tc>
        <w:tc>
          <w:tcPr>
            <w:tcW w:w="3086" w:type="dxa"/>
            <w:gridSpan w:val="2"/>
            <w:tcBorders>
              <w:top w:val="single" w:sz="4" w:space="0" w:color="auto"/>
              <w:left w:val="single" w:sz="4" w:space="0" w:color="auto"/>
              <w:bottom w:val="single" w:sz="4" w:space="0" w:color="auto"/>
              <w:right w:val="single" w:sz="4" w:space="0" w:color="auto"/>
            </w:tcBorders>
          </w:tcPr>
          <w:p w:rsidR="00074244" w:rsidRDefault="00074244" w:rsidP="00074244">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Biosafety Hood</w:t>
            </w:r>
          </w:p>
          <w:p w:rsidR="00074244" w:rsidRDefault="00074244" w:rsidP="00074244">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Cepheid GeneXpert Instrument and computer</w:t>
            </w:r>
          </w:p>
          <w:p w:rsidR="00074244" w:rsidRDefault="00074244" w:rsidP="00074244">
            <w:pPr>
              <w:pStyle w:val="ListParagraph"/>
              <w:numPr>
                <w:ilvl w:val="0"/>
                <w:numId w:val="3"/>
              </w:numPr>
              <w:contextualSpacing/>
              <w:jc w:val="left"/>
              <w:rPr>
                <w:rFonts w:ascii="Arial" w:hAnsi="Arial" w:cs="Arial"/>
                <w:sz w:val="20"/>
                <w:szCs w:val="20"/>
              </w:rPr>
            </w:pPr>
            <w:r w:rsidRPr="002D18B2">
              <w:rPr>
                <w:rFonts w:ascii="Arial" w:hAnsi="Arial" w:cs="Arial"/>
                <w:sz w:val="20"/>
                <w:szCs w:val="20"/>
              </w:rPr>
              <w:t>Printer</w:t>
            </w:r>
          </w:p>
          <w:p w:rsidR="00074244" w:rsidRPr="004A0608" w:rsidRDefault="00074244" w:rsidP="00074244">
            <w:pPr>
              <w:ind w:left="144"/>
              <w:jc w:val="left"/>
              <w:rPr>
                <w:rFonts w:ascii="Arial" w:hAnsi="Arial"/>
                <w:sz w:val="18"/>
                <w:szCs w:val="18"/>
              </w:rPr>
            </w:pP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074244" w:rsidRPr="00074244" w:rsidRDefault="00074244" w:rsidP="00A505A3">
            <w:pPr>
              <w:numPr>
                <w:ilvl w:val="0"/>
                <w:numId w:val="7"/>
              </w:numPr>
              <w:jc w:val="left"/>
              <w:rPr>
                <w:rFonts w:ascii="Arial" w:hAnsi="Arial"/>
                <w:sz w:val="20"/>
                <w:szCs w:val="20"/>
              </w:rPr>
            </w:pPr>
            <w:r w:rsidRPr="00074244">
              <w:rPr>
                <w:rFonts w:ascii="Arial" w:hAnsi="Arial"/>
                <w:b/>
                <w:sz w:val="20"/>
                <w:szCs w:val="20"/>
              </w:rPr>
              <w:t xml:space="preserve">Acceptable specimens: </w:t>
            </w:r>
          </w:p>
          <w:p w:rsidR="00074244" w:rsidRPr="00074244" w:rsidRDefault="00074244" w:rsidP="00A505A3">
            <w:pPr>
              <w:numPr>
                <w:ilvl w:val="0"/>
                <w:numId w:val="9"/>
              </w:numPr>
              <w:contextualSpacing/>
              <w:jc w:val="left"/>
              <w:rPr>
                <w:rFonts w:ascii="Arial" w:hAnsi="Arial"/>
                <w:sz w:val="20"/>
                <w:szCs w:val="20"/>
              </w:rPr>
            </w:pPr>
            <w:r w:rsidRPr="00074244">
              <w:rPr>
                <w:rFonts w:ascii="Arial" w:hAnsi="Arial" w:cs="Arial"/>
                <w:sz w:val="20"/>
                <w:szCs w:val="20"/>
              </w:rPr>
              <w:t xml:space="preserve">First-catch male and female urine specimens in urine </w:t>
            </w:r>
            <w:proofErr w:type="spellStart"/>
            <w:r w:rsidRPr="00074244">
              <w:rPr>
                <w:rFonts w:ascii="Arial" w:hAnsi="Arial" w:cs="Arial"/>
                <w:sz w:val="20"/>
                <w:szCs w:val="20"/>
              </w:rPr>
              <w:t>Xpert</w:t>
            </w:r>
            <w:proofErr w:type="spellEnd"/>
            <w:r w:rsidRPr="00074244">
              <w:rPr>
                <w:rFonts w:ascii="Arial" w:hAnsi="Arial" w:cs="Arial"/>
                <w:sz w:val="20"/>
                <w:szCs w:val="20"/>
              </w:rPr>
              <w:t xml:space="preserve"> Collection Tube </w:t>
            </w:r>
          </w:p>
          <w:p w:rsidR="00074244" w:rsidRPr="00074244" w:rsidRDefault="00074244" w:rsidP="00A505A3">
            <w:pPr>
              <w:numPr>
                <w:ilvl w:val="0"/>
                <w:numId w:val="9"/>
              </w:numPr>
              <w:contextualSpacing/>
              <w:jc w:val="left"/>
              <w:rPr>
                <w:rFonts w:ascii="Arial" w:hAnsi="Arial"/>
                <w:sz w:val="20"/>
                <w:szCs w:val="20"/>
              </w:rPr>
            </w:pPr>
            <w:r w:rsidRPr="00074244">
              <w:rPr>
                <w:rFonts w:ascii="Arial" w:hAnsi="Arial" w:cs="Arial"/>
                <w:sz w:val="20"/>
                <w:szCs w:val="20"/>
              </w:rPr>
              <w:t xml:space="preserve">Endocervical and vaginal swabs collected with the </w:t>
            </w:r>
            <w:proofErr w:type="spellStart"/>
            <w:r w:rsidRPr="00074244">
              <w:rPr>
                <w:rFonts w:ascii="Arial" w:hAnsi="Arial" w:cs="Arial"/>
                <w:sz w:val="20"/>
                <w:szCs w:val="20"/>
              </w:rPr>
              <w:t>Xpert</w:t>
            </w:r>
            <w:proofErr w:type="spellEnd"/>
            <w:r w:rsidRPr="00074244">
              <w:rPr>
                <w:rFonts w:ascii="Arial" w:hAnsi="Arial" w:cs="Arial"/>
                <w:sz w:val="20"/>
                <w:szCs w:val="20"/>
              </w:rPr>
              <w:t xml:space="preserve"> Vaginal/Endocervical Specimen Collection Kit or </w:t>
            </w:r>
            <w:proofErr w:type="spellStart"/>
            <w:r w:rsidRPr="00074244">
              <w:rPr>
                <w:rFonts w:ascii="Arial" w:hAnsi="Arial" w:cs="Arial"/>
                <w:sz w:val="20"/>
                <w:szCs w:val="20"/>
              </w:rPr>
              <w:t>Xpert</w:t>
            </w:r>
            <w:proofErr w:type="spellEnd"/>
            <w:r w:rsidRPr="00074244">
              <w:rPr>
                <w:rFonts w:ascii="Arial" w:hAnsi="Arial" w:cs="Arial"/>
                <w:sz w:val="20"/>
                <w:szCs w:val="20"/>
              </w:rPr>
              <w:t xml:space="preserve"> Vaginal/Endocervical Collection Kit</w:t>
            </w:r>
          </w:p>
          <w:p w:rsidR="00074244" w:rsidRPr="00074244" w:rsidRDefault="00074244" w:rsidP="00074244">
            <w:pPr>
              <w:jc w:val="left"/>
              <w:rPr>
                <w:rFonts w:ascii="Arial" w:hAnsi="Arial"/>
                <w:b/>
                <w:sz w:val="20"/>
                <w:szCs w:val="20"/>
              </w:rPr>
            </w:pPr>
          </w:p>
          <w:p w:rsidR="00074244" w:rsidRPr="00074244" w:rsidRDefault="00074244" w:rsidP="00A505A3">
            <w:pPr>
              <w:numPr>
                <w:ilvl w:val="0"/>
                <w:numId w:val="7"/>
              </w:numPr>
              <w:jc w:val="left"/>
              <w:rPr>
                <w:rFonts w:ascii="Arial" w:hAnsi="Arial"/>
                <w:b/>
                <w:sz w:val="20"/>
                <w:szCs w:val="20"/>
              </w:rPr>
            </w:pPr>
            <w:r w:rsidRPr="00074244">
              <w:rPr>
                <w:rFonts w:ascii="Arial" w:hAnsi="Arial"/>
                <w:b/>
                <w:sz w:val="20"/>
                <w:szCs w:val="20"/>
              </w:rPr>
              <w:t>SDES codes/Specimen type:</w:t>
            </w:r>
          </w:p>
          <w:p w:rsidR="00074244" w:rsidRPr="00074244" w:rsidRDefault="00074244" w:rsidP="00A505A3">
            <w:pPr>
              <w:numPr>
                <w:ilvl w:val="0"/>
                <w:numId w:val="10"/>
              </w:numPr>
              <w:contextualSpacing/>
              <w:jc w:val="left"/>
              <w:rPr>
                <w:rFonts w:ascii="Arial" w:hAnsi="Arial"/>
                <w:sz w:val="20"/>
                <w:szCs w:val="20"/>
              </w:rPr>
            </w:pPr>
            <w:r w:rsidRPr="00074244">
              <w:rPr>
                <w:rFonts w:ascii="Arial" w:hAnsi="Arial"/>
                <w:b/>
                <w:sz w:val="20"/>
                <w:szCs w:val="20"/>
              </w:rPr>
              <w:t>UR</w:t>
            </w:r>
            <w:r w:rsidRPr="00074244">
              <w:rPr>
                <w:rFonts w:ascii="Arial" w:hAnsi="Arial"/>
                <w:sz w:val="20"/>
                <w:szCs w:val="20"/>
              </w:rPr>
              <w:t>- Urine, collect method not specified</w:t>
            </w:r>
          </w:p>
          <w:p w:rsidR="00074244" w:rsidRPr="00074244" w:rsidRDefault="00074244" w:rsidP="00A505A3">
            <w:pPr>
              <w:numPr>
                <w:ilvl w:val="0"/>
                <w:numId w:val="10"/>
              </w:numPr>
              <w:contextualSpacing/>
              <w:jc w:val="left"/>
              <w:rPr>
                <w:rFonts w:ascii="Arial" w:hAnsi="Arial"/>
                <w:sz w:val="20"/>
                <w:szCs w:val="20"/>
              </w:rPr>
            </w:pPr>
            <w:r w:rsidRPr="00074244">
              <w:rPr>
                <w:rFonts w:ascii="Arial" w:hAnsi="Arial"/>
                <w:b/>
                <w:sz w:val="20"/>
                <w:szCs w:val="20"/>
              </w:rPr>
              <w:t>VOID</w:t>
            </w:r>
            <w:r w:rsidRPr="00074244">
              <w:rPr>
                <w:rFonts w:ascii="Arial" w:hAnsi="Arial"/>
                <w:sz w:val="20"/>
                <w:szCs w:val="20"/>
              </w:rPr>
              <w:t>- Voided urine</w:t>
            </w:r>
          </w:p>
          <w:p w:rsidR="00074244" w:rsidRPr="00074244" w:rsidRDefault="00074244" w:rsidP="00A505A3">
            <w:pPr>
              <w:numPr>
                <w:ilvl w:val="0"/>
                <w:numId w:val="10"/>
              </w:numPr>
              <w:contextualSpacing/>
              <w:jc w:val="left"/>
              <w:rPr>
                <w:rFonts w:ascii="Arial" w:hAnsi="Arial"/>
                <w:sz w:val="20"/>
                <w:szCs w:val="20"/>
              </w:rPr>
            </w:pPr>
            <w:r w:rsidRPr="00074244">
              <w:rPr>
                <w:rFonts w:ascii="Arial" w:hAnsi="Arial"/>
                <w:b/>
                <w:sz w:val="20"/>
                <w:szCs w:val="20"/>
              </w:rPr>
              <w:t>VAG</w:t>
            </w:r>
            <w:r w:rsidRPr="00074244">
              <w:rPr>
                <w:rFonts w:ascii="Arial" w:hAnsi="Arial"/>
                <w:sz w:val="20"/>
                <w:szCs w:val="20"/>
              </w:rPr>
              <w:t>-Vagina</w:t>
            </w:r>
          </w:p>
          <w:p w:rsidR="00074244" w:rsidRPr="00074244" w:rsidRDefault="00074244" w:rsidP="00A505A3">
            <w:pPr>
              <w:numPr>
                <w:ilvl w:val="0"/>
                <w:numId w:val="10"/>
              </w:numPr>
              <w:contextualSpacing/>
              <w:jc w:val="left"/>
              <w:rPr>
                <w:rFonts w:ascii="Arial" w:hAnsi="Arial"/>
                <w:sz w:val="20"/>
                <w:szCs w:val="20"/>
              </w:rPr>
            </w:pPr>
            <w:r w:rsidRPr="00074244">
              <w:rPr>
                <w:rFonts w:ascii="Arial" w:hAnsi="Arial"/>
                <w:b/>
                <w:sz w:val="20"/>
                <w:szCs w:val="20"/>
              </w:rPr>
              <w:t>CERV</w:t>
            </w:r>
            <w:r w:rsidRPr="00074244">
              <w:rPr>
                <w:rFonts w:ascii="Arial" w:hAnsi="Arial"/>
                <w:sz w:val="20"/>
                <w:szCs w:val="20"/>
              </w:rPr>
              <w:t>-Cervix</w:t>
            </w:r>
          </w:p>
          <w:p w:rsidR="00074244" w:rsidRPr="00074244" w:rsidRDefault="00074244" w:rsidP="00A505A3">
            <w:pPr>
              <w:numPr>
                <w:ilvl w:val="0"/>
                <w:numId w:val="10"/>
              </w:numPr>
              <w:contextualSpacing/>
              <w:jc w:val="left"/>
              <w:rPr>
                <w:rFonts w:ascii="Arial" w:hAnsi="Arial"/>
                <w:sz w:val="20"/>
                <w:szCs w:val="20"/>
              </w:rPr>
            </w:pPr>
            <w:r w:rsidRPr="00074244">
              <w:rPr>
                <w:rFonts w:ascii="Arial" w:hAnsi="Arial"/>
                <w:b/>
                <w:sz w:val="20"/>
                <w:szCs w:val="20"/>
              </w:rPr>
              <w:t>ENDC</w:t>
            </w:r>
            <w:r w:rsidRPr="00074244">
              <w:rPr>
                <w:rFonts w:ascii="Arial" w:hAnsi="Arial"/>
                <w:sz w:val="20"/>
                <w:szCs w:val="20"/>
              </w:rPr>
              <w:t>-Endocervix</w:t>
            </w:r>
          </w:p>
          <w:p w:rsidR="00074244" w:rsidRPr="00074244" w:rsidRDefault="00074244" w:rsidP="00074244">
            <w:pPr>
              <w:ind w:left="1080"/>
              <w:contextualSpacing/>
              <w:jc w:val="left"/>
              <w:rPr>
                <w:rFonts w:ascii="Arial" w:hAnsi="Arial"/>
                <w:b/>
                <w:sz w:val="20"/>
                <w:szCs w:val="20"/>
              </w:rPr>
            </w:pPr>
          </w:p>
          <w:p w:rsidR="00074244" w:rsidRPr="00074244" w:rsidRDefault="00074244" w:rsidP="00A505A3">
            <w:pPr>
              <w:numPr>
                <w:ilvl w:val="0"/>
                <w:numId w:val="7"/>
              </w:numPr>
              <w:jc w:val="left"/>
              <w:rPr>
                <w:rFonts w:ascii="Arial" w:hAnsi="Arial"/>
                <w:sz w:val="20"/>
                <w:szCs w:val="20"/>
              </w:rPr>
            </w:pPr>
            <w:r w:rsidRPr="00074244">
              <w:rPr>
                <w:rFonts w:ascii="Arial" w:hAnsi="Arial"/>
                <w:b/>
                <w:sz w:val="20"/>
                <w:szCs w:val="20"/>
              </w:rPr>
              <w:lastRenderedPageBreak/>
              <w:t>Specimen Collection and Transport:</w:t>
            </w:r>
          </w:p>
          <w:p w:rsidR="00074244" w:rsidRPr="00074244" w:rsidRDefault="00074244" w:rsidP="00A505A3">
            <w:pPr>
              <w:numPr>
                <w:ilvl w:val="0"/>
                <w:numId w:val="8"/>
              </w:numPr>
              <w:tabs>
                <w:tab w:val="num" w:pos="720"/>
              </w:tabs>
              <w:jc w:val="left"/>
              <w:rPr>
                <w:rFonts w:ascii="Arial" w:hAnsi="Arial"/>
                <w:sz w:val="20"/>
                <w:szCs w:val="20"/>
              </w:rPr>
            </w:pPr>
            <w:r w:rsidRPr="00074244">
              <w:rPr>
                <w:rFonts w:ascii="Arial" w:hAnsi="Arial"/>
                <w:sz w:val="20"/>
                <w:szCs w:val="20"/>
              </w:rPr>
              <w:t xml:space="preserve">Refer to </w:t>
            </w:r>
            <w:r w:rsidRPr="00074244">
              <w:rPr>
                <w:rFonts w:ascii="Arial" w:hAnsi="Arial"/>
                <w:i/>
                <w:sz w:val="20"/>
                <w:szCs w:val="20"/>
              </w:rPr>
              <w:t>Lab Test Directory</w:t>
            </w:r>
            <w:r w:rsidRPr="00074244">
              <w:rPr>
                <w:rFonts w:ascii="Arial" w:hAnsi="Arial"/>
                <w:sz w:val="20"/>
                <w:szCs w:val="20"/>
              </w:rPr>
              <w:t xml:space="preserve"> on StarNet</w:t>
            </w:r>
          </w:p>
          <w:p w:rsidR="00074244" w:rsidRPr="00074244" w:rsidRDefault="00074244" w:rsidP="00074244">
            <w:pPr>
              <w:jc w:val="left"/>
              <w:rPr>
                <w:rFonts w:ascii="Arial" w:hAnsi="Arial"/>
                <w:sz w:val="20"/>
                <w:szCs w:val="20"/>
              </w:rPr>
            </w:pPr>
          </w:p>
          <w:p w:rsidR="00074244" w:rsidRPr="00074244" w:rsidRDefault="00074244" w:rsidP="00A505A3">
            <w:pPr>
              <w:numPr>
                <w:ilvl w:val="0"/>
                <w:numId w:val="7"/>
              </w:numPr>
              <w:jc w:val="left"/>
              <w:rPr>
                <w:rFonts w:ascii="Arial" w:hAnsi="Arial"/>
                <w:b/>
                <w:sz w:val="20"/>
                <w:szCs w:val="20"/>
              </w:rPr>
            </w:pPr>
            <w:r w:rsidRPr="00074244">
              <w:rPr>
                <w:rFonts w:ascii="Arial" w:hAnsi="Arial"/>
                <w:b/>
                <w:sz w:val="20"/>
                <w:szCs w:val="20"/>
              </w:rPr>
              <w:t>Specimen assessment:</w:t>
            </w:r>
          </w:p>
          <w:p w:rsidR="00074244" w:rsidRPr="00074244" w:rsidRDefault="00074244" w:rsidP="00A505A3">
            <w:pPr>
              <w:numPr>
                <w:ilvl w:val="0"/>
                <w:numId w:val="8"/>
              </w:numPr>
              <w:tabs>
                <w:tab w:val="num" w:pos="720"/>
              </w:tabs>
              <w:jc w:val="left"/>
              <w:rPr>
                <w:rFonts w:ascii="Arial" w:hAnsi="Arial"/>
                <w:i/>
                <w:sz w:val="20"/>
                <w:szCs w:val="20"/>
              </w:rPr>
            </w:pPr>
            <w:r w:rsidRPr="00074244">
              <w:rPr>
                <w:rFonts w:ascii="Arial" w:hAnsi="Arial"/>
                <w:sz w:val="20"/>
                <w:szCs w:val="20"/>
              </w:rPr>
              <w:t xml:space="preserve">Refer to the policy MCVI 2.1 </w:t>
            </w:r>
            <w:r w:rsidRPr="00074244">
              <w:rPr>
                <w:rFonts w:ascii="Arial" w:hAnsi="Arial"/>
                <w:i/>
                <w:sz w:val="20"/>
                <w:szCs w:val="20"/>
              </w:rPr>
              <w:t>Specimen Rejection Criteria.</w:t>
            </w:r>
          </w:p>
          <w:p w:rsidR="00074244" w:rsidRPr="00074244" w:rsidRDefault="00074244" w:rsidP="00A505A3">
            <w:pPr>
              <w:numPr>
                <w:ilvl w:val="0"/>
                <w:numId w:val="7"/>
              </w:numPr>
              <w:jc w:val="left"/>
              <w:rPr>
                <w:rFonts w:ascii="Arial" w:hAnsi="Arial"/>
                <w:b/>
                <w:sz w:val="20"/>
                <w:szCs w:val="20"/>
              </w:rPr>
            </w:pPr>
            <w:r w:rsidRPr="00074244">
              <w:rPr>
                <w:rFonts w:ascii="Arial" w:hAnsi="Arial"/>
                <w:b/>
                <w:sz w:val="20"/>
                <w:szCs w:val="20"/>
              </w:rPr>
              <w:t>Specimen Storage</w:t>
            </w:r>
          </w:p>
          <w:p w:rsidR="00074244" w:rsidRPr="00074244" w:rsidRDefault="00074244" w:rsidP="00A505A3">
            <w:pPr>
              <w:numPr>
                <w:ilvl w:val="0"/>
                <w:numId w:val="9"/>
              </w:numPr>
              <w:contextualSpacing/>
              <w:jc w:val="left"/>
              <w:rPr>
                <w:rFonts w:ascii="Arial" w:hAnsi="Arial"/>
                <w:sz w:val="20"/>
                <w:szCs w:val="20"/>
              </w:rPr>
            </w:pPr>
            <w:r w:rsidRPr="00074244">
              <w:rPr>
                <w:rFonts w:ascii="Arial" w:hAnsi="Arial" w:cs="Arial"/>
                <w:sz w:val="20"/>
                <w:szCs w:val="20"/>
              </w:rPr>
              <w:t>First-catch male and female urine:</w:t>
            </w:r>
          </w:p>
          <w:p w:rsidR="00074244" w:rsidRPr="00074244" w:rsidRDefault="00074244" w:rsidP="00A505A3">
            <w:pPr>
              <w:numPr>
                <w:ilvl w:val="1"/>
                <w:numId w:val="9"/>
              </w:numPr>
              <w:contextualSpacing/>
              <w:jc w:val="left"/>
              <w:rPr>
                <w:rFonts w:ascii="Arial" w:hAnsi="Arial"/>
                <w:sz w:val="20"/>
                <w:szCs w:val="20"/>
              </w:rPr>
            </w:pPr>
            <w:r w:rsidRPr="00074244">
              <w:rPr>
                <w:rFonts w:ascii="Arial" w:hAnsi="Arial" w:cs="Arial"/>
                <w:sz w:val="20"/>
                <w:szCs w:val="20"/>
              </w:rPr>
              <w:t>Stability, NEAT:</w:t>
            </w:r>
          </w:p>
          <w:p w:rsidR="00074244" w:rsidRPr="00074244" w:rsidRDefault="00074244" w:rsidP="00A505A3">
            <w:pPr>
              <w:numPr>
                <w:ilvl w:val="2"/>
                <w:numId w:val="9"/>
              </w:numPr>
              <w:contextualSpacing/>
              <w:jc w:val="left"/>
              <w:rPr>
                <w:rFonts w:ascii="Arial" w:hAnsi="Arial"/>
                <w:sz w:val="20"/>
                <w:szCs w:val="20"/>
              </w:rPr>
            </w:pPr>
            <w:r w:rsidRPr="00074244">
              <w:rPr>
                <w:rFonts w:ascii="Arial" w:hAnsi="Arial" w:cs="Arial"/>
                <w:sz w:val="20"/>
                <w:szCs w:val="20"/>
              </w:rPr>
              <w:t xml:space="preserve">Room temp (2-28°C): 4 hours </w:t>
            </w:r>
          </w:p>
          <w:p w:rsidR="00074244" w:rsidRPr="00074244" w:rsidRDefault="00074244" w:rsidP="00A505A3">
            <w:pPr>
              <w:numPr>
                <w:ilvl w:val="2"/>
                <w:numId w:val="9"/>
              </w:numPr>
              <w:contextualSpacing/>
              <w:jc w:val="left"/>
              <w:rPr>
                <w:rFonts w:ascii="Arial" w:hAnsi="Arial"/>
                <w:sz w:val="20"/>
                <w:szCs w:val="20"/>
              </w:rPr>
            </w:pPr>
            <w:r w:rsidRPr="00074244">
              <w:rPr>
                <w:rFonts w:ascii="Arial" w:hAnsi="Arial" w:cs="Arial"/>
                <w:sz w:val="20"/>
                <w:szCs w:val="20"/>
              </w:rPr>
              <w:t>4°C: 4 days</w:t>
            </w:r>
          </w:p>
          <w:p w:rsidR="00074244" w:rsidRPr="00074244" w:rsidRDefault="00074244" w:rsidP="00A505A3">
            <w:pPr>
              <w:numPr>
                <w:ilvl w:val="1"/>
                <w:numId w:val="9"/>
              </w:numPr>
              <w:contextualSpacing/>
              <w:jc w:val="left"/>
              <w:rPr>
                <w:rFonts w:ascii="Arial" w:hAnsi="Arial"/>
                <w:sz w:val="20"/>
                <w:szCs w:val="20"/>
              </w:rPr>
            </w:pPr>
            <w:r w:rsidRPr="00074244">
              <w:rPr>
                <w:rFonts w:ascii="Arial" w:hAnsi="Arial" w:cs="Arial"/>
                <w:sz w:val="20"/>
                <w:szCs w:val="20"/>
              </w:rPr>
              <w:t xml:space="preserve">Stability, in Cepheid Sample Transport Reagent (7mL): </w:t>
            </w:r>
          </w:p>
          <w:p w:rsidR="00074244" w:rsidRPr="00074244" w:rsidRDefault="00074244" w:rsidP="00A505A3">
            <w:pPr>
              <w:numPr>
                <w:ilvl w:val="2"/>
                <w:numId w:val="9"/>
              </w:numPr>
              <w:contextualSpacing/>
              <w:jc w:val="left"/>
              <w:rPr>
                <w:rFonts w:ascii="Arial" w:hAnsi="Arial"/>
                <w:sz w:val="20"/>
                <w:szCs w:val="20"/>
              </w:rPr>
            </w:pPr>
            <w:r w:rsidRPr="00074244">
              <w:rPr>
                <w:rFonts w:ascii="Arial" w:hAnsi="Arial" w:cs="Arial"/>
                <w:sz w:val="20"/>
                <w:szCs w:val="20"/>
              </w:rPr>
              <w:t>Room temp (2-28°C): 14 days</w:t>
            </w:r>
          </w:p>
          <w:p w:rsidR="00074244" w:rsidRPr="00074244" w:rsidRDefault="00074244" w:rsidP="00A505A3">
            <w:pPr>
              <w:numPr>
                <w:ilvl w:val="2"/>
                <w:numId w:val="9"/>
              </w:numPr>
              <w:contextualSpacing/>
              <w:jc w:val="left"/>
              <w:rPr>
                <w:rFonts w:ascii="Arial" w:hAnsi="Arial"/>
                <w:sz w:val="20"/>
                <w:szCs w:val="20"/>
              </w:rPr>
            </w:pPr>
            <w:r w:rsidRPr="00074244">
              <w:rPr>
                <w:rFonts w:ascii="Arial" w:hAnsi="Arial" w:cs="Arial"/>
                <w:sz w:val="20"/>
                <w:szCs w:val="20"/>
              </w:rPr>
              <w:t xml:space="preserve">2-15°C: 28 days </w:t>
            </w:r>
          </w:p>
          <w:p w:rsidR="00074244" w:rsidRPr="00074244" w:rsidRDefault="00074244" w:rsidP="00A505A3">
            <w:pPr>
              <w:numPr>
                <w:ilvl w:val="0"/>
                <w:numId w:val="8"/>
              </w:numPr>
              <w:contextualSpacing/>
              <w:jc w:val="left"/>
              <w:rPr>
                <w:rFonts w:ascii="Arial" w:hAnsi="Arial"/>
                <w:b/>
                <w:sz w:val="20"/>
                <w:szCs w:val="20"/>
              </w:rPr>
            </w:pPr>
            <w:r w:rsidRPr="00074244">
              <w:rPr>
                <w:rFonts w:ascii="Arial" w:hAnsi="Arial"/>
                <w:sz w:val="20"/>
                <w:szCs w:val="20"/>
              </w:rPr>
              <w:t xml:space="preserve">Transfer NEAT urines to Cepheid Sample Transport Reagent as soon as possible after collection. </w:t>
            </w:r>
          </w:p>
          <w:p w:rsidR="00074244" w:rsidRPr="00074244" w:rsidRDefault="00074244" w:rsidP="00074244">
            <w:pPr>
              <w:ind w:left="2520"/>
              <w:contextualSpacing/>
              <w:jc w:val="left"/>
              <w:rPr>
                <w:rFonts w:ascii="Arial" w:hAnsi="Arial"/>
                <w:sz w:val="20"/>
                <w:szCs w:val="20"/>
              </w:rPr>
            </w:pPr>
          </w:p>
          <w:p w:rsidR="00074244" w:rsidRPr="00074244" w:rsidRDefault="00074244" w:rsidP="00A505A3">
            <w:pPr>
              <w:numPr>
                <w:ilvl w:val="0"/>
                <w:numId w:val="9"/>
              </w:numPr>
              <w:contextualSpacing/>
              <w:jc w:val="left"/>
              <w:rPr>
                <w:rFonts w:ascii="Arial" w:hAnsi="Arial"/>
                <w:sz w:val="20"/>
                <w:szCs w:val="20"/>
              </w:rPr>
            </w:pPr>
            <w:r w:rsidRPr="00074244">
              <w:rPr>
                <w:rFonts w:ascii="Arial" w:hAnsi="Arial" w:cs="Arial"/>
                <w:sz w:val="20"/>
                <w:szCs w:val="20"/>
              </w:rPr>
              <w:t xml:space="preserve">Endocervical and vaginal swabs collected with the </w:t>
            </w:r>
            <w:proofErr w:type="spellStart"/>
            <w:r w:rsidRPr="00074244">
              <w:rPr>
                <w:rFonts w:ascii="Arial" w:hAnsi="Arial" w:cs="Arial"/>
                <w:sz w:val="20"/>
                <w:szCs w:val="20"/>
              </w:rPr>
              <w:t>Xpert</w:t>
            </w:r>
            <w:proofErr w:type="spellEnd"/>
            <w:r w:rsidRPr="00074244">
              <w:rPr>
                <w:rFonts w:ascii="Arial" w:hAnsi="Arial" w:cs="Arial"/>
                <w:sz w:val="20"/>
                <w:szCs w:val="20"/>
              </w:rPr>
              <w:t xml:space="preserve"> Vaginal/Endocervical Specimen Collection Kit, and the </w:t>
            </w:r>
            <w:proofErr w:type="spellStart"/>
            <w:r w:rsidRPr="00074244">
              <w:rPr>
                <w:rFonts w:ascii="Arial" w:hAnsi="Arial" w:cs="Arial"/>
                <w:sz w:val="20"/>
                <w:szCs w:val="20"/>
              </w:rPr>
              <w:t>Xpert</w:t>
            </w:r>
            <w:proofErr w:type="spellEnd"/>
            <w:r w:rsidRPr="00074244">
              <w:rPr>
                <w:rFonts w:ascii="Arial" w:hAnsi="Arial" w:cs="Arial"/>
                <w:sz w:val="20"/>
                <w:szCs w:val="20"/>
              </w:rPr>
              <w:t xml:space="preserve"> Vaginal/Endocervical Collection Kit</w:t>
            </w:r>
          </w:p>
          <w:p w:rsidR="00074244" w:rsidRPr="00074244" w:rsidRDefault="00074244" w:rsidP="00A505A3">
            <w:pPr>
              <w:numPr>
                <w:ilvl w:val="1"/>
                <w:numId w:val="9"/>
              </w:numPr>
              <w:contextualSpacing/>
              <w:jc w:val="left"/>
              <w:rPr>
                <w:rFonts w:ascii="Arial" w:hAnsi="Arial"/>
                <w:sz w:val="20"/>
                <w:szCs w:val="20"/>
              </w:rPr>
            </w:pPr>
            <w:r w:rsidRPr="00074244">
              <w:rPr>
                <w:rFonts w:ascii="Arial" w:hAnsi="Arial"/>
                <w:sz w:val="20"/>
                <w:szCs w:val="20"/>
              </w:rPr>
              <w:t>Stability in Cepheid Sample transport reagent:</w:t>
            </w:r>
          </w:p>
          <w:p w:rsidR="00074244" w:rsidRPr="00074244" w:rsidRDefault="00074244" w:rsidP="00A505A3">
            <w:pPr>
              <w:numPr>
                <w:ilvl w:val="2"/>
                <w:numId w:val="9"/>
              </w:numPr>
              <w:contextualSpacing/>
              <w:jc w:val="left"/>
              <w:rPr>
                <w:rFonts w:ascii="Arial" w:hAnsi="Arial"/>
                <w:sz w:val="20"/>
                <w:szCs w:val="20"/>
              </w:rPr>
            </w:pPr>
            <w:r w:rsidRPr="00074244">
              <w:rPr>
                <w:rFonts w:ascii="Arial" w:hAnsi="Arial"/>
                <w:sz w:val="20"/>
                <w:szCs w:val="20"/>
              </w:rPr>
              <w:t>2-30</w:t>
            </w:r>
            <w:r w:rsidRPr="00074244">
              <w:rPr>
                <w:rFonts w:ascii="Arial" w:hAnsi="Arial" w:cs="Arial"/>
                <w:sz w:val="20"/>
                <w:szCs w:val="20"/>
              </w:rPr>
              <w:t>°</w:t>
            </w:r>
            <w:r w:rsidRPr="00074244">
              <w:rPr>
                <w:rFonts w:ascii="Arial" w:hAnsi="Arial"/>
                <w:sz w:val="20"/>
                <w:szCs w:val="20"/>
              </w:rPr>
              <w:t>C: 60 days</w:t>
            </w:r>
          </w:p>
          <w:p w:rsidR="00074244" w:rsidRPr="00074244" w:rsidRDefault="00074244" w:rsidP="00074244">
            <w:pPr>
              <w:ind w:left="2520"/>
              <w:contextualSpacing/>
              <w:jc w:val="left"/>
              <w:rPr>
                <w:rFonts w:ascii="Arial" w:hAnsi="Arial"/>
                <w:sz w:val="20"/>
                <w:szCs w:val="20"/>
              </w:rPr>
            </w:pPr>
          </w:p>
          <w:p w:rsidR="00074244" w:rsidRPr="00074244" w:rsidRDefault="00074244" w:rsidP="00A505A3">
            <w:pPr>
              <w:numPr>
                <w:ilvl w:val="0"/>
                <w:numId w:val="8"/>
              </w:numPr>
              <w:contextualSpacing/>
              <w:jc w:val="left"/>
              <w:rPr>
                <w:rFonts w:ascii="Arial" w:hAnsi="Arial"/>
                <w:b/>
                <w:sz w:val="20"/>
                <w:szCs w:val="20"/>
              </w:rPr>
            </w:pPr>
            <w:r w:rsidRPr="00074244">
              <w:rPr>
                <w:rFonts w:ascii="Arial" w:hAnsi="Arial"/>
                <w:sz w:val="20"/>
                <w:szCs w:val="20"/>
              </w:rPr>
              <w:t>Specimens should be stored at 4-8</w:t>
            </w:r>
            <w:r w:rsidRPr="00074244">
              <w:rPr>
                <w:rFonts w:ascii="Arial" w:hAnsi="Arial" w:cs="Arial"/>
                <w:sz w:val="20"/>
                <w:szCs w:val="20"/>
              </w:rPr>
              <w:t>°</w:t>
            </w:r>
            <w:r w:rsidRPr="00074244">
              <w:rPr>
                <w:rFonts w:ascii="Arial" w:hAnsi="Arial"/>
                <w:sz w:val="20"/>
                <w:szCs w:val="20"/>
              </w:rPr>
              <w:t>C (refrigerated)</w:t>
            </w:r>
          </w:p>
          <w:p w:rsidR="00846D75" w:rsidRDefault="00846D75" w:rsidP="00074244">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872FB6"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872FB6"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872FB6"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rsidR="005E0385" w:rsidRDefault="005E0385">
            <w:pPr>
              <w:rPr>
                <w:rFonts w:ascii="Arial" w:hAnsi="Arial"/>
                <w:sz w:val="20"/>
              </w:rPr>
            </w:pPr>
          </w:p>
          <w:p w:rsidR="005E0385" w:rsidRDefault="00074244">
            <w:pPr>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074244" w:rsidRPr="00074244" w:rsidRDefault="00074244" w:rsidP="00074244">
            <w:pPr>
              <w:jc w:val="left"/>
              <w:rPr>
                <w:rFonts w:ascii="Arial" w:hAnsi="Arial" w:cs="Arial"/>
                <w:b/>
                <w:sz w:val="20"/>
                <w:szCs w:val="20"/>
              </w:rPr>
            </w:pPr>
            <w:r w:rsidRPr="00074244">
              <w:rPr>
                <w:rFonts w:ascii="Arial" w:hAnsi="Arial" w:cs="Arial"/>
                <w:b/>
                <w:sz w:val="20"/>
                <w:szCs w:val="20"/>
              </w:rPr>
              <w:t>Daily Quality Control:</w:t>
            </w:r>
          </w:p>
          <w:p w:rsidR="00074244" w:rsidRPr="00074244" w:rsidRDefault="00074244" w:rsidP="00074244">
            <w:pPr>
              <w:jc w:val="left"/>
              <w:rPr>
                <w:rFonts w:ascii="Arial" w:hAnsi="Arial" w:cs="Arial"/>
                <w:b/>
                <w:sz w:val="20"/>
                <w:szCs w:val="20"/>
              </w:rPr>
            </w:pPr>
          </w:p>
          <w:p w:rsidR="00074244" w:rsidRPr="00074244" w:rsidRDefault="00074244" w:rsidP="00074244">
            <w:pPr>
              <w:jc w:val="left"/>
              <w:rPr>
                <w:rFonts w:ascii="Arial" w:hAnsi="Arial" w:cs="Arial"/>
                <w:sz w:val="20"/>
                <w:szCs w:val="20"/>
              </w:rPr>
            </w:pPr>
            <w:r w:rsidRPr="00074244">
              <w:rPr>
                <w:rFonts w:ascii="Arial" w:hAnsi="Arial" w:cs="Arial"/>
                <w:sz w:val="20"/>
                <w:szCs w:val="20"/>
              </w:rPr>
              <w:t xml:space="preserve">Once an </w:t>
            </w:r>
            <w:proofErr w:type="spellStart"/>
            <w:r w:rsidRPr="00074244">
              <w:rPr>
                <w:rFonts w:ascii="Arial" w:hAnsi="Arial" w:cs="Arial"/>
                <w:sz w:val="20"/>
                <w:szCs w:val="20"/>
              </w:rPr>
              <w:t>Xpert</w:t>
            </w:r>
            <w:proofErr w:type="spellEnd"/>
            <w:r w:rsidRPr="00074244">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074244" w:rsidRPr="00074244" w:rsidRDefault="00074244" w:rsidP="00074244">
            <w:pPr>
              <w:jc w:val="left"/>
              <w:rPr>
                <w:rFonts w:ascii="Arial" w:hAnsi="Arial" w:cs="Arial"/>
                <w:sz w:val="20"/>
                <w:szCs w:val="20"/>
              </w:rPr>
            </w:pPr>
          </w:p>
          <w:p w:rsidR="00074244" w:rsidRPr="00074244" w:rsidRDefault="00074244" w:rsidP="00074244">
            <w:pPr>
              <w:jc w:val="left"/>
              <w:rPr>
                <w:rFonts w:ascii="Arial" w:hAnsi="Arial" w:cs="Arial"/>
                <w:sz w:val="20"/>
                <w:szCs w:val="20"/>
              </w:rPr>
            </w:pPr>
            <w:r w:rsidRPr="00074244">
              <w:rPr>
                <w:rFonts w:ascii="Arial" w:hAnsi="Arial" w:cs="Arial"/>
                <w:sz w:val="20"/>
                <w:szCs w:val="20"/>
              </w:rPr>
              <w:t xml:space="preserve">Each test includes a Sample Processing Control (SPC), a Sample Adequacy Control (SAC), and a Probe Check Control (PCC). </w:t>
            </w:r>
          </w:p>
          <w:p w:rsidR="00074244" w:rsidRPr="00074244" w:rsidRDefault="00074244" w:rsidP="00A505A3">
            <w:pPr>
              <w:numPr>
                <w:ilvl w:val="0"/>
                <w:numId w:val="11"/>
              </w:numPr>
              <w:autoSpaceDE w:val="0"/>
              <w:autoSpaceDN w:val="0"/>
              <w:adjustRightInd w:val="0"/>
              <w:spacing w:after="247"/>
              <w:jc w:val="left"/>
              <w:rPr>
                <w:rFonts w:ascii="Arial" w:eastAsiaTheme="minorHAnsi" w:hAnsi="Arial" w:cs="Arial"/>
                <w:color w:val="000000"/>
                <w:sz w:val="20"/>
                <w:szCs w:val="20"/>
              </w:rPr>
            </w:pPr>
            <w:r w:rsidRPr="00074244">
              <w:rPr>
                <w:rFonts w:ascii="Arial" w:eastAsiaTheme="minorHAnsi" w:hAnsi="Arial" w:cs="Arial"/>
                <w:color w:val="000000"/>
                <w:sz w:val="20"/>
                <w:szCs w:val="20"/>
              </w:rPr>
              <w:t xml:space="preserve">SPC: Ensures the sample was correctly processed.  It contains DNA from </w:t>
            </w:r>
            <w:r w:rsidRPr="00074244">
              <w:rPr>
                <w:rFonts w:ascii="Arial" w:eastAsiaTheme="minorHAnsi" w:hAnsi="Arial" w:cs="Arial"/>
                <w:i/>
                <w:iCs/>
                <w:color w:val="000000"/>
                <w:sz w:val="20"/>
                <w:szCs w:val="20"/>
              </w:rPr>
              <w:t xml:space="preserve">Bacillus </w:t>
            </w:r>
            <w:proofErr w:type="spellStart"/>
            <w:r w:rsidRPr="00074244">
              <w:rPr>
                <w:rFonts w:ascii="Arial" w:eastAsiaTheme="minorHAnsi" w:hAnsi="Arial" w:cs="Arial"/>
                <w:i/>
                <w:iCs/>
                <w:color w:val="000000"/>
                <w:sz w:val="20"/>
                <w:szCs w:val="20"/>
              </w:rPr>
              <w:t>globigii</w:t>
            </w:r>
            <w:proofErr w:type="spellEnd"/>
            <w:r w:rsidRPr="00074244">
              <w:rPr>
                <w:rFonts w:ascii="Arial" w:eastAsiaTheme="minorHAnsi" w:hAnsi="Arial" w:cs="Arial"/>
                <w:i/>
                <w:iCs/>
                <w:color w:val="000000"/>
                <w:sz w:val="20"/>
                <w:szCs w:val="20"/>
              </w:rPr>
              <w:t xml:space="preserve"> </w:t>
            </w:r>
            <w:r w:rsidRPr="00074244">
              <w:rPr>
                <w:rFonts w:ascii="Arial" w:eastAsiaTheme="minorHAnsi" w:hAnsi="Arial" w:cs="Arial"/>
                <w:color w:val="000000"/>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analyte negative sample and can be negative OR positive in an analyte positive sample.  </w:t>
            </w:r>
          </w:p>
          <w:p w:rsidR="00074244" w:rsidRPr="00074244" w:rsidRDefault="00074244" w:rsidP="00A505A3">
            <w:pPr>
              <w:numPr>
                <w:ilvl w:val="0"/>
                <w:numId w:val="11"/>
              </w:numPr>
              <w:autoSpaceDE w:val="0"/>
              <w:autoSpaceDN w:val="0"/>
              <w:adjustRightInd w:val="0"/>
              <w:spacing w:after="247"/>
              <w:jc w:val="left"/>
              <w:rPr>
                <w:rFonts w:ascii="Arial" w:eastAsiaTheme="minorHAnsi" w:hAnsi="Arial" w:cs="Arial"/>
                <w:color w:val="000000"/>
                <w:sz w:val="20"/>
                <w:szCs w:val="20"/>
              </w:rPr>
            </w:pPr>
            <w:r w:rsidRPr="00074244">
              <w:rPr>
                <w:rFonts w:ascii="Arial" w:eastAsiaTheme="minorHAnsi" w:hAnsi="Arial" w:cs="Arial"/>
                <w:color w:val="000000"/>
                <w:sz w:val="20"/>
                <w:szCs w:val="20"/>
              </w:rPr>
              <w:t xml:space="preserve">SAC: Ensures that the sample contains human cells or human DNA.  The SAC signal is only to be considered in an analyte negative sample.  A negative SAC indicates that no human cells are present in the sample due to insufficient mixing of the sample or because of an inadequately taken sample.  </w:t>
            </w:r>
          </w:p>
          <w:p w:rsidR="00074244" w:rsidRPr="00074244" w:rsidRDefault="00074244" w:rsidP="00A505A3">
            <w:pPr>
              <w:numPr>
                <w:ilvl w:val="0"/>
                <w:numId w:val="11"/>
              </w:numPr>
              <w:autoSpaceDE w:val="0"/>
              <w:autoSpaceDN w:val="0"/>
              <w:adjustRightInd w:val="0"/>
              <w:spacing w:after="247"/>
              <w:jc w:val="left"/>
              <w:rPr>
                <w:rFonts w:ascii="Arial" w:eastAsiaTheme="minorHAnsi" w:hAnsi="Arial" w:cs="Arial"/>
                <w:color w:val="000000"/>
                <w:sz w:val="20"/>
                <w:szCs w:val="20"/>
              </w:rPr>
            </w:pPr>
            <w:r w:rsidRPr="00074244">
              <w:rPr>
                <w:rFonts w:ascii="Arial" w:eastAsiaTheme="minorHAnsi" w:hAnsi="Arial" w:cs="Arial"/>
                <w:color w:val="000000"/>
                <w:sz w:val="20"/>
                <w:szCs w:val="20"/>
              </w:rPr>
              <w:t xml:space="preserve">PCC: Performs a check on the amplification portion of the assay.  Before the PCR reaction starts, the GeneXpert instrument measures the fluorescence signal from the probes to monitor bead rehydration, reaction-tube filling, probe integrity, and dye stability.  Therefore, it controls </w:t>
            </w:r>
            <w:r w:rsidRPr="00074244">
              <w:rPr>
                <w:rFonts w:ascii="Arial" w:eastAsiaTheme="minorHAnsi" w:hAnsi="Arial" w:cs="Arial"/>
                <w:color w:val="000000"/>
                <w:sz w:val="20"/>
                <w:szCs w:val="20"/>
              </w:rPr>
              <w:lastRenderedPageBreak/>
              <w:t xml:space="preserve">for missing or incompletely hydrated beads of enzyme and target specific reagent. It also controls for the generated fluorescence which must meet internal acceptance criteria. </w:t>
            </w:r>
          </w:p>
          <w:p w:rsidR="00074244" w:rsidRPr="00074244" w:rsidRDefault="00074244" w:rsidP="00074244">
            <w:pPr>
              <w:autoSpaceDE w:val="0"/>
              <w:autoSpaceDN w:val="0"/>
              <w:adjustRightInd w:val="0"/>
              <w:spacing w:after="247"/>
              <w:ind w:left="720"/>
              <w:jc w:val="left"/>
              <w:rPr>
                <w:rFonts w:ascii="Arial" w:eastAsiaTheme="minorHAnsi" w:hAnsi="Arial" w:cs="Arial"/>
                <w:b/>
                <w:color w:val="000000"/>
                <w:sz w:val="20"/>
                <w:szCs w:val="20"/>
              </w:rPr>
            </w:pPr>
            <w:r w:rsidRPr="00074244">
              <w:rPr>
                <w:rFonts w:ascii="Arial" w:eastAsiaTheme="minorHAnsi" w:hAnsi="Arial" w:cs="Arial"/>
                <w:b/>
                <w:color w:val="000000"/>
                <w:sz w:val="20"/>
                <w:szCs w:val="20"/>
              </w:rPr>
              <w:t xml:space="preserve">NOTE: </w:t>
            </w:r>
            <w:r w:rsidRPr="00074244">
              <w:rPr>
                <w:rFonts w:ascii="Arial" w:eastAsiaTheme="minorHAnsi" w:hAnsi="Arial" w:cs="Arial"/>
                <w:sz w:val="20"/>
                <w:szCs w:val="20"/>
              </w:rPr>
              <w:t xml:space="preserve">When TV levels are high enough to generate very early </w:t>
            </w:r>
            <w:proofErr w:type="spellStart"/>
            <w:r w:rsidRPr="00074244">
              <w:rPr>
                <w:rFonts w:ascii="Arial" w:eastAsiaTheme="minorHAnsi" w:hAnsi="Arial" w:cs="Arial"/>
                <w:sz w:val="20"/>
                <w:szCs w:val="20"/>
              </w:rPr>
              <w:t>Cts</w:t>
            </w:r>
            <w:proofErr w:type="spellEnd"/>
            <w:r w:rsidRPr="00074244">
              <w:rPr>
                <w:rFonts w:ascii="Arial" w:eastAsiaTheme="minorHAnsi" w:hAnsi="Arial" w:cs="Arial"/>
                <w:sz w:val="20"/>
                <w:szCs w:val="20"/>
              </w:rPr>
              <w:t>, neither the SAC nor SPC amplification curves will be seen and their results will not be reported.</w:t>
            </w:r>
          </w:p>
          <w:p w:rsidR="00074244" w:rsidRPr="00074244" w:rsidRDefault="00074244" w:rsidP="00074244">
            <w:pPr>
              <w:jc w:val="left"/>
              <w:rPr>
                <w:rFonts w:ascii="Arial" w:hAnsi="Arial"/>
                <w:b/>
                <w:sz w:val="20"/>
              </w:rPr>
            </w:pPr>
            <w:r w:rsidRPr="00074244">
              <w:rPr>
                <w:rFonts w:ascii="Arial" w:hAnsi="Arial"/>
                <w:b/>
                <w:sz w:val="20"/>
              </w:rPr>
              <w:t>External Quality Control:</w:t>
            </w:r>
          </w:p>
          <w:p w:rsidR="00074244" w:rsidRPr="00074244" w:rsidRDefault="00074244" w:rsidP="00A505A3">
            <w:pPr>
              <w:numPr>
                <w:ilvl w:val="0"/>
                <w:numId w:val="6"/>
              </w:numPr>
              <w:ind w:left="720"/>
              <w:contextualSpacing/>
              <w:jc w:val="left"/>
              <w:rPr>
                <w:rFonts w:ascii="Arial" w:hAnsi="Arial"/>
                <w:sz w:val="20"/>
              </w:rPr>
            </w:pPr>
            <w:r w:rsidRPr="00074244">
              <w:rPr>
                <w:rFonts w:ascii="Arial" w:hAnsi="Arial"/>
                <w:sz w:val="20"/>
              </w:rPr>
              <w:t>Perform QC using external positive and negative controls every 30 days.  Record results in the GeneXpert assay binder on the Log.</w:t>
            </w:r>
          </w:p>
          <w:p w:rsidR="00074244" w:rsidRPr="00074244" w:rsidRDefault="00074244" w:rsidP="00A505A3">
            <w:pPr>
              <w:numPr>
                <w:ilvl w:val="0"/>
                <w:numId w:val="6"/>
              </w:numPr>
              <w:ind w:left="720"/>
              <w:contextualSpacing/>
              <w:jc w:val="left"/>
              <w:rPr>
                <w:rFonts w:ascii="Arial" w:hAnsi="Arial"/>
                <w:sz w:val="20"/>
              </w:rPr>
            </w:pPr>
            <w:r w:rsidRPr="00074244">
              <w:rPr>
                <w:rFonts w:ascii="Arial" w:hAnsi="Arial"/>
                <w:sz w:val="20"/>
              </w:rPr>
              <w:t>See IQCP document.</w:t>
            </w:r>
          </w:p>
          <w:p w:rsidR="00074244" w:rsidRPr="00074244" w:rsidRDefault="00074244" w:rsidP="00A505A3">
            <w:pPr>
              <w:numPr>
                <w:ilvl w:val="0"/>
                <w:numId w:val="6"/>
              </w:numPr>
              <w:ind w:left="720"/>
              <w:contextualSpacing/>
              <w:jc w:val="left"/>
              <w:rPr>
                <w:rFonts w:ascii="Arial" w:hAnsi="Arial"/>
                <w:sz w:val="20"/>
              </w:rPr>
            </w:pPr>
            <w:r w:rsidRPr="00074244">
              <w:rPr>
                <w:rFonts w:ascii="Arial" w:hAnsi="Arial"/>
                <w:sz w:val="20"/>
              </w:rPr>
              <w:t>See Quality Control Procedure.</w:t>
            </w:r>
          </w:p>
          <w:p w:rsidR="00074244" w:rsidRPr="00074244" w:rsidRDefault="00074244" w:rsidP="00074244">
            <w:pPr>
              <w:jc w:val="left"/>
              <w:rPr>
                <w:rFonts w:ascii="Arial" w:hAnsi="Arial"/>
                <w:sz w:val="20"/>
              </w:rPr>
            </w:pPr>
          </w:p>
          <w:p w:rsidR="00074244" w:rsidRPr="00074244" w:rsidRDefault="00074244" w:rsidP="00074244">
            <w:pPr>
              <w:jc w:val="left"/>
              <w:rPr>
                <w:rFonts w:ascii="Arial" w:hAnsi="Arial"/>
                <w:b/>
                <w:sz w:val="20"/>
              </w:rPr>
            </w:pPr>
            <w:r w:rsidRPr="00074244">
              <w:rPr>
                <w:rFonts w:ascii="Arial" w:hAnsi="Arial"/>
                <w:b/>
                <w:sz w:val="20"/>
              </w:rPr>
              <w:t>New Lot/Shipment Quality control:</w:t>
            </w:r>
          </w:p>
          <w:p w:rsidR="00074244" w:rsidRPr="00074244" w:rsidRDefault="00074244" w:rsidP="00A505A3">
            <w:pPr>
              <w:numPr>
                <w:ilvl w:val="0"/>
                <w:numId w:val="6"/>
              </w:numPr>
              <w:ind w:left="720"/>
              <w:contextualSpacing/>
              <w:jc w:val="left"/>
              <w:rPr>
                <w:rFonts w:ascii="Arial" w:hAnsi="Arial"/>
                <w:sz w:val="20"/>
              </w:rPr>
            </w:pPr>
            <w:r w:rsidRPr="00074244">
              <w:rPr>
                <w:rFonts w:ascii="Arial" w:hAnsi="Arial"/>
                <w:sz w:val="20"/>
              </w:rPr>
              <w:t>Perform QC using external positive and negative controls with each new lot or shipment before putting into service.  Record results in the GeneXpert assay binder on the Log.</w:t>
            </w:r>
          </w:p>
          <w:p w:rsidR="00074244" w:rsidRPr="00074244" w:rsidRDefault="00074244" w:rsidP="00A505A3">
            <w:pPr>
              <w:numPr>
                <w:ilvl w:val="0"/>
                <w:numId w:val="6"/>
              </w:numPr>
              <w:ind w:left="720"/>
              <w:contextualSpacing/>
              <w:jc w:val="left"/>
              <w:rPr>
                <w:rFonts w:ascii="Arial" w:hAnsi="Arial"/>
                <w:sz w:val="20"/>
              </w:rPr>
            </w:pPr>
            <w:r w:rsidRPr="00074244">
              <w:rPr>
                <w:rFonts w:ascii="Arial" w:hAnsi="Arial"/>
                <w:sz w:val="20"/>
              </w:rPr>
              <w:t>See Quality Control Procedure</w:t>
            </w:r>
          </w:p>
          <w:p w:rsidR="00074244" w:rsidRPr="00074244" w:rsidRDefault="00074244" w:rsidP="00074244">
            <w:pPr>
              <w:jc w:val="left"/>
              <w:rPr>
                <w:rFonts w:ascii="Arial" w:hAnsi="Arial"/>
                <w:sz w:val="20"/>
              </w:rPr>
            </w:pPr>
          </w:p>
          <w:p w:rsidR="00074244" w:rsidRPr="00074244" w:rsidRDefault="00074244" w:rsidP="00074244">
            <w:pPr>
              <w:jc w:val="left"/>
              <w:rPr>
                <w:rFonts w:ascii="Arial" w:hAnsi="Arial"/>
                <w:b/>
                <w:sz w:val="20"/>
              </w:rPr>
            </w:pPr>
            <w:r w:rsidRPr="00074244">
              <w:rPr>
                <w:rFonts w:ascii="Arial" w:hAnsi="Arial"/>
                <w:b/>
                <w:sz w:val="20"/>
              </w:rPr>
              <w:t>Wipe testing control:</w:t>
            </w:r>
          </w:p>
          <w:p w:rsidR="00074244" w:rsidRPr="00074244" w:rsidRDefault="00074244" w:rsidP="00A505A3">
            <w:pPr>
              <w:numPr>
                <w:ilvl w:val="0"/>
                <w:numId w:val="6"/>
              </w:numPr>
              <w:ind w:left="720"/>
              <w:contextualSpacing/>
              <w:jc w:val="left"/>
              <w:rPr>
                <w:rFonts w:ascii="Arial" w:hAnsi="Arial"/>
                <w:sz w:val="20"/>
              </w:rPr>
            </w:pPr>
            <w:r w:rsidRPr="00074244">
              <w:rPr>
                <w:rFonts w:ascii="Arial" w:hAnsi="Arial"/>
                <w:sz w:val="20"/>
              </w:rPr>
              <w:t xml:space="preserve">Perform wipe testing every 30 days to monitor for contamination. </w:t>
            </w:r>
          </w:p>
          <w:p w:rsidR="00074244" w:rsidRPr="00074244" w:rsidRDefault="00074244" w:rsidP="00A505A3">
            <w:pPr>
              <w:numPr>
                <w:ilvl w:val="0"/>
                <w:numId w:val="6"/>
              </w:numPr>
              <w:ind w:left="720"/>
              <w:contextualSpacing/>
              <w:jc w:val="left"/>
              <w:rPr>
                <w:rFonts w:ascii="Arial" w:hAnsi="Arial"/>
                <w:sz w:val="20"/>
              </w:rPr>
            </w:pPr>
            <w:r w:rsidRPr="00074244">
              <w:rPr>
                <w:rFonts w:ascii="Arial" w:hAnsi="Arial"/>
                <w:sz w:val="20"/>
              </w:rPr>
              <w:t>See Quality Control Procedure.</w:t>
            </w:r>
          </w:p>
          <w:p w:rsidR="00074244" w:rsidRPr="00074244" w:rsidRDefault="00074244" w:rsidP="00074244">
            <w:pPr>
              <w:jc w:val="left"/>
              <w:rPr>
                <w:rFonts w:ascii="Arial" w:hAnsi="Arial"/>
                <w:sz w:val="20"/>
              </w:rPr>
            </w:pPr>
          </w:p>
          <w:p w:rsidR="00074244" w:rsidRPr="00074244" w:rsidRDefault="00074244" w:rsidP="00074244">
            <w:pPr>
              <w:jc w:val="left"/>
              <w:rPr>
                <w:rFonts w:ascii="Arial" w:hAnsi="Arial"/>
                <w:sz w:val="20"/>
              </w:rPr>
            </w:pPr>
            <w:r w:rsidRPr="00074244">
              <w:rPr>
                <w:rFonts w:ascii="Arial" w:hAnsi="Arial"/>
                <w:b/>
                <w:sz w:val="20"/>
              </w:rPr>
              <w:t>NOTE:</w:t>
            </w:r>
            <w:r w:rsidRPr="00074244">
              <w:rPr>
                <w:rFonts w:ascii="Arial" w:hAnsi="Arial"/>
                <w:sz w:val="20"/>
              </w:rPr>
              <w:t xml:space="preserve"> External quality control may be performed on an as needed basis if certain circumstances arise.  Examples include:</w:t>
            </w:r>
          </w:p>
          <w:p w:rsidR="00074244" w:rsidRPr="00074244" w:rsidRDefault="00074244" w:rsidP="00A505A3">
            <w:pPr>
              <w:numPr>
                <w:ilvl w:val="0"/>
                <w:numId w:val="8"/>
              </w:numPr>
              <w:contextualSpacing/>
              <w:jc w:val="left"/>
              <w:rPr>
                <w:rFonts w:ascii="Arial" w:hAnsi="Arial"/>
                <w:sz w:val="20"/>
              </w:rPr>
            </w:pPr>
            <w:r w:rsidRPr="00074244">
              <w:rPr>
                <w:rFonts w:ascii="Arial" w:hAnsi="Arial"/>
                <w:sz w:val="20"/>
              </w:rPr>
              <w:t>Drift in results (e.g., increasing/decreasing positivity rates)</w:t>
            </w:r>
          </w:p>
          <w:p w:rsidR="00074244" w:rsidRPr="00074244" w:rsidRDefault="00074244" w:rsidP="00A505A3">
            <w:pPr>
              <w:numPr>
                <w:ilvl w:val="0"/>
                <w:numId w:val="8"/>
              </w:numPr>
              <w:contextualSpacing/>
              <w:jc w:val="left"/>
              <w:rPr>
                <w:rFonts w:ascii="Arial" w:hAnsi="Arial"/>
                <w:sz w:val="20"/>
              </w:rPr>
            </w:pPr>
            <w:r w:rsidRPr="00074244">
              <w:rPr>
                <w:rFonts w:ascii="Arial" w:hAnsi="Arial"/>
                <w:sz w:val="20"/>
              </w:rPr>
              <w:t>Potential contamination (negative control)</w:t>
            </w:r>
          </w:p>
          <w:p w:rsidR="00074244" w:rsidRPr="00074244" w:rsidRDefault="00074244" w:rsidP="00A505A3">
            <w:pPr>
              <w:numPr>
                <w:ilvl w:val="0"/>
                <w:numId w:val="8"/>
              </w:numPr>
              <w:contextualSpacing/>
              <w:jc w:val="left"/>
              <w:rPr>
                <w:rFonts w:ascii="Arial" w:hAnsi="Arial"/>
                <w:sz w:val="20"/>
              </w:rPr>
            </w:pPr>
            <w:r w:rsidRPr="00074244">
              <w:rPr>
                <w:rFonts w:ascii="Arial" w:hAnsi="Arial"/>
                <w:sz w:val="20"/>
              </w:rPr>
              <w:t>After drastic system maintenance</w:t>
            </w:r>
          </w:p>
          <w:p w:rsidR="005E0385" w:rsidRDefault="005E0385">
            <w:pPr>
              <w:rPr>
                <w:rFonts w:ascii="Arial" w:hAnsi="Arial"/>
                <w:sz w:val="20"/>
              </w:rPr>
            </w:pPr>
          </w:p>
          <w:p w:rsidR="005E0385" w:rsidRDefault="005E0385">
            <w:pPr>
              <w:rPr>
                <w:rFonts w:ascii="Arial" w:hAnsi="Arial"/>
                <w:sz w:val="20"/>
              </w:rPr>
            </w:pP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074244" w:rsidRDefault="00074244">
            <w:pPr>
              <w:rPr>
                <w:rFonts w:ascii="Arial" w:hAnsi="Arial"/>
                <w:b/>
                <w:color w:val="0000FF"/>
                <w:sz w:val="20"/>
              </w:rPr>
            </w:pPr>
          </w:p>
          <w:p w:rsidR="00927AD8" w:rsidRDefault="002F2A95">
            <w:pPr>
              <w:rPr>
                <w:rFonts w:ascii="Arial" w:hAnsi="Arial"/>
              </w:rPr>
            </w:pPr>
            <w:r>
              <w:rPr>
                <w:rFonts w:ascii="Arial" w:hAnsi="Arial"/>
                <w:b/>
                <w:color w:val="0000FF"/>
                <w:sz w:val="20"/>
              </w:rPr>
              <w:t>Procedure</w:t>
            </w:r>
          </w:p>
        </w:tc>
        <w:tc>
          <w:tcPr>
            <w:tcW w:w="9376" w:type="dxa"/>
            <w:gridSpan w:val="8"/>
            <w:tcBorders>
              <w:top w:val="single" w:sz="4" w:space="0" w:color="auto"/>
              <w:left w:val="nil"/>
              <w:bottom w:val="single" w:sz="4" w:space="0" w:color="auto"/>
              <w:right w:val="nil"/>
            </w:tcBorders>
          </w:tcPr>
          <w:p w:rsidR="00074244" w:rsidRDefault="00074244" w:rsidP="00074244">
            <w:pPr>
              <w:rPr>
                <w:rFonts w:ascii="Arial" w:hAnsi="Arial" w:cs="Arial"/>
                <w:b/>
                <w:sz w:val="20"/>
                <w:szCs w:val="20"/>
              </w:rPr>
            </w:pPr>
          </w:p>
          <w:p w:rsidR="00074244" w:rsidRPr="00074244" w:rsidRDefault="00074244" w:rsidP="00074244">
            <w:pPr>
              <w:rPr>
                <w:rFonts w:ascii="Arial" w:hAnsi="Arial" w:cs="Arial"/>
                <w:b/>
                <w:sz w:val="20"/>
                <w:szCs w:val="20"/>
              </w:rPr>
            </w:pPr>
            <w:r w:rsidRPr="00074244">
              <w:rPr>
                <w:rFonts w:ascii="Arial" w:hAnsi="Arial" w:cs="Arial"/>
                <w:b/>
                <w:sz w:val="20"/>
                <w:szCs w:val="20"/>
              </w:rPr>
              <w:t>Cartridge preparation:</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 xml:space="preserve">Clean hood with10% bleach dilution (made daily) followed by 70% ethanol. </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Change gloves.</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 xml:space="preserve">Obtain a TV Assay cartridge, transfer pipette, and sample transport tube to be tested. </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Label the side of the cartridge with a bar-coded foot-label.</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 xml:space="preserve">Open the cartridge lid. </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Vortex the sample 5-10 seconds.</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 xml:space="preserve">Open the transport tube lid and draw up specimen in the transfer pipette until the fill mark is reached (500uL). </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 xml:space="preserve">Insert the pipette to the bottom of the well in the cartridge and empty the pipette’s content into the cartridge. </w:t>
            </w:r>
          </w:p>
          <w:p w:rsidR="00074244" w:rsidRPr="00074244" w:rsidRDefault="00074244" w:rsidP="00074244">
            <w:pPr>
              <w:ind w:left="360"/>
              <w:jc w:val="left"/>
              <w:rPr>
                <w:rFonts w:ascii="Arial" w:hAnsi="Arial" w:cs="Arial"/>
                <w:sz w:val="20"/>
                <w:szCs w:val="20"/>
              </w:rPr>
            </w:pPr>
          </w:p>
          <w:p w:rsidR="00074244" w:rsidRPr="00074244" w:rsidRDefault="00074244" w:rsidP="00074244">
            <w:pPr>
              <w:jc w:val="center"/>
              <w:rPr>
                <w:rFonts w:ascii="Arial" w:hAnsi="Arial" w:cs="Arial"/>
                <w:sz w:val="20"/>
                <w:szCs w:val="20"/>
              </w:rPr>
            </w:pPr>
            <w:r w:rsidRPr="00074244">
              <w:rPr>
                <w:noProof/>
                <w:szCs w:val="32"/>
              </w:rPr>
              <w:lastRenderedPageBreak/>
              <w:drawing>
                <wp:inline distT="0" distB="0" distL="0" distR="0" wp14:anchorId="1AF5D013" wp14:editId="633C1A81">
                  <wp:extent cx="2152577" cy="3125522"/>
                  <wp:effectExtent l="0" t="0" r="0" b="0"/>
                  <wp:docPr id="3" name="Picture 3" descr="C:\Users\CE156920\AppData\Local\Temp\SNAGHTMLc82f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156920\AppData\Local\Temp\SNAGHTMLc82f57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545" cy="3153063"/>
                          </a:xfrm>
                          <a:prstGeom prst="rect">
                            <a:avLst/>
                          </a:prstGeom>
                          <a:noFill/>
                          <a:ln>
                            <a:noFill/>
                          </a:ln>
                        </pic:spPr>
                      </pic:pic>
                    </a:graphicData>
                  </a:graphic>
                </wp:inline>
              </w:drawing>
            </w:r>
          </w:p>
          <w:p w:rsidR="00074244" w:rsidRPr="00074244" w:rsidRDefault="00074244" w:rsidP="00074244">
            <w:pPr>
              <w:jc w:val="left"/>
              <w:rPr>
                <w:rFonts w:ascii="Arial" w:hAnsi="Arial" w:cs="Arial"/>
                <w:sz w:val="20"/>
                <w:szCs w:val="20"/>
              </w:rPr>
            </w:pP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 xml:space="preserve">Close the cartridge lid, and set onto the transfer tray. </w:t>
            </w:r>
          </w:p>
          <w:p w:rsidR="00074244" w:rsidRPr="00074244" w:rsidRDefault="00074244" w:rsidP="00A505A3">
            <w:pPr>
              <w:numPr>
                <w:ilvl w:val="0"/>
                <w:numId w:val="12"/>
              </w:numPr>
              <w:jc w:val="left"/>
              <w:rPr>
                <w:rFonts w:ascii="Arial" w:hAnsi="Arial" w:cs="Arial"/>
                <w:sz w:val="20"/>
                <w:szCs w:val="20"/>
              </w:rPr>
            </w:pPr>
            <w:r w:rsidRPr="00074244">
              <w:rPr>
                <w:rFonts w:ascii="Arial" w:hAnsi="Arial" w:cs="Arial"/>
                <w:sz w:val="20"/>
                <w:szCs w:val="20"/>
              </w:rPr>
              <w:t xml:space="preserve">Change gloves and proceed to prepare additional samples or start the test. </w:t>
            </w:r>
          </w:p>
          <w:p w:rsidR="00074244" w:rsidRPr="00074244" w:rsidRDefault="00074244" w:rsidP="00074244">
            <w:pPr>
              <w:ind w:left="720"/>
              <w:rPr>
                <w:rFonts w:ascii="Arial" w:hAnsi="Arial" w:cs="Arial"/>
                <w:sz w:val="20"/>
                <w:szCs w:val="20"/>
              </w:rPr>
            </w:pPr>
          </w:p>
          <w:p w:rsidR="00074244" w:rsidRPr="00074244" w:rsidRDefault="00074244" w:rsidP="00074244">
            <w:pPr>
              <w:ind w:left="720"/>
              <w:rPr>
                <w:rFonts w:ascii="Arial" w:hAnsi="Arial" w:cs="Arial"/>
                <w:b/>
                <w:sz w:val="20"/>
                <w:szCs w:val="20"/>
              </w:rPr>
            </w:pPr>
            <w:r w:rsidRPr="00074244">
              <w:rPr>
                <w:rFonts w:ascii="Arial" w:hAnsi="Arial" w:cs="Arial"/>
                <w:b/>
                <w:sz w:val="20"/>
                <w:szCs w:val="20"/>
              </w:rPr>
              <w:t xml:space="preserve">NOTES:  </w:t>
            </w:r>
          </w:p>
          <w:p w:rsidR="00074244" w:rsidRPr="00074244" w:rsidRDefault="00074244" w:rsidP="00074244">
            <w:pPr>
              <w:ind w:left="720"/>
              <w:rPr>
                <w:rFonts w:ascii="Arial" w:hAnsi="Arial" w:cs="Arial"/>
                <w:sz w:val="20"/>
                <w:szCs w:val="20"/>
              </w:rPr>
            </w:pPr>
            <w:r w:rsidRPr="00074244">
              <w:rPr>
                <w:rFonts w:ascii="Arial" w:hAnsi="Arial" w:cs="Arial"/>
                <w:sz w:val="20"/>
                <w:szCs w:val="20"/>
              </w:rPr>
              <w:t xml:space="preserve">-Hood surfaces must be cleaned between samples with 10% bleach dilution followed with 70% ethanol if there were any splashes, spills, or uncertainty of cleanliness.  </w:t>
            </w:r>
          </w:p>
          <w:p w:rsidR="00074244" w:rsidRPr="00074244" w:rsidRDefault="00074244" w:rsidP="00074244">
            <w:pPr>
              <w:ind w:left="720"/>
              <w:rPr>
                <w:rFonts w:ascii="Arial" w:hAnsi="Arial" w:cs="Arial"/>
                <w:sz w:val="20"/>
                <w:szCs w:val="20"/>
              </w:rPr>
            </w:pPr>
            <w:r w:rsidRPr="00074244">
              <w:rPr>
                <w:rFonts w:ascii="Arial" w:hAnsi="Arial" w:cs="Arial"/>
                <w:sz w:val="20"/>
                <w:szCs w:val="20"/>
              </w:rPr>
              <w:t>-**Start the test within 30 minutes of adding the sample to the cartridge</w:t>
            </w:r>
          </w:p>
          <w:p w:rsidR="00074244" w:rsidRPr="00074244" w:rsidRDefault="00074244" w:rsidP="00074244">
            <w:pPr>
              <w:rPr>
                <w:rFonts w:ascii="Arial" w:hAnsi="Arial" w:cs="Arial"/>
                <w:sz w:val="20"/>
                <w:szCs w:val="20"/>
              </w:rPr>
            </w:pPr>
          </w:p>
          <w:p w:rsidR="00074244" w:rsidRPr="00074244" w:rsidRDefault="00074244" w:rsidP="00074244">
            <w:pPr>
              <w:rPr>
                <w:rFonts w:ascii="Arial" w:hAnsi="Arial" w:cs="Arial"/>
                <w:b/>
                <w:sz w:val="20"/>
                <w:szCs w:val="20"/>
              </w:rPr>
            </w:pPr>
            <w:r w:rsidRPr="00074244">
              <w:rPr>
                <w:rFonts w:ascii="Arial" w:hAnsi="Arial" w:cs="Arial"/>
                <w:b/>
                <w:sz w:val="20"/>
                <w:szCs w:val="20"/>
              </w:rPr>
              <w:t>Starting the test:</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Ensure clean gloves are on before stepping to the computer work space.</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If instrument and computer are turned off: start up the instrument by flipping the power switch located in the back of the instrument.  Turn on the computer next.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Log onto the appropriate Windows account:</w:t>
            </w:r>
          </w:p>
          <w:p w:rsidR="00074244" w:rsidRPr="00074244" w:rsidRDefault="00074244" w:rsidP="00A505A3">
            <w:pPr>
              <w:numPr>
                <w:ilvl w:val="1"/>
                <w:numId w:val="13"/>
              </w:numPr>
              <w:jc w:val="left"/>
              <w:rPr>
                <w:rFonts w:ascii="Arial" w:hAnsi="Arial" w:cs="Arial"/>
                <w:sz w:val="20"/>
                <w:szCs w:val="20"/>
              </w:rPr>
            </w:pPr>
            <w:r w:rsidRPr="00074244">
              <w:rPr>
                <w:rFonts w:ascii="Arial" w:hAnsi="Arial" w:cs="Arial"/>
                <w:sz w:val="20"/>
                <w:szCs w:val="20"/>
              </w:rPr>
              <w:t>User: lab1</w:t>
            </w:r>
          </w:p>
          <w:p w:rsidR="00074244" w:rsidRPr="00074244" w:rsidRDefault="00074244" w:rsidP="00A505A3">
            <w:pPr>
              <w:numPr>
                <w:ilvl w:val="1"/>
                <w:numId w:val="13"/>
              </w:numPr>
              <w:jc w:val="left"/>
              <w:rPr>
                <w:rFonts w:ascii="Arial" w:hAnsi="Arial" w:cs="Arial"/>
                <w:sz w:val="20"/>
                <w:szCs w:val="20"/>
              </w:rPr>
            </w:pPr>
            <w:r w:rsidRPr="00074244">
              <w:rPr>
                <w:rFonts w:ascii="Arial" w:hAnsi="Arial" w:cs="Arial"/>
                <w:sz w:val="20"/>
                <w:szCs w:val="20"/>
              </w:rPr>
              <w:t>Password: labstaff4</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The GeneXpert software will launch automatically.  If it doesn’t double-click the GeneXpert </w:t>
            </w:r>
            <w:proofErr w:type="spellStart"/>
            <w:r w:rsidRPr="00074244">
              <w:rPr>
                <w:rFonts w:ascii="Arial" w:hAnsi="Arial" w:cs="Arial"/>
                <w:sz w:val="20"/>
                <w:szCs w:val="20"/>
              </w:rPr>
              <w:t>Dx</w:t>
            </w:r>
            <w:proofErr w:type="spellEnd"/>
            <w:r w:rsidRPr="00074244">
              <w:rPr>
                <w:rFonts w:ascii="Arial" w:hAnsi="Arial" w:cs="Arial"/>
                <w:sz w:val="20"/>
                <w:szCs w:val="20"/>
              </w:rPr>
              <w:t xml:space="preserve"> software shortcut icon on the desktop.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Log onto the software.</w:t>
            </w:r>
          </w:p>
          <w:p w:rsidR="00074244" w:rsidRPr="00074244" w:rsidRDefault="00074244" w:rsidP="00A505A3">
            <w:pPr>
              <w:numPr>
                <w:ilvl w:val="1"/>
                <w:numId w:val="13"/>
              </w:numPr>
              <w:jc w:val="left"/>
              <w:rPr>
                <w:rFonts w:ascii="Arial" w:hAnsi="Arial" w:cs="Arial"/>
                <w:sz w:val="20"/>
                <w:szCs w:val="20"/>
              </w:rPr>
            </w:pPr>
            <w:r w:rsidRPr="00074244">
              <w:rPr>
                <w:rFonts w:ascii="Arial" w:hAnsi="Arial" w:cs="Arial"/>
                <w:sz w:val="20"/>
                <w:szCs w:val="20"/>
              </w:rPr>
              <w:t>User: First 6 letters of your first and last name (combined)</w:t>
            </w:r>
          </w:p>
          <w:p w:rsidR="00074244" w:rsidRPr="00074244" w:rsidRDefault="00074244" w:rsidP="00A505A3">
            <w:pPr>
              <w:numPr>
                <w:ilvl w:val="1"/>
                <w:numId w:val="13"/>
              </w:numPr>
              <w:jc w:val="left"/>
              <w:rPr>
                <w:rFonts w:ascii="Arial" w:hAnsi="Arial" w:cs="Arial"/>
                <w:sz w:val="20"/>
                <w:szCs w:val="20"/>
              </w:rPr>
            </w:pPr>
            <w:r w:rsidRPr="00074244">
              <w:rPr>
                <w:rFonts w:ascii="Arial" w:hAnsi="Arial" w:cs="Arial"/>
                <w:sz w:val="20"/>
                <w:szCs w:val="20"/>
              </w:rPr>
              <w:t>Password: First 6 letters of your first and last name (combined)</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In the GeneXpert System window, click </w:t>
            </w:r>
            <w:r w:rsidRPr="00074244">
              <w:rPr>
                <w:rFonts w:ascii="Arial" w:hAnsi="Arial" w:cs="Arial"/>
                <w:b/>
                <w:sz w:val="20"/>
                <w:szCs w:val="20"/>
              </w:rPr>
              <w:t xml:space="preserve">Create Test.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Navigate to the </w:t>
            </w:r>
            <w:r w:rsidRPr="00074244">
              <w:rPr>
                <w:rFonts w:ascii="Arial" w:hAnsi="Arial" w:cs="Arial"/>
                <w:b/>
                <w:sz w:val="20"/>
                <w:szCs w:val="20"/>
              </w:rPr>
              <w:t>Sample ID</w:t>
            </w:r>
            <w:r w:rsidRPr="00074244">
              <w:rPr>
                <w:rFonts w:ascii="Arial" w:hAnsi="Arial" w:cs="Arial"/>
                <w:sz w:val="20"/>
                <w:szCs w:val="20"/>
              </w:rPr>
              <w:t xml:space="preserve"> box.  Scan or type in the sample ID.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Scan the barcode on the cartridge. </w:t>
            </w:r>
          </w:p>
          <w:p w:rsidR="00074244" w:rsidRPr="00074244" w:rsidRDefault="00074244" w:rsidP="00074244">
            <w:pPr>
              <w:ind w:firstLine="720"/>
              <w:rPr>
                <w:rFonts w:ascii="Arial" w:hAnsi="Arial" w:cs="Arial"/>
                <w:sz w:val="20"/>
                <w:szCs w:val="20"/>
              </w:rPr>
            </w:pPr>
            <w:r w:rsidRPr="00074244">
              <w:rPr>
                <w:rFonts w:ascii="Arial" w:hAnsi="Arial" w:cs="Arial"/>
                <w:b/>
                <w:sz w:val="20"/>
                <w:szCs w:val="20"/>
              </w:rPr>
              <w:t>NOTE</w:t>
            </w:r>
            <w:r w:rsidRPr="00074244">
              <w:rPr>
                <w:rFonts w:ascii="Arial" w:hAnsi="Arial" w:cs="Arial"/>
                <w:sz w:val="20"/>
                <w:szCs w:val="20"/>
              </w:rPr>
              <w:t xml:space="preserve">: if the barcode on the cartridge does not scan, then repeat the test with a new </w:t>
            </w:r>
            <w:r w:rsidRPr="00074244">
              <w:rPr>
                <w:rFonts w:ascii="Arial" w:hAnsi="Arial" w:cs="Arial"/>
                <w:sz w:val="20"/>
                <w:szCs w:val="20"/>
              </w:rPr>
              <w:tab/>
              <w:t>cartridge.</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If prompted, select </w:t>
            </w:r>
            <w:proofErr w:type="spellStart"/>
            <w:r w:rsidRPr="00074244">
              <w:rPr>
                <w:rFonts w:ascii="Arial" w:hAnsi="Arial" w:cs="Arial"/>
                <w:sz w:val="20"/>
                <w:szCs w:val="20"/>
              </w:rPr>
              <w:t>Xpert</w:t>
            </w:r>
            <w:proofErr w:type="spellEnd"/>
            <w:r w:rsidRPr="00074244">
              <w:rPr>
                <w:rFonts w:ascii="Arial" w:hAnsi="Arial" w:cs="Arial"/>
                <w:sz w:val="20"/>
                <w:szCs w:val="20"/>
              </w:rPr>
              <w:t xml:space="preserve"> TV from the </w:t>
            </w:r>
            <w:r w:rsidRPr="00074244">
              <w:rPr>
                <w:rFonts w:ascii="Arial" w:hAnsi="Arial" w:cs="Arial"/>
                <w:b/>
                <w:sz w:val="20"/>
                <w:szCs w:val="20"/>
              </w:rPr>
              <w:t xml:space="preserve">Select Assay MENU.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Select the appropriate test type for samples or controls.</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Enter the sample type.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Enter additional information in the “notes” field (day of QC, collect date, etc.) if needed.</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Click </w:t>
            </w:r>
            <w:r w:rsidRPr="00074244">
              <w:rPr>
                <w:rFonts w:ascii="Arial" w:hAnsi="Arial" w:cs="Arial"/>
                <w:b/>
                <w:sz w:val="20"/>
                <w:szCs w:val="20"/>
              </w:rPr>
              <w:t>Start Test</w:t>
            </w:r>
            <w:r w:rsidRPr="00074244">
              <w:rPr>
                <w:rFonts w:ascii="Arial" w:hAnsi="Arial" w:cs="Arial"/>
                <w:sz w:val="20"/>
                <w:szCs w:val="20"/>
              </w:rPr>
              <w:t xml:space="preserve">.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Enter your username and password, if requested.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Open the instrument module door with the blinking green light. </w:t>
            </w:r>
          </w:p>
          <w:p w:rsidR="00074244" w:rsidRPr="00074244" w:rsidRDefault="00074244" w:rsidP="00074244">
            <w:pPr>
              <w:ind w:left="720"/>
              <w:rPr>
                <w:rFonts w:ascii="Arial" w:hAnsi="Arial" w:cs="Arial"/>
                <w:sz w:val="20"/>
                <w:szCs w:val="20"/>
              </w:rPr>
            </w:pPr>
            <w:r w:rsidRPr="00074244">
              <w:rPr>
                <w:rFonts w:ascii="Arial" w:hAnsi="Arial" w:cs="Arial"/>
                <w:b/>
                <w:sz w:val="20"/>
                <w:szCs w:val="20"/>
              </w:rPr>
              <w:t>NOTE:</w:t>
            </w:r>
            <w:r w:rsidRPr="00074244">
              <w:rPr>
                <w:rFonts w:ascii="Arial" w:hAnsi="Arial" w:cs="Arial"/>
                <w:sz w:val="20"/>
                <w:szCs w:val="20"/>
              </w:rPr>
              <w:t xml:space="preserve"> when setting up for testing you may opt to use any available module.</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With the barcode facing towards you, set the cartridge into the module and close the door.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Wait for the test to start and the light to stop blinking.  The test will run for 90 minutes.</w:t>
            </w:r>
          </w:p>
          <w:p w:rsidR="00074244" w:rsidRPr="00074244" w:rsidRDefault="00074244" w:rsidP="00074244">
            <w:pPr>
              <w:ind w:left="720"/>
              <w:jc w:val="left"/>
              <w:rPr>
                <w:rFonts w:ascii="Arial" w:hAnsi="Arial" w:cs="Arial"/>
                <w:sz w:val="20"/>
                <w:szCs w:val="20"/>
              </w:rPr>
            </w:pPr>
            <w:r w:rsidRPr="00074244">
              <w:rPr>
                <w:rFonts w:ascii="Arial" w:hAnsi="Arial" w:cs="Arial"/>
                <w:b/>
                <w:sz w:val="20"/>
                <w:szCs w:val="20"/>
              </w:rPr>
              <w:t>NOTE:</w:t>
            </w:r>
            <w:r w:rsidRPr="00074244">
              <w:rPr>
                <w:rFonts w:ascii="Arial" w:hAnsi="Arial" w:cs="Arial"/>
                <w:sz w:val="20"/>
                <w:szCs w:val="20"/>
              </w:rPr>
              <w:t xml:space="preserve"> Early assay positive call out can happen as early as 40 minutes into the run</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 xml:space="preserve">Turn printer on. </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lastRenderedPageBreak/>
              <w:t>Remove the cartridge when testing is finished (the light will be off and the system will release the door lock).</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Dispose of used cartridges into bio-bags and place into biohazard sharps bins.</w:t>
            </w:r>
          </w:p>
          <w:p w:rsidR="00074244" w:rsidRPr="00074244" w:rsidRDefault="00074244" w:rsidP="00A505A3">
            <w:pPr>
              <w:numPr>
                <w:ilvl w:val="0"/>
                <w:numId w:val="13"/>
              </w:numPr>
              <w:jc w:val="left"/>
              <w:rPr>
                <w:rFonts w:ascii="Arial" w:hAnsi="Arial" w:cs="Arial"/>
                <w:sz w:val="20"/>
                <w:szCs w:val="20"/>
              </w:rPr>
            </w:pPr>
            <w:r w:rsidRPr="00074244">
              <w:rPr>
                <w:rFonts w:ascii="Arial" w:hAnsi="Arial" w:cs="Arial"/>
                <w:sz w:val="20"/>
                <w:szCs w:val="20"/>
              </w:rPr>
              <w:t>Clean any equipment used (pipettes, racks, transfer tray, etc.), hood, and counters (including keyboard, scanner, and mouse) at the end of the day.</w:t>
            </w:r>
          </w:p>
          <w:p w:rsidR="00A505A3" w:rsidRDefault="00074244" w:rsidP="00A505A3">
            <w:pPr>
              <w:ind w:left="720"/>
              <w:jc w:val="left"/>
              <w:rPr>
                <w:rFonts w:ascii="Arial" w:hAnsi="Arial" w:cs="Arial"/>
                <w:sz w:val="20"/>
                <w:szCs w:val="20"/>
              </w:rPr>
            </w:pPr>
            <w:r w:rsidRPr="00074244">
              <w:rPr>
                <w:rFonts w:ascii="Arial" w:hAnsi="Arial" w:cs="Arial"/>
                <w:b/>
                <w:sz w:val="20"/>
                <w:szCs w:val="20"/>
              </w:rPr>
              <w:t>NOTE:</w:t>
            </w:r>
            <w:r w:rsidRPr="00074244">
              <w:rPr>
                <w:rFonts w:ascii="Arial" w:hAnsi="Arial" w:cs="Arial"/>
                <w:sz w:val="20"/>
                <w:szCs w:val="20"/>
              </w:rPr>
              <w:t xml:space="preserve">  Sample processing, testing, and cleaning should follow a unidirectional work-flow to avoid contamination.  </w:t>
            </w:r>
          </w:p>
          <w:p w:rsidR="00A505A3" w:rsidRPr="00A505A3" w:rsidRDefault="00A505A3" w:rsidP="00A505A3">
            <w:pPr>
              <w:rPr>
                <w:rFonts w:ascii="Arial" w:hAnsi="Arial" w:cs="Arial"/>
                <w:sz w:val="20"/>
                <w:szCs w:val="20"/>
              </w:rPr>
            </w:pPr>
          </w:p>
          <w:p w:rsidR="00A505A3" w:rsidRPr="00A505A3" w:rsidRDefault="00A505A3" w:rsidP="00A505A3">
            <w:pPr>
              <w:rPr>
                <w:rFonts w:ascii="Arial" w:hAnsi="Arial" w:cs="Arial"/>
                <w:sz w:val="20"/>
                <w:szCs w:val="20"/>
              </w:rPr>
            </w:pPr>
          </w:p>
          <w:p w:rsidR="00A505A3" w:rsidRDefault="00A505A3" w:rsidP="00A505A3">
            <w:pPr>
              <w:rPr>
                <w:rFonts w:ascii="Arial" w:hAnsi="Arial" w:cs="Arial"/>
                <w:sz w:val="20"/>
                <w:szCs w:val="20"/>
              </w:rPr>
            </w:pPr>
          </w:p>
          <w:p w:rsidR="009945CD" w:rsidRPr="00A505A3" w:rsidRDefault="00A505A3" w:rsidP="00A505A3">
            <w:pPr>
              <w:tabs>
                <w:tab w:val="left" w:pos="1380"/>
              </w:tabs>
              <w:rPr>
                <w:rFonts w:ascii="Arial" w:hAnsi="Arial" w:cs="Arial"/>
                <w:sz w:val="20"/>
                <w:szCs w:val="20"/>
              </w:rPr>
            </w:pPr>
            <w:r>
              <w:rPr>
                <w:rFonts w:ascii="Arial" w:hAnsi="Arial" w:cs="Arial"/>
                <w:sz w:val="20"/>
                <w:szCs w:val="20"/>
              </w:rPr>
              <w:tab/>
            </w: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r w:rsidR="00074244">
              <w:rPr>
                <w:rFonts w:ascii="Arial" w:hAnsi="Arial"/>
                <w:b/>
                <w:color w:val="0000FF"/>
                <w:sz w:val="20"/>
              </w:rPr>
              <w:t xml:space="preserve"> / Results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074244" w:rsidRPr="00074244" w:rsidRDefault="00074244" w:rsidP="00A505A3">
            <w:pPr>
              <w:numPr>
                <w:ilvl w:val="0"/>
                <w:numId w:val="14"/>
              </w:numPr>
              <w:jc w:val="left"/>
              <w:rPr>
                <w:rFonts w:ascii="Arial" w:hAnsi="Arial" w:cs="Arial"/>
                <w:sz w:val="20"/>
                <w:szCs w:val="20"/>
              </w:rPr>
            </w:pPr>
            <w:r w:rsidRPr="00074244">
              <w:rPr>
                <w:rFonts w:ascii="Arial" w:hAnsi="Arial" w:cs="Arial"/>
                <w:sz w:val="20"/>
                <w:szCs w:val="20"/>
              </w:rPr>
              <w:t xml:space="preserve">Click on </w:t>
            </w:r>
            <w:r w:rsidRPr="00074244">
              <w:rPr>
                <w:rFonts w:ascii="Arial" w:hAnsi="Arial" w:cs="Arial"/>
                <w:b/>
                <w:sz w:val="20"/>
                <w:szCs w:val="20"/>
              </w:rPr>
              <w:t xml:space="preserve">View Results </w:t>
            </w:r>
            <w:r w:rsidRPr="00074244">
              <w:rPr>
                <w:rFonts w:ascii="Arial" w:hAnsi="Arial" w:cs="Arial"/>
                <w:sz w:val="20"/>
                <w:szCs w:val="20"/>
              </w:rPr>
              <w:t xml:space="preserve">on the top drop-down menu bar and select </w:t>
            </w:r>
            <w:r w:rsidRPr="00074244">
              <w:rPr>
                <w:rFonts w:ascii="Arial" w:hAnsi="Arial" w:cs="Arial"/>
                <w:b/>
                <w:sz w:val="20"/>
                <w:szCs w:val="20"/>
              </w:rPr>
              <w:t>View Test</w:t>
            </w:r>
            <w:r w:rsidRPr="00074244">
              <w:rPr>
                <w:rFonts w:ascii="Arial" w:hAnsi="Arial" w:cs="Arial"/>
                <w:sz w:val="20"/>
                <w:szCs w:val="20"/>
              </w:rPr>
              <w:t>.</w:t>
            </w:r>
          </w:p>
          <w:p w:rsidR="00074244" w:rsidRPr="00074244" w:rsidRDefault="00074244" w:rsidP="00A505A3">
            <w:pPr>
              <w:numPr>
                <w:ilvl w:val="0"/>
                <w:numId w:val="14"/>
              </w:numPr>
              <w:jc w:val="left"/>
              <w:rPr>
                <w:rFonts w:ascii="Arial" w:hAnsi="Arial" w:cs="Arial"/>
                <w:sz w:val="20"/>
                <w:szCs w:val="20"/>
              </w:rPr>
            </w:pPr>
            <w:r w:rsidRPr="00074244">
              <w:rPr>
                <w:rFonts w:ascii="Arial" w:hAnsi="Arial" w:cs="Arial"/>
                <w:sz w:val="20"/>
                <w:szCs w:val="20"/>
              </w:rPr>
              <w:t xml:space="preserve">Select the result you would like to review: Click </w:t>
            </w:r>
            <w:r w:rsidRPr="00074244">
              <w:rPr>
                <w:rFonts w:ascii="Arial" w:hAnsi="Arial" w:cs="Arial"/>
                <w:b/>
                <w:sz w:val="20"/>
                <w:szCs w:val="20"/>
              </w:rPr>
              <w:t>OK</w:t>
            </w:r>
            <w:r w:rsidRPr="00074244">
              <w:rPr>
                <w:rFonts w:ascii="Arial" w:hAnsi="Arial" w:cs="Arial"/>
                <w:sz w:val="20"/>
                <w:szCs w:val="20"/>
              </w:rPr>
              <w:t>.</w:t>
            </w:r>
          </w:p>
          <w:p w:rsidR="00074244" w:rsidRPr="00074244" w:rsidRDefault="00074244" w:rsidP="00A505A3">
            <w:pPr>
              <w:numPr>
                <w:ilvl w:val="0"/>
                <w:numId w:val="14"/>
              </w:numPr>
              <w:jc w:val="left"/>
              <w:rPr>
                <w:rFonts w:ascii="Arial" w:hAnsi="Arial" w:cs="Arial"/>
                <w:sz w:val="20"/>
                <w:szCs w:val="20"/>
              </w:rPr>
            </w:pPr>
            <w:r w:rsidRPr="00074244">
              <w:rPr>
                <w:rFonts w:ascii="Arial" w:hAnsi="Arial" w:cs="Arial"/>
                <w:sz w:val="20"/>
                <w:szCs w:val="20"/>
              </w:rPr>
              <w:t xml:space="preserve">Review result interpretations and amplification curves for exponential growth. </w:t>
            </w:r>
          </w:p>
          <w:p w:rsidR="00074244" w:rsidRPr="00074244" w:rsidRDefault="00074244" w:rsidP="00A505A3">
            <w:pPr>
              <w:numPr>
                <w:ilvl w:val="1"/>
                <w:numId w:val="14"/>
              </w:numPr>
              <w:jc w:val="left"/>
              <w:rPr>
                <w:rFonts w:ascii="Arial" w:hAnsi="Arial" w:cs="Arial"/>
                <w:sz w:val="20"/>
                <w:szCs w:val="20"/>
              </w:rPr>
            </w:pPr>
            <w:r w:rsidRPr="00074244">
              <w:rPr>
                <w:rFonts w:ascii="Arial" w:hAnsi="Arial" w:cs="Arial"/>
                <w:sz w:val="20"/>
                <w:szCs w:val="20"/>
              </w:rPr>
              <w:t xml:space="preserve">NOTE: SAC and SPC do not need to pass for a positive result to be valid. </w:t>
            </w:r>
          </w:p>
          <w:p w:rsidR="00074244" w:rsidRPr="00074244" w:rsidRDefault="00074244" w:rsidP="00A505A3">
            <w:pPr>
              <w:numPr>
                <w:ilvl w:val="1"/>
                <w:numId w:val="14"/>
              </w:numPr>
              <w:jc w:val="left"/>
              <w:rPr>
                <w:rFonts w:ascii="Arial" w:hAnsi="Arial" w:cs="Arial"/>
                <w:sz w:val="20"/>
                <w:szCs w:val="20"/>
              </w:rPr>
            </w:pPr>
            <w:r w:rsidRPr="00074244">
              <w:rPr>
                <w:rFonts w:ascii="Arial" w:hAnsi="Arial" w:cs="Arial"/>
                <w:sz w:val="20"/>
                <w:szCs w:val="20"/>
              </w:rPr>
              <w:t>NOTE: SAC and SPC do need to pass for a negative result to be valid.</w:t>
            </w:r>
          </w:p>
          <w:p w:rsidR="00074244" w:rsidRPr="00074244" w:rsidRDefault="00074244" w:rsidP="00074244">
            <w:pPr>
              <w:ind w:left="1440"/>
              <w:jc w:val="left"/>
              <w:rPr>
                <w:rFonts w:ascii="Arial" w:hAnsi="Arial" w:cs="Arial"/>
                <w:sz w:val="20"/>
                <w:szCs w:val="20"/>
              </w:rPr>
            </w:pPr>
          </w:p>
          <w:p w:rsidR="00074244" w:rsidRPr="00074244" w:rsidRDefault="00074244" w:rsidP="00074244">
            <w:pPr>
              <w:jc w:val="center"/>
              <w:rPr>
                <w:rFonts w:ascii="Arial" w:hAnsi="Arial" w:cs="Arial"/>
                <w:sz w:val="20"/>
                <w:szCs w:val="20"/>
              </w:rPr>
            </w:pPr>
            <w:r w:rsidRPr="00074244">
              <w:rPr>
                <w:noProof/>
                <w:szCs w:val="32"/>
              </w:rPr>
              <w:drawing>
                <wp:inline distT="0" distB="0" distL="0" distR="0" wp14:anchorId="487AA795" wp14:editId="247BD081">
                  <wp:extent cx="5076825" cy="333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5851" cy="3344065"/>
                          </a:xfrm>
                          <a:prstGeom prst="rect">
                            <a:avLst/>
                          </a:prstGeom>
                        </pic:spPr>
                      </pic:pic>
                    </a:graphicData>
                  </a:graphic>
                </wp:inline>
              </w:drawing>
            </w:r>
          </w:p>
          <w:p w:rsidR="00074244" w:rsidRPr="00074244" w:rsidRDefault="00074244" w:rsidP="00074244">
            <w:pPr>
              <w:ind w:left="1440"/>
              <w:jc w:val="center"/>
              <w:rPr>
                <w:rFonts w:ascii="Arial" w:hAnsi="Arial" w:cs="Arial"/>
                <w:sz w:val="20"/>
                <w:szCs w:val="20"/>
              </w:rPr>
            </w:pPr>
          </w:p>
          <w:p w:rsidR="00074244" w:rsidRPr="00074244" w:rsidRDefault="00074244" w:rsidP="00A505A3">
            <w:pPr>
              <w:numPr>
                <w:ilvl w:val="0"/>
                <w:numId w:val="14"/>
              </w:numPr>
              <w:jc w:val="left"/>
              <w:rPr>
                <w:rFonts w:ascii="Arial" w:hAnsi="Arial" w:cs="Arial"/>
                <w:sz w:val="20"/>
                <w:szCs w:val="20"/>
              </w:rPr>
            </w:pPr>
            <w:r w:rsidRPr="00074244">
              <w:rPr>
                <w:rFonts w:ascii="Arial" w:hAnsi="Arial" w:cs="Arial"/>
                <w:sz w:val="20"/>
                <w:szCs w:val="20"/>
              </w:rPr>
              <w:t xml:space="preserve">Click on the </w:t>
            </w:r>
            <w:r w:rsidRPr="00074244">
              <w:rPr>
                <w:rFonts w:ascii="Arial" w:hAnsi="Arial" w:cs="Arial"/>
                <w:b/>
                <w:sz w:val="20"/>
                <w:szCs w:val="20"/>
              </w:rPr>
              <w:t>Errors</w:t>
            </w:r>
            <w:r w:rsidRPr="00074244">
              <w:rPr>
                <w:rFonts w:ascii="Arial" w:hAnsi="Arial" w:cs="Arial"/>
                <w:sz w:val="20"/>
                <w:szCs w:val="20"/>
              </w:rPr>
              <w:t xml:space="preserve"> tab to ensure no errors occurred during testing.  (Section 9.18.2 in Operator Manual provides error code descriptions)</w:t>
            </w:r>
          </w:p>
          <w:p w:rsidR="00074244" w:rsidRPr="00074244" w:rsidRDefault="00074244" w:rsidP="00074244">
            <w:pPr>
              <w:rPr>
                <w:rFonts w:ascii="Arial" w:hAnsi="Arial" w:cs="Arial"/>
                <w:b/>
                <w:sz w:val="20"/>
                <w:szCs w:val="20"/>
              </w:rPr>
            </w:pPr>
          </w:p>
          <w:p w:rsidR="00074244" w:rsidRPr="00074244" w:rsidRDefault="00074244" w:rsidP="00074244">
            <w:pPr>
              <w:rPr>
                <w:rFonts w:ascii="Arial" w:hAnsi="Arial" w:cs="Arial"/>
                <w:b/>
                <w:sz w:val="20"/>
                <w:szCs w:val="20"/>
              </w:rPr>
            </w:pPr>
            <w:r w:rsidRPr="00074244">
              <w:rPr>
                <w:rFonts w:ascii="Arial" w:hAnsi="Arial" w:cs="Arial"/>
                <w:b/>
                <w:sz w:val="20"/>
                <w:szCs w:val="20"/>
              </w:rPr>
              <w:t>Reasons to retest the original sample:</w:t>
            </w:r>
          </w:p>
          <w:p w:rsidR="00074244" w:rsidRPr="00074244" w:rsidRDefault="00074244" w:rsidP="00A505A3">
            <w:pPr>
              <w:numPr>
                <w:ilvl w:val="0"/>
                <w:numId w:val="15"/>
              </w:numPr>
              <w:jc w:val="left"/>
              <w:rPr>
                <w:rFonts w:ascii="Arial" w:hAnsi="Arial" w:cs="Arial"/>
                <w:sz w:val="20"/>
                <w:szCs w:val="20"/>
              </w:rPr>
            </w:pPr>
            <w:r w:rsidRPr="00074244">
              <w:rPr>
                <w:rFonts w:ascii="Arial" w:hAnsi="Arial" w:cs="Arial"/>
                <w:sz w:val="20"/>
                <w:szCs w:val="20"/>
              </w:rPr>
              <w:t>An INVALID result (SPC and/or SAC failure).  This may indicate:</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The sample was inadequate.</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 xml:space="preserve">The sample was not properly processed. </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 xml:space="preserve">PCR was inhibited. </w:t>
            </w:r>
          </w:p>
          <w:p w:rsidR="00074244" w:rsidRPr="00074244" w:rsidRDefault="00074244" w:rsidP="00A505A3">
            <w:pPr>
              <w:numPr>
                <w:ilvl w:val="0"/>
                <w:numId w:val="15"/>
              </w:numPr>
              <w:jc w:val="left"/>
              <w:rPr>
                <w:rFonts w:ascii="Arial" w:hAnsi="Arial" w:cs="Arial"/>
                <w:sz w:val="20"/>
                <w:szCs w:val="20"/>
              </w:rPr>
            </w:pPr>
            <w:r w:rsidRPr="00074244">
              <w:rPr>
                <w:rFonts w:ascii="Arial" w:hAnsi="Arial" w:cs="Arial"/>
                <w:sz w:val="20"/>
                <w:szCs w:val="20"/>
              </w:rPr>
              <w:t>An ERROR result.  This may indicate:</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 xml:space="preserve">The reaction tube was filled improperly. </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 xml:space="preserve">A reagent probe integrity problem was detected. </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 xml:space="preserve">The maximum pressure limit was exceeded. </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 xml:space="preserve">A valve positioning error was detected. </w:t>
            </w:r>
          </w:p>
          <w:p w:rsidR="00074244" w:rsidRPr="00074244" w:rsidRDefault="00074244" w:rsidP="00A505A3">
            <w:pPr>
              <w:numPr>
                <w:ilvl w:val="0"/>
                <w:numId w:val="15"/>
              </w:numPr>
              <w:jc w:val="left"/>
              <w:rPr>
                <w:rFonts w:ascii="Arial" w:hAnsi="Arial" w:cs="Arial"/>
                <w:sz w:val="20"/>
                <w:szCs w:val="20"/>
              </w:rPr>
            </w:pPr>
            <w:r w:rsidRPr="00074244">
              <w:rPr>
                <w:rFonts w:ascii="Arial" w:hAnsi="Arial" w:cs="Arial"/>
                <w:sz w:val="20"/>
                <w:szCs w:val="20"/>
              </w:rPr>
              <w:t>NO RESULT:</w:t>
            </w:r>
          </w:p>
          <w:p w:rsidR="00074244" w:rsidRPr="00074244" w:rsidRDefault="00074244" w:rsidP="00A505A3">
            <w:pPr>
              <w:numPr>
                <w:ilvl w:val="1"/>
                <w:numId w:val="15"/>
              </w:numPr>
              <w:jc w:val="left"/>
              <w:rPr>
                <w:rFonts w:ascii="Arial" w:hAnsi="Arial" w:cs="Arial"/>
                <w:sz w:val="20"/>
                <w:szCs w:val="20"/>
              </w:rPr>
            </w:pPr>
            <w:r w:rsidRPr="00074244">
              <w:rPr>
                <w:rFonts w:ascii="Arial" w:hAnsi="Arial" w:cs="Arial"/>
                <w:sz w:val="20"/>
                <w:szCs w:val="20"/>
              </w:rPr>
              <w:t xml:space="preserve">This result indicated that insufficient data were collected (e.g. test stopped while in progress or power failure occurred). </w:t>
            </w:r>
          </w:p>
          <w:p w:rsidR="00074244" w:rsidRPr="00074244" w:rsidRDefault="00074244" w:rsidP="00074244">
            <w:pPr>
              <w:ind w:left="1440"/>
              <w:rPr>
                <w:rFonts w:ascii="Arial" w:hAnsi="Arial" w:cs="Arial"/>
                <w:sz w:val="20"/>
                <w:szCs w:val="20"/>
              </w:rPr>
            </w:pPr>
          </w:p>
          <w:p w:rsidR="00074244" w:rsidRPr="00074244" w:rsidRDefault="00074244" w:rsidP="00074244">
            <w:pPr>
              <w:rPr>
                <w:rFonts w:ascii="Arial" w:hAnsi="Arial" w:cs="Arial"/>
                <w:sz w:val="20"/>
                <w:szCs w:val="20"/>
              </w:rPr>
            </w:pPr>
            <w:r w:rsidRPr="00074244">
              <w:rPr>
                <w:rFonts w:ascii="Arial" w:hAnsi="Arial" w:cs="Arial"/>
                <w:b/>
                <w:sz w:val="20"/>
                <w:szCs w:val="20"/>
              </w:rPr>
              <w:lastRenderedPageBreak/>
              <w:t>NOTE:</w:t>
            </w:r>
            <w:r w:rsidRPr="00074244">
              <w:rPr>
                <w:rFonts w:ascii="Arial" w:hAnsi="Arial" w:cs="Arial"/>
                <w:sz w:val="20"/>
                <w:szCs w:val="20"/>
              </w:rPr>
              <w:t xml:space="preserve"> Record any failures on the “GeneXpert Service and Error Log” log. </w:t>
            </w:r>
          </w:p>
          <w:p w:rsidR="005E0385" w:rsidRDefault="005E0385">
            <w:pPr>
              <w:jc w:val="left"/>
              <w:rPr>
                <w:rFonts w:ascii="Arial" w:hAnsi="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has only been validated with the following specimen types, collected with 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Vaginal/Endocervical Specimen Collection Kit or 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Urine Specimen Collection Kit: Endocervical swabs, Patient-collected vaginal swabs, Female and male first-catch urine</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A negative test result does not exclude the possibility of infection because test results may be affected by improper specimen collection, technical error, sample mix-up, or because the number of organisms in the sample is below the limit of detection of the test.</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 Careful compliance with the instructions in this package insert and in 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Vaginal/Endocervical Specimen Collection Kit and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Urine Specimen Collection Kit package inserts is necessary to avoid erroneous results.</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has been validated using the procedures provided in this package insert only. Modifications to these procedures may alter the performance of the test.</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Because the detection of </w:t>
            </w:r>
            <w:r w:rsidRPr="007C0147">
              <w:rPr>
                <w:rFonts w:ascii="Arial" w:eastAsiaTheme="minorHAnsi" w:hAnsi="Arial" w:cs="Arial"/>
                <w:i/>
                <w:iCs/>
                <w:sz w:val="20"/>
                <w:szCs w:val="20"/>
              </w:rPr>
              <w:t xml:space="preserve">Trichomonas vaginalis </w:t>
            </w:r>
            <w:r w:rsidRPr="007C0147">
              <w:rPr>
                <w:rFonts w:ascii="Arial" w:eastAsiaTheme="minorHAnsi" w:hAnsi="Arial" w:cs="Arial"/>
                <w:sz w:val="20"/>
                <w:szCs w:val="20"/>
              </w:rPr>
              <w:t>is dependent on the organism’s DNA present in the sample, reliable results are dependent on proper sample collection, handling, and storage.</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i/>
                <w:sz w:val="20"/>
                <w:szCs w:val="20"/>
              </w:rPr>
              <w:t>T</w:t>
            </w:r>
            <w:r w:rsidRPr="007C0147">
              <w:rPr>
                <w:rFonts w:ascii="Arial" w:eastAsiaTheme="minorHAnsi" w:hAnsi="Arial" w:cs="Arial"/>
                <w:i/>
                <w:iCs/>
                <w:sz w:val="20"/>
                <w:szCs w:val="20"/>
              </w:rPr>
              <w:t xml:space="preserve">richomonas </w:t>
            </w:r>
            <w:proofErr w:type="spellStart"/>
            <w:r w:rsidRPr="007C0147">
              <w:rPr>
                <w:rFonts w:ascii="Arial" w:eastAsiaTheme="minorHAnsi" w:hAnsi="Arial" w:cs="Arial"/>
                <w:i/>
                <w:iCs/>
                <w:sz w:val="20"/>
                <w:szCs w:val="20"/>
              </w:rPr>
              <w:t>tenax</w:t>
            </w:r>
            <w:proofErr w:type="spellEnd"/>
            <w:r w:rsidRPr="007C0147">
              <w:rPr>
                <w:rFonts w:ascii="Arial" w:eastAsiaTheme="minorHAnsi" w:hAnsi="Arial" w:cs="Arial"/>
                <w:i/>
                <w:iCs/>
                <w:sz w:val="20"/>
                <w:szCs w:val="20"/>
              </w:rPr>
              <w:t xml:space="preserve"> </w:t>
            </w:r>
            <w:r w:rsidRPr="007C0147">
              <w:rPr>
                <w:rFonts w:ascii="Arial" w:eastAsiaTheme="minorHAnsi" w:hAnsi="Arial" w:cs="Arial"/>
                <w:sz w:val="20"/>
                <w:szCs w:val="20"/>
              </w:rPr>
              <w:t xml:space="preserve">was found to cross-react with 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at levels above 1.0 x 102 cells/</w:t>
            </w:r>
            <w:proofErr w:type="spellStart"/>
            <w:r w:rsidRPr="007C0147">
              <w:rPr>
                <w:rFonts w:ascii="Arial" w:eastAsiaTheme="minorHAnsi" w:hAnsi="Arial" w:cs="Arial"/>
                <w:sz w:val="20"/>
                <w:szCs w:val="20"/>
              </w:rPr>
              <w:t>mL.</w:t>
            </w:r>
            <w:proofErr w:type="spellEnd"/>
            <w:r w:rsidRPr="007C0147">
              <w:rPr>
                <w:rFonts w:ascii="Arial" w:eastAsiaTheme="minorHAnsi" w:hAnsi="Arial" w:cs="Arial"/>
                <w:sz w:val="20"/>
                <w:szCs w:val="20"/>
              </w:rPr>
              <w:t xml:space="preserve"> </w:t>
            </w:r>
            <w:r w:rsidRPr="007C0147">
              <w:rPr>
                <w:rFonts w:ascii="Arial" w:eastAsiaTheme="minorHAnsi" w:hAnsi="Arial" w:cs="Arial"/>
                <w:i/>
                <w:iCs/>
                <w:sz w:val="20"/>
                <w:szCs w:val="20"/>
              </w:rPr>
              <w:t xml:space="preserve">T. </w:t>
            </w:r>
            <w:proofErr w:type="spellStart"/>
            <w:r w:rsidRPr="007C0147">
              <w:rPr>
                <w:rFonts w:ascii="Arial" w:eastAsiaTheme="minorHAnsi" w:hAnsi="Arial" w:cs="Arial"/>
                <w:i/>
                <w:iCs/>
                <w:sz w:val="20"/>
                <w:szCs w:val="20"/>
              </w:rPr>
              <w:t>tenax</w:t>
            </w:r>
            <w:proofErr w:type="spellEnd"/>
            <w:r w:rsidRPr="007C0147">
              <w:rPr>
                <w:rFonts w:ascii="Arial" w:eastAsiaTheme="minorHAnsi" w:hAnsi="Arial" w:cs="Arial"/>
                <w:i/>
                <w:iCs/>
                <w:sz w:val="20"/>
                <w:szCs w:val="20"/>
              </w:rPr>
              <w:t xml:space="preserve"> </w:t>
            </w:r>
            <w:r w:rsidRPr="007C0147">
              <w:rPr>
                <w:rFonts w:ascii="Arial" w:eastAsiaTheme="minorHAnsi" w:hAnsi="Arial" w:cs="Arial"/>
                <w:sz w:val="20"/>
                <w:szCs w:val="20"/>
              </w:rPr>
              <w:t xml:space="preserve">is a commensal of the oral cavity. See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Analytical Specificity for details.</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With </w:t>
            </w:r>
            <w:proofErr w:type="spellStart"/>
            <w:r w:rsidRPr="007C0147">
              <w:rPr>
                <w:rFonts w:ascii="Arial" w:eastAsiaTheme="minorHAnsi" w:hAnsi="Arial" w:cs="Arial"/>
                <w:sz w:val="20"/>
                <w:szCs w:val="20"/>
              </w:rPr>
              <w:t>endocervical</w:t>
            </w:r>
            <w:proofErr w:type="spellEnd"/>
            <w:r w:rsidRPr="007C0147">
              <w:rPr>
                <w:rFonts w:ascii="Arial" w:eastAsiaTheme="minorHAnsi" w:hAnsi="Arial" w:cs="Arial"/>
                <w:sz w:val="20"/>
                <w:szCs w:val="20"/>
              </w:rPr>
              <w:t xml:space="preserve"> and patient-collected vaginal specimens, assay interference may be observed in the presence of blood (&gt;60% v/v).</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As with many diagnostic tests, results from 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should be interpreted in conjunction with other laboratory and clinical data available to the clinician.</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The patient-collected vaginal swab specimens are an option for screening women when a pelvic exam is not otherwise indicated.</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has not been validated for use with vaginal swab specimens collected by patients at home. The patient collected vaginal swab specimen application is limited to healthcare facilities where support/counseling is available to explain procedures and precautions.</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provides qualitative results. No correlation can be drawn between the magnitude of the Ct value and the number of cells in an infected sample.</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The </w:t>
            </w: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should not be used for the evaluation of suspected sexual abuse or for other medico-legal indications.</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The predictive value of an assay depends on the prevalence of the disease in any particular population. </w:t>
            </w:r>
          </w:p>
          <w:p w:rsidR="007C0147" w:rsidRPr="007C0147"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r w:rsidRPr="007C0147">
              <w:rPr>
                <w:rFonts w:ascii="Arial" w:eastAsiaTheme="minorHAnsi" w:hAnsi="Arial" w:cs="Arial"/>
                <w:sz w:val="20"/>
                <w:szCs w:val="20"/>
              </w:rPr>
              <w:t xml:space="preserve">Mutations or nucleotide polymorphisms in primer or probe binding regions may affect detection of new or unknown </w:t>
            </w:r>
            <w:r w:rsidRPr="007C0147">
              <w:rPr>
                <w:rFonts w:ascii="Arial" w:eastAsiaTheme="minorHAnsi" w:hAnsi="Arial" w:cs="Arial"/>
                <w:i/>
                <w:iCs/>
                <w:sz w:val="20"/>
                <w:szCs w:val="20"/>
              </w:rPr>
              <w:t xml:space="preserve">Trichomonas vaginalis </w:t>
            </w:r>
            <w:r w:rsidRPr="007C0147">
              <w:rPr>
                <w:rFonts w:ascii="Arial" w:eastAsiaTheme="minorHAnsi" w:hAnsi="Arial" w:cs="Arial"/>
                <w:sz w:val="20"/>
                <w:szCs w:val="20"/>
              </w:rPr>
              <w:t>variants resulting in a false negative result.</w:t>
            </w:r>
          </w:p>
          <w:p w:rsidR="00A505A3"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proofErr w:type="spellStart"/>
            <w:r w:rsidRPr="007C0147">
              <w:rPr>
                <w:rFonts w:ascii="Arial" w:eastAsiaTheme="minorHAnsi" w:hAnsi="Arial" w:cs="Arial"/>
                <w:sz w:val="20"/>
                <w:szCs w:val="20"/>
              </w:rPr>
              <w:t>Xpert</w:t>
            </w:r>
            <w:proofErr w:type="spellEnd"/>
            <w:r w:rsidRPr="007C0147">
              <w:rPr>
                <w:rFonts w:ascii="Arial" w:eastAsiaTheme="minorHAnsi" w:hAnsi="Arial" w:cs="Arial"/>
                <w:sz w:val="20"/>
                <w:szCs w:val="20"/>
              </w:rPr>
              <w:t xml:space="preserve"> TV Assay performance has not been evaluated in pregnant women, or in patients with a history of hysterectomy.</w:t>
            </w:r>
          </w:p>
          <w:p w:rsidR="005E0385" w:rsidRPr="00A505A3" w:rsidRDefault="007C0147" w:rsidP="00A505A3">
            <w:pPr>
              <w:numPr>
                <w:ilvl w:val="0"/>
                <w:numId w:val="17"/>
              </w:numPr>
              <w:autoSpaceDE w:val="0"/>
              <w:autoSpaceDN w:val="0"/>
              <w:adjustRightInd w:val="0"/>
              <w:contextualSpacing/>
              <w:jc w:val="left"/>
              <w:rPr>
                <w:rFonts w:ascii="Arial" w:eastAsiaTheme="minorHAnsi" w:hAnsi="Arial" w:cs="Arial"/>
                <w:sz w:val="20"/>
                <w:szCs w:val="20"/>
              </w:rPr>
            </w:pPr>
            <w:proofErr w:type="spellStart"/>
            <w:r w:rsidRPr="00A505A3">
              <w:rPr>
                <w:rFonts w:ascii="Arial" w:hAnsi="Arial" w:cs="Arial"/>
                <w:sz w:val="20"/>
                <w:szCs w:val="20"/>
              </w:rPr>
              <w:t>Xpert</w:t>
            </w:r>
            <w:proofErr w:type="spellEnd"/>
            <w:r w:rsidRPr="00A505A3">
              <w:rPr>
                <w:rFonts w:ascii="Arial" w:hAnsi="Arial" w:cs="Arial"/>
                <w:sz w:val="20"/>
                <w:szCs w:val="20"/>
              </w:rPr>
              <w:t xml:space="preserve"> TV Assay performance has not been evaluated in patients less than 18 years of age or older than 78 years of age.  During the verification testing a total of 15 patients under the age of 18 had samples submitted for testing (10 urine and 5 vaginal).  All sample results were in agreement with the comparator method, with the exception of one urine for which the arbitrated results agreed. Due to a low frequency of testing this population and availability of resources, a more thorough evaluation was not possible.</w:t>
            </w: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7C0147" w:rsidRPr="007C0147" w:rsidRDefault="007C0147" w:rsidP="007C0147">
            <w:pPr>
              <w:jc w:val="left"/>
              <w:rPr>
                <w:rFonts w:ascii="Arial" w:hAnsi="Arial"/>
                <w:b/>
                <w:sz w:val="20"/>
              </w:rPr>
            </w:pPr>
            <w:r w:rsidRPr="007C0147">
              <w:rPr>
                <w:rFonts w:ascii="Arial" w:hAnsi="Arial"/>
                <w:sz w:val="20"/>
              </w:rPr>
              <w:t>According to the manufacturer (per the package insert) – Overall specifications (both symptomatic and asymptomatic):</w:t>
            </w:r>
          </w:p>
          <w:tbl>
            <w:tblPr>
              <w:tblStyle w:val="TableGrid"/>
              <w:tblW w:w="0" w:type="auto"/>
              <w:tblLayout w:type="fixed"/>
              <w:tblLook w:val="04A0" w:firstRow="1" w:lastRow="0" w:firstColumn="1" w:lastColumn="0" w:noHBand="0" w:noVBand="1"/>
            </w:tblPr>
            <w:tblGrid>
              <w:gridCol w:w="2590"/>
              <w:gridCol w:w="2250"/>
              <w:gridCol w:w="2250"/>
            </w:tblGrid>
            <w:tr w:rsidR="007C0147" w:rsidTr="000853D7">
              <w:tc>
                <w:tcPr>
                  <w:tcW w:w="2590" w:type="dxa"/>
                </w:tcPr>
                <w:p w:rsidR="007C0147" w:rsidRDefault="007C0147" w:rsidP="007C0147">
                  <w:pPr>
                    <w:jc w:val="left"/>
                    <w:rPr>
                      <w:rFonts w:ascii="Arial" w:hAnsi="Arial"/>
                      <w:sz w:val="20"/>
                    </w:rPr>
                  </w:pPr>
                </w:p>
              </w:tc>
              <w:tc>
                <w:tcPr>
                  <w:tcW w:w="2250" w:type="dxa"/>
                </w:tcPr>
                <w:p w:rsidR="007C0147" w:rsidRPr="00BC3844" w:rsidRDefault="007C0147" w:rsidP="007C0147">
                  <w:pPr>
                    <w:jc w:val="left"/>
                    <w:rPr>
                      <w:rFonts w:ascii="Arial" w:hAnsi="Arial"/>
                      <w:b/>
                      <w:sz w:val="20"/>
                    </w:rPr>
                  </w:pPr>
                  <w:r w:rsidRPr="00BC3844">
                    <w:rPr>
                      <w:rFonts w:ascii="Arial" w:hAnsi="Arial"/>
                      <w:b/>
                      <w:sz w:val="20"/>
                    </w:rPr>
                    <w:t>Sensitivity (95% CI)</w:t>
                  </w:r>
                </w:p>
              </w:tc>
              <w:tc>
                <w:tcPr>
                  <w:tcW w:w="2250" w:type="dxa"/>
                </w:tcPr>
                <w:p w:rsidR="007C0147" w:rsidRPr="00BC3844" w:rsidRDefault="007C0147" w:rsidP="007C0147">
                  <w:pPr>
                    <w:jc w:val="left"/>
                    <w:rPr>
                      <w:rFonts w:ascii="Arial" w:hAnsi="Arial"/>
                      <w:b/>
                      <w:sz w:val="20"/>
                    </w:rPr>
                  </w:pPr>
                  <w:r w:rsidRPr="00BC3844">
                    <w:rPr>
                      <w:rFonts w:ascii="Arial" w:hAnsi="Arial"/>
                      <w:b/>
                      <w:sz w:val="20"/>
                    </w:rPr>
                    <w:t>Specificity (95% CI)</w:t>
                  </w:r>
                </w:p>
              </w:tc>
            </w:tr>
            <w:tr w:rsidR="007C0147" w:rsidTr="000853D7">
              <w:tc>
                <w:tcPr>
                  <w:tcW w:w="2590" w:type="dxa"/>
                </w:tcPr>
                <w:p w:rsidR="007C0147" w:rsidRPr="00BC3844" w:rsidRDefault="007C0147" w:rsidP="007C0147">
                  <w:pPr>
                    <w:jc w:val="left"/>
                    <w:rPr>
                      <w:rFonts w:ascii="Arial" w:hAnsi="Arial"/>
                      <w:b/>
                      <w:sz w:val="20"/>
                    </w:rPr>
                  </w:pPr>
                  <w:r w:rsidRPr="00BC3844">
                    <w:rPr>
                      <w:rFonts w:ascii="Arial" w:hAnsi="Arial"/>
                      <w:b/>
                      <w:sz w:val="20"/>
                    </w:rPr>
                    <w:t>Endocervical Swab</w:t>
                  </w:r>
                </w:p>
              </w:tc>
              <w:tc>
                <w:tcPr>
                  <w:tcW w:w="2250" w:type="dxa"/>
                </w:tcPr>
                <w:p w:rsidR="007C0147" w:rsidRDefault="007C0147" w:rsidP="007C0147">
                  <w:pPr>
                    <w:jc w:val="left"/>
                    <w:rPr>
                      <w:rFonts w:ascii="Arial" w:hAnsi="Arial"/>
                      <w:sz w:val="20"/>
                    </w:rPr>
                  </w:pPr>
                  <w:r>
                    <w:rPr>
                      <w:rFonts w:ascii="Arial" w:hAnsi="Arial"/>
                      <w:sz w:val="20"/>
                    </w:rPr>
                    <w:t>98.9% (96.0 - 99.9%)</w:t>
                  </w:r>
                </w:p>
              </w:tc>
              <w:tc>
                <w:tcPr>
                  <w:tcW w:w="2250" w:type="dxa"/>
                </w:tcPr>
                <w:p w:rsidR="007C0147" w:rsidRDefault="007C0147" w:rsidP="007C0147">
                  <w:pPr>
                    <w:jc w:val="left"/>
                    <w:rPr>
                      <w:rFonts w:ascii="Arial" w:hAnsi="Arial"/>
                      <w:sz w:val="20"/>
                    </w:rPr>
                  </w:pPr>
                  <w:r>
                    <w:rPr>
                      <w:rFonts w:ascii="Arial" w:hAnsi="Arial"/>
                      <w:sz w:val="20"/>
                    </w:rPr>
                    <w:t>98.9% (98.3 - 99.3%)</w:t>
                  </w:r>
                </w:p>
              </w:tc>
            </w:tr>
            <w:tr w:rsidR="007C0147" w:rsidTr="000853D7">
              <w:tc>
                <w:tcPr>
                  <w:tcW w:w="2590" w:type="dxa"/>
                </w:tcPr>
                <w:p w:rsidR="007C0147" w:rsidRPr="00BC3844" w:rsidRDefault="007C0147" w:rsidP="007C0147">
                  <w:pPr>
                    <w:jc w:val="left"/>
                    <w:rPr>
                      <w:rFonts w:ascii="Arial" w:hAnsi="Arial"/>
                      <w:b/>
                      <w:sz w:val="20"/>
                    </w:rPr>
                  </w:pPr>
                  <w:r w:rsidRPr="00BC3844">
                    <w:rPr>
                      <w:rFonts w:ascii="Arial" w:hAnsi="Arial"/>
                      <w:b/>
                      <w:sz w:val="20"/>
                    </w:rPr>
                    <w:t>Pt. Collected Vaginal Swab</w:t>
                  </w:r>
                </w:p>
              </w:tc>
              <w:tc>
                <w:tcPr>
                  <w:tcW w:w="2250" w:type="dxa"/>
                </w:tcPr>
                <w:p w:rsidR="007C0147" w:rsidRDefault="007C0147" w:rsidP="007C0147">
                  <w:pPr>
                    <w:jc w:val="left"/>
                    <w:rPr>
                      <w:rFonts w:ascii="Arial" w:hAnsi="Arial"/>
                      <w:sz w:val="20"/>
                    </w:rPr>
                  </w:pPr>
                  <w:r>
                    <w:rPr>
                      <w:rFonts w:ascii="Arial" w:hAnsi="Arial"/>
                      <w:sz w:val="20"/>
                    </w:rPr>
                    <w:t>96.4% (92.7 – 98.5%)</w:t>
                  </w:r>
                </w:p>
              </w:tc>
              <w:tc>
                <w:tcPr>
                  <w:tcW w:w="2250" w:type="dxa"/>
                </w:tcPr>
                <w:p w:rsidR="007C0147" w:rsidRDefault="007C0147" w:rsidP="007C0147">
                  <w:pPr>
                    <w:jc w:val="left"/>
                    <w:rPr>
                      <w:rFonts w:ascii="Arial" w:hAnsi="Arial"/>
                      <w:sz w:val="20"/>
                    </w:rPr>
                  </w:pPr>
                  <w:r>
                    <w:rPr>
                      <w:rFonts w:ascii="Arial" w:hAnsi="Arial"/>
                      <w:sz w:val="20"/>
                    </w:rPr>
                    <w:t>99.6% (99.1 – 99.8%)</w:t>
                  </w:r>
                </w:p>
              </w:tc>
            </w:tr>
            <w:tr w:rsidR="007C0147" w:rsidTr="000853D7">
              <w:tc>
                <w:tcPr>
                  <w:tcW w:w="2590" w:type="dxa"/>
                </w:tcPr>
                <w:p w:rsidR="007C0147" w:rsidRPr="00BC3844" w:rsidRDefault="007C0147" w:rsidP="007C0147">
                  <w:pPr>
                    <w:jc w:val="left"/>
                    <w:rPr>
                      <w:rFonts w:ascii="Arial" w:hAnsi="Arial"/>
                      <w:b/>
                      <w:sz w:val="20"/>
                    </w:rPr>
                  </w:pPr>
                  <w:r w:rsidRPr="00BC3844">
                    <w:rPr>
                      <w:rFonts w:ascii="Arial" w:hAnsi="Arial"/>
                      <w:b/>
                      <w:sz w:val="20"/>
                    </w:rPr>
                    <w:t>Urine: Female</w:t>
                  </w:r>
                </w:p>
              </w:tc>
              <w:tc>
                <w:tcPr>
                  <w:tcW w:w="2250" w:type="dxa"/>
                </w:tcPr>
                <w:p w:rsidR="007C0147" w:rsidRDefault="007C0147" w:rsidP="007C0147">
                  <w:pPr>
                    <w:jc w:val="left"/>
                    <w:rPr>
                      <w:rFonts w:ascii="Arial" w:hAnsi="Arial"/>
                      <w:sz w:val="20"/>
                    </w:rPr>
                  </w:pPr>
                  <w:r>
                    <w:rPr>
                      <w:rFonts w:ascii="Arial" w:hAnsi="Arial"/>
                      <w:sz w:val="20"/>
                    </w:rPr>
                    <w:t>98.4% (95.3 – 99.7%)</w:t>
                  </w:r>
                </w:p>
              </w:tc>
              <w:tc>
                <w:tcPr>
                  <w:tcW w:w="2250" w:type="dxa"/>
                </w:tcPr>
                <w:p w:rsidR="007C0147" w:rsidRDefault="007C0147" w:rsidP="007C0147">
                  <w:pPr>
                    <w:jc w:val="left"/>
                    <w:rPr>
                      <w:rFonts w:ascii="Arial" w:hAnsi="Arial"/>
                      <w:sz w:val="20"/>
                    </w:rPr>
                  </w:pPr>
                  <w:r>
                    <w:rPr>
                      <w:rFonts w:ascii="Arial" w:hAnsi="Arial"/>
                      <w:sz w:val="20"/>
                    </w:rPr>
                    <w:t>99.7% (99.3 -99.9%)</w:t>
                  </w:r>
                </w:p>
              </w:tc>
            </w:tr>
            <w:tr w:rsidR="007C0147" w:rsidTr="000853D7">
              <w:tc>
                <w:tcPr>
                  <w:tcW w:w="2590" w:type="dxa"/>
                </w:tcPr>
                <w:p w:rsidR="007C0147" w:rsidRPr="00BC3844" w:rsidRDefault="007C0147" w:rsidP="007C0147">
                  <w:pPr>
                    <w:jc w:val="left"/>
                    <w:rPr>
                      <w:rFonts w:ascii="Arial" w:hAnsi="Arial"/>
                      <w:b/>
                      <w:sz w:val="20"/>
                    </w:rPr>
                  </w:pPr>
                  <w:r w:rsidRPr="00BC3844">
                    <w:rPr>
                      <w:rFonts w:ascii="Arial" w:hAnsi="Arial"/>
                      <w:b/>
                      <w:sz w:val="20"/>
                    </w:rPr>
                    <w:t>Urine: Male</w:t>
                  </w:r>
                </w:p>
              </w:tc>
              <w:tc>
                <w:tcPr>
                  <w:tcW w:w="2250" w:type="dxa"/>
                </w:tcPr>
                <w:p w:rsidR="007C0147" w:rsidRDefault="007C0147" w:rsidP="007C0147">
                  <w:pPr>
                    <w:jc w:val="left"/>
                    <w:rPr>
                      <w:rFonts w:ascii="Arial" w:hAnsi="Arial"/>
                      <w:sz w:val="20"/>
                    </w:rPr>
                  </w:pPr>
                  <w:r>
                    <w:rPr>
                      <w:rFonts w:ascii="Arial" w:hAnsi="Arial"/>
                      <w:sz w:val="20"/>
                    </w:rPr>
                    <w:t>89.6% (83.0 -93.8%)</w:t>
                  </w:r>
                </w:p>
              </w:tc>
              <w:tc>
                <w:tcPr>
                  <w:tcW w:w="2250" w:type="dxa"/>
                </w:tcPr>
                <w:p w:rsidR="007C0147" w:rsidRDefault="007C0147" w:rsidP="007C0147">
                  <w:pPr>
                    <w:jc w:val="left"/>
                    <w:rPr>
                      <w:rFonts w:ascii="Arial" w:hAnsi="Arial"/>
                      <w:sz w:val="20"/>
                    </w:rPr>
                  </w:pPr>
                  <w:r>
                    <w:rPr>
                      <w:rFonts w:ascii="Arial" w:hAnsi="Arial"/>
                      <w:sz w:val="20"/>
                    </w:rPr>
                    <w:t>99.3% (99.0 – 99.5%)</w:t>
                  </w:r>
                </w:p>
              </w:tc>
            </w:tr>
          </w:tbl>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r w:rsidR="00A505A3">
              <w:rPr>
                <w:rFonts w:ascii="Arial" w:hAnsi="Arial"/>
                <w:b/>
                <w:color w:val="0000FF"/>
                <w:sz w:val="20"/>
              </w:rPr>
              <w:t>/ Critical Values</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074244" w:rsidRPr="00074244" w:rsidRDefault="00074244" w:rsidP="00A505A3">
            <w:pPr>
              <w:numPr>
                <w:ilvl w:val="0"/>
                <w:numId w:val="16"/>
              </w:numPr>
              <w:jc w:val="left"/>
              <w:rPr>
                <w:rFonts w:ascii="Arial" w:hAnsi="Arial" w:cs="Arial"/>
                <w:sz w:val="20"/>
                <w:szCs w:val="20"/>
              </w:rPr>
            </w:pPr>
            <w:r w:rsidRPr="00074244">
              <w:rPr>
                <w:rFonts w:ascii="Arial" w:hAnsi="Arial" w:cs="Arial"/>
                <w:sz w:val="20"/>
                <w:szCs w:val="20"/>
              </w:rPr>
              <w:t xml:space="preserve">Ensure that the printer is turned on. </w:t>
            </w:r>
          </w:p>
          <w:p w:rsidR="00074244" w:rsidRPr="00074244" w:rsidRDefault="00074244" w:rsidP="00A505A3">
            <w:pPr>
              <w:numPr>
                <w:ilvl w:val="1"/>
                <w:numId w:val="16"/>
              </w:numPr>
              <w:jc w:val="left"/>
              <w:rPr>
                <w:rFonts w:ascii="Arial" w:hAnsi="Arial" w:cs="Arial"/>
                <w:sz w:val="20"/>
                <w:szCs w:val="20"/>
              </w:rPr>
            </w:pPr>
            <w:r w:rsidRPr="00074244">
              <w:rPr>
                <w:rFonts w:ascii="Arial" w:hAnsi="Arial" w:cs="Arial"/>
                <w:sz w:val="20"/>
                <w:szCs w:val="20"/>
              </w:rPr>
              <w:t>Reports will print automatically.</w:t>
            </w:r>
          </w:p>
          <w:p w:rsidR="00074244" w:rsidRPr="00074244" w:rsidRDefault="00074244" w:rsidP="00A505A3">
            <w:pPr>
              <w:numPr>
                <w:ilvl w:val="1"/>
                <w:numId w:val="16"/>
              </w:numPr>
              <w:jc w:val="left"/>
              <w:rPr>
                <w:rFonts w:ascii="Arial" w:hAnsi="Arial" w:cs="Arial"/>
                <w:sz w:val="20"/>
                <w:szCs w:val="20"/>
              </w:rPr>
            </w:pPr>
            <w:r w:rsidRPr="00074244">
              <w:rPr>
                <w:rFonts w:ascii="Arial" w:hAnsi="Arial" w:cs="Arial"/>
                <w:sz w:val="20"/>
                <w:szCs w:val="20"/>
              </w:rPr>
              <w:t>Place a large patient label on report.</w:t>
            </w:r>
          </w:p>
          <w:p w:rsidR="00074244" w:rsidRDefault="00074244" w:rsidP="00A505A3">
            <w:pPr>
              <w:numPr>
                <w:ilvl w:val="0"/>
                <w:numId w:val="16"/>
              </w:numPr>
              <w:jc w:val="left"/>
              <w:rPr>
                <w:rFonts w:ascii="Arial" w:hAnsi="Arial" w:cs="Arial"/>
                <w:sz w:val="20"/>
                <w:szCs w:val="20"/>
              </w:rPr>
            </w:pPr>
            <w:r w:rsidRPr="00074244">
              <w:rPr>
                <w:rFonts w:ascii="Arial" w:hAnsi="Arial" w:cs="Arial"/>
                <w:sz w:val="20"/>
                <w:szCs w:val="20"/>
              </w:rPr>
              <w:t>Results will automatically transmit to the LIS</w:t>
            </w:r>
            <w:r>
              <w:rPr>
                <w:rFonts w:ascii="Arial" w:hAnsi="Arial" w:cs="Arial"/>
                <w:sz w:val="20"/>
                <w:szCs w:val="20"/>
              </w:rPr>
              <w:t xml:space="preserve"> and </w:t>
            </w:r>
            <w:r w:rsidRPr="00872FB6">
              <w:rPr>
                <w:rFonts w:ascii="Arial" w:hAnsi="Arial" w:cs="Arial"/>
                <w:b/>
                <w:sz w:val="20"/>
                <w:szCs w:val="20"/>
              </w:rPr>
              <w:t>auto-file</w:t>
            </w:r>
            <w:r w:rsidRPr="00074244">
              <w:rPr>
                <w:rFonts w:ascii="Arial" w:hAnsi="Arial" w:cs="Arial"/>
                <w:sz w:val="20"/>
                <w:szCs w:val="20"/>
              </w:rPr>
              <w:t xml:space="preserve">. </w:t>
            </w:r>
          </w:p>
          <w:p w:rsidR="00A505A3" w:rsidRPr="00074244" w:rsidRDefault="00A505A3" w:rsidP="00A505A3">
            <w:pPr>
              <w:numPr>
                <w:ilvl w:val="0"/>
                <w:numId w:val="16"/>
              </w:numPr>
              <w:jc w:val="left"/>
              <w:rPr>
                <w:rFonts w:ascii="Arial" w:hAnsi="Arial" w:cs="Arial"/>
                <w:sz w:val="20"/>
                <w:szCs w:val="20"/>
              </w:rPr>
            </w:pPr>
            <w:r>
              <w:rPr>
                <w:rFonts w:ascii="Arial" w:hAnsi="Arial" w:cs="Arial"/>
                <w:sz w:val="20"/>
                <w:szCs w:val="20"/>
              </w:rPr>
              <w:t>There are no critical values.</w:t>
            </w:r>
          </w:p>
          <w:p w:rsidR="007C0147" w:rsidRPr="00D54241" w:rsidRDefault="007C0147" w:rsidP="00A505A3">
            <w:pPr>
              <w:pStyle w:val="ListParagraph"/>
              <w:numPr>
                <w:ilvl w:val="0"/>
                <w:numId w:val="16"/>
              </w:numPr>
              <w:contextualSpacing/>
              <w:rPr>
                <w:rFonts w:ascii="Arial" w:hAnsi="Arial" w:cs="Arial"/>
                <w:sz w:val="20"/>
                <w:szCs w:val="20"/>
              </w:rPr>
            </w:pPr>
            <w:r w:rsidRPr="00D54241">
              <w:rPr>
                <w:rFonts w:ascii="Arial" w:hAnsi="Arial" w:cs="Arial"/>
                <w:sz w:val="20"/>
                <w:szCs w:val="20"/>
              </w:rPr>
              <w:t>Call a completed worksheet for</w:t>
            </w:r>
            <w:r>
              <w:rPr>
                <w:rFonts w:ascii="Arial" w:hAnsi="Arial" w:cs="Arial"/>
                <w:sz w:val="20"/>
                <w:szCs w:val="20"/>
              </w:rPr>
              <w:t xml:space="preserve"> TVPCR</w:t>
            </w:r>
            <w:r w:rsidRPr="00D54241">
              <w:rPr>
                <w:rFonts w:ascii="Arial" w:hAnsi="Arial" w:cs="Arial"/>
                <w:sz w:val="20"/>
                <w:szCs w:val="20"/>
              </w:rPr>
              <w:t>, ch</w:t>
            </w:r>
            <w:r>
              <w:rPr>
                <w:rFonts w:ascii="Arial" w:hAnsi="Arial" w:cs="Arial"/>
                <w:sz w:val="20"/>
                <w:szCs w:val="20"/>
              </w:rPr>
              <w:t>eck results, and staple to GeneX</w:t>
            </w:r>
            <w:r w:rsidRPr="00D54241">
              <w:rPr>
                <w:rFonts w:ascii="Arial" w:hAnsi="Arial" w:cs="Arial"/>
                <w:sz w:val="20"/>
                <w:szCs w:val="20"/>
              </w:rPr>
              <w:t xml:space="preserve">pert Report. Place in the GeneXpert </w:t>
            </w:r>
            <w:r>
              <w:rPr>
                <w:rFonts w:ascii="Arial" w:hAnsi="Arial" w:cs="Arial"/>
                <w:sz w:val="20"/>
                <w:szCs w:val="20"/>
              </w:rPr>
              <w:t>TV</w:t>
            </w:r>
            <w:r w:rsidRPr="00D54241">
              <w:rPr>
                <w:rFonts w:ascii="Arial" w:hAnsi="Arial" w:cs="Arial"/>
                <w:sz w:val="20"/>
                <w:szCs w:val="20"/>
              </w:rPr>
              <w:t xml:space="preserve"> result binder.</w:t>
            </w:r>
          </w:p>
          <w:p w:rsidR="007C0147" w:rsidRDefault="007C0147" w:rsidP="007C0147">
            <w:pPr>
              <w:rPr>
                <w:rFonts w:ascii="Arial" w:hAnsi="Arial" w:cs="Arial"/>
                <w:sz w:val="20"/>
                <w:szCs w:val="20"/>
              </w:rPr>
            </w:pPr>
          </w:p>
          <w:p w:rsidR="007C0147" w:rsidRPr="00D54241" w:rsidRDefault="007C0147" w:rsidP="00A505A3">
            <w:pPr>
              <w:pStyle w:val="ListParagraph"/>
              <w:numPr>
                <w:ilvl w:val="0"/>
                <w:numId w:val="16"/>
              </w:numPr>
              <w:contextualSpacing/>
              <w:rPr>
                <w:rFonts w:ascii="Arial" w:hAnsi="Arial" w:cs="Arial"/>
                <w:sz w:val="20"/>
                <w:szCs w:val="20"/>
              </w:rPr>
            </w:pPr>
            <w:r w:rsidRPr="00D54241">
              <w:rPr>
                <w:rFonts w:ascii="Arial" w:hAnsi="Arial" w:cs="Arial"/>
                <w:sz w:val="20"/>
                <w:szCs w:val="20"/>
              </w:rPr>
              <w:t>Store samples in fridge:</w:t>
            </w:r>
            <w:bookmarkStart w:id="0" w:name="_GoBack"/>
            <w:bookmarkEnd w:id="0"/>
          </w:p>
          <w:p w:rsidR="007C0147" w:rsidRDefault="007C0147" w:rsidP="00A505A3">
            <w:pPr>
              <w:pStyle w:val="NoSpacing"/>
              <w:numPr>
                <w:ilvl w:val="1"/>
                <w:numId w:val="16"/>
              </w:numPr>
              <w:rPr>
                <w:rFonts w:ascii="Arial" w:hAnsi="Arial" w:cs="Arial"/>
                <w:sz w:val="20"/>
                <w:szCs w:val="20"/>
              </w:rPr>
            </w:pPr>
            <w:r w:rsidRPr="00545A04">
              <w:rPr>
                <w:rFonts w:ascii="Arial" w:hAnsi="Arial" w:cs="Arial"/>
                <w:sz w:val="20"/>
                <w:szCs w:val="20"/>
              </w:rPr>
              <w:t>Mark positive samples on side of caps (</w:t>
            </w:r>
            <w:r w:rsidRPr="0055247C">
              <w:rPr>
                <w:rFonts w:ascii="Arial" w:hAnsi="Arial" w:cs="Arial"/>
                <w:color w:val="FF0000"/>
                <w:sz w:val="20"/>
                <w:szCs w:val="20"/>
              </w:rPr>
              <w:t>red</w:t>
            </w:r>
            <w:r>
              <w:rPr>
                <w:rFonts w:ascii="Arial" w:hAnsi="Arial" w:cs="Arial"/>
                <w:sz w:val="20"/>
                <w:szCs w:val="20"/>
              </w:rPr>
              <w:t xml:space="preserve"> marker line for TV positive</w:t>
            </w:r>
            <w:r w:rsidRPr="00545A04">
              <w:rPr>
                <w:rFonts w:ascii="Arial" w:hAnsi="Arial" w:cs="Arial"/>
                <w:sz w:val="20"/>
                <w:szCs w:val="20"/>
              </w:rPr>
              <w:t>).</w:t>
            </w:r>
          </w:p>
          <w:p w:rsidR="007C0147" w:rsidRDefault="007C0147" w:rsidP="007C0147">
            <w:pPr>
              <w:pStyle w:val="NoSpacing"/>
              <w:rPr>
                <w:rFonts w:ascii="Arial" w:hAnsi="Arial" w:cs="Arial"/>
                <w:sz w:val="20"/>
                <w:szCs w:val="20"/>
              </w:rPr>
            </w:pPr>
          </w:p>
          <w:p w:rsidR="007C0147" w:rsidRPr="00982550" w:rsidRDefault="007C0147" w:rsidP="00A505A3">
            <w:pPr>
              <w:pStyle w:val="NoSpacing"/>
              <w:numPr>
                <w:ilvl w:val="0"/>
                <w:numId w:val="16"/>
              </w:numPr>
              <w:rPr>
                <w:rFonts w:ascii="Arial" w:hAnsi="Arial" w:cs="Arial"/>
                <w:sz w:val="20"/>
                <w:szCs w:val="20"/>
              </w:rPr>
            </w:pPr>
            <w:r>
              <w:rPr>
                <w:rFonts w:ascii="Arial" w:hAnsi="Arial" w:cs="Arial"/>
                <w:sz w:val="20"/>
                <w:szCs w:val="20"/>
              </w:rPr>
              <w:t xml:space="preserve">Discard old samples after 2 weeks.  </w:t>
            </w:r>
          </w:p>
          <w:p w:rsidR="00D01868" w:rsidRPr="00466A56" w:rsidRDefault="00D01868" w:rsidP="007C0147">
            <w:pPr>
              <w:ind w:left="720"/>
              <w:contextualSpacing/>
              <w:rPr>
                <w:rFonts w:ascii="Arial" w:hAnsi="Arial"/>
                <w:sz w:val="20"/>
              </w:rPr>
            </w:pPr>
          </w:p>
        </w:tc>
      </w:tr>
      <w:tr w:rsidR="007C0147">
        <w:trPr>
          <w:gridAfter w:val="2"/>
          <w:wAfter w:w="5392" w:type="dxa"/>
        </w:trPr>
        <w:tc>
          <w:tcPr>
            <w:tcW w:w="1792" w:type="dxa"/>
            <w:tcBorders>
              <w:top w:val="nil"/>
              <w:left w:val="nil"/>
              <w:bottom w:val="nil"/>
              <w:right w:val="nil"/>
            </w:tcBorders>
          </w:tcPr>
          <w:p w:rsidR="007C0147" w:rsidRDefault="007C0147">
            <w:pPr>
              <w:rPr>
                <w:rFonts w:ascii="Arial" w:hAnsi="Arial"/>
                <w:b/>
                <w:color w:val="0000FF"/>
                <w:sz w:val="20"/>
              </w:rPr>
            </w:pPr>
            <w:r>
              <w:rPr>
                <w:rFonts w:ascii="Arial" w:hAnsi="Arial"/>
                <w:b/>
                <w:color w:val="0000FF"/>
                <w:sz w:val="20"/>
              </w:rPr>
              <w:t>Entry of Results</w:t>
            </w:r>
          </w:p>
        </w:tc>
        <w:tc>
          <w:tcPr>
            <w:tcW w:w="9376" w:type="dxa"/>
            <w:gridSpan w:val="8"/>
            <w:tcBorders>
              <w:left w:val="nil"/>
              <w:right w:val="nil"/>
            </w:tcBorders>
          </w:tcPr>
          <w:p w:rsidR="007C0147" w:rsidRPr="00074244" w:rsidRDefault="007C0147" w:rsidP="00A505A3">
            <w:pPr>
              <w:numPr>
                <w:ilvl w:val="0"/>
                <w:numId w:val="20"/>
              </w:numPr>
              <w:jc w:val="left"/>
              <w:rPr>
                <w:rFonts w:ascii="Arial" w:hAnsi="Arial" w:cs="Arial"/>
                <w:sz w:val="20"/>
                <w:szCs w:val="20"/>
              </w:rPr>
            </w:pPr>
            <w:r>
              <w:rPr>
                <w:rFonts w:ascii="Arial" w:hAnsi="Arial" w:cs="Arial"/>
                <w:sz w:val="20"/>
                <w:szCs w:val="20"/>
              </w:rPr>
              <w:t>If results do not auto-file, l</w:t>
            </w:r>
            <w:r w:rsidRPr="00074244">
              <w:rPr>
                <w:rFonts w:ascii="Arial" w:hAnsi="Arial" w:cs="Arial"/>
                <w:sz w:val="20"/>
                <w:szCs w:val="20"/>
              </w:rPr>
              <w:t>og into Sunquest to release results.</w:t>
            </w:r>
          </w:p>
          <w:p w:rsidR="007C0147" w:rsidRPr="00074244" w:rsidRDefault="007C0147" w:rsidP="00A505A3">
            <w:pPr>
              <w:numPr>
                <w:ilvl w:val="0"/>
                <w:numId w:val="20"/>
              </w:numPr>
              <w:jc w:val="left"/>
              <w:rPr>
                <w:rFonts w:ascii="Arial" w:hAnsi="Arial" w:cs="Arial"/>
                <w:sz w:val="20"/>
                <w:szCs w:val="20"/>
              </w:rPr>
            </w:pPr>
            <w:r w:rsidRPr="00074244">
              <w:rPr>
                <w:rFonts w:ascii="Arial" w:hAnsi="Arial" w:cs="Arial"/>
                <w:sz w:val="20"/>
                <w:szCs w:val="20"/>
              </w:rPr>
              <w:t xml:space="preserve">Select Result Entry from Menu options </w:t>
            </w:r>
            <w:r w:rsidRPr="00074244">
              <w:rPr>
                <w:rFonts w:ascii="Arial" w:hAnsi="Arial" w:cs="Arial"/>
                <w:noProof/>
                <w:sz w:val="20"/>
                <w:szCs w:val="20"/>
              </w:rPr>
              <w:drawing>
                <wp:inline distT="0" distB="0" distL="0" distR="0" wp14:anchorId="5215D1DD" wp14:editId="2A20DF0F">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7C0147" w:rsidRPr="00074244" w:rsidRDefault="007C0147" w:rsidP="00A505A3">
            <w:pPr>
              <w:numPr>
                <w:ilvl w:val="0"/>
                <w:numId w:val="20"/>
              </w:numPr>
              <w:jc w:val="left"/>
              <w:rPr>
                <w:rFonts w:ascii="Arial" w:hAnsi="Arial" w:cs="Arial"/>
                <w:sz w:val="20"/>
                <w:szCs w:val="20"/>
              </w:rPr>
            </w:pPr>
            <w:r w:rsidRPr="00074244">
              <w:rPr>
                <w:rFonts w:ascii="Arial" w:hAnsi="Arial" w:cs="Arial"/>
                <w:sz w:val="20"/>
                <w:szCs w:val="20"/>
              </w:rPr>
              <w:t>In the Configuration field select CGX from the dropdown box.</w:t>
            </w:r>
          </w:p>
          <w:p w:rsidR="007C0147" w:rsidRPr="00074244" w:rsidRDefault="007C0147" w:rsidP="007C0147">
            <w:pPr>
              <w:rPr>
                <w:rFonts w:ascii="Arial" w:hAnsi="Arial" w:cs="Arial"/>
                <w:sz w:val="20"/>
                <w:szCs w:val="20"/>
              </w:rPr>
            </w:pPr>
          </w:p>
          <w:p w:rsidR="007C0147" w:rsidRPr="00074244" w:rsidRDefault="007C0147" w:rsidP="00A505A3">
            <w:pPr>
              <w:numPr>
                <w:ilvl w:val="0"/>
                <w:numId w:val="20"/>
              </w:numPr>
              <w:contextualSpacing/>
              <w:rPr>
                <w:rFonts w:ascii="Arial" w:hAnsi="Arial" w:cs="Arial"/>
                <w:sz w:val="20"/>
                <w:szCs w:val="20"/>
              </w:rPr>
            </w:pPr>
            <w:r w:rsidRPr="00074244">
              <w:rPr>
                <w:rFonts w:ascii="Arial" w:hAnsi="Arial" w:cs="Arial"/>
                <w:sz w:val="20"/>
                <w:szCs w:val="20"/>
              </w:rPr>
              <w:t xml:space="preserve">Click on the  </w:t>
            </w:r>
            <w:r w:rsidRPr="0007424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4" o:title=""/>
                </v:shape>
                <o:OLEObject Type="Embed" ProgID="PBrush" ShapeID="_x0000_i1025" DrawAspect="Content" ObjectID="_1716202100" r:id="rId15"/>
              </w:object>
            </w:r>
            <w:r w:rsidRPr="00074244">
              <w:rPr>
                <w:rFonts w:ascii="Arial" w:hAnsi="Arial" w:cs="Arial"/>
                <w:sz w:val="20"/>
                <w:szCs w:val="20"/>
              </w:rPr>
              <w:t xml:space="preserve"> button located in the lower right corner to populate the transmitted results.</w:t>
            </w:r>
          </w:p>
          <w:p w:rsidR="007C0147" w:rsidRPr="00074244" w:rsidRDefault="007C0147" w:rsidP="007C0147">
            <w:pPr>
              <w:rPr>
                <w:rFonts w:ascii="Arial" w:hAnsi="Arial" w:cs="Arial"/>
                <w:sz w:val="20"/>
                <w:szCs w:val="20"/>
              </w:rPr>
            </w:pPr>
          </w:p>
          <w:p w:rsidR="007C0147" w:rsidRDefault="007C0147" w:rsidP="00A505A3">
            <w:pPr>
              <w:numPr>
                <w:ilvl w:val="0"/>
                <w:numId w:val="20"/>
              </w:numPr>
              <w:contextualSpacing/>
              <w:rPr>
                <w:rFonts w:ascii="Arial" w:hAnsi="Arial" w:cs="Arial"/>
                <w:sz w:val="20"/>
                <w:szCs w:val="20"/>
              </w:rPr>
            </w:pPr>
            <w:r w:rsidRPr="00074244">
              <w:rPr>
                <w:rFonts w:ascii="Arial" w:hAnsi="Arial" w:cs="Arial"/>
                <w:sz w:val="20"/>
                <w:szCs w:val="20"/>
              </w:rPr>
              <w:t xml:space="preserve"> Review messages located on the top and results. Compare results to the GeneXpert report.</w:t>
            </w:r>
          </w:p>
          <w:p w:rsidR="00A505A3" w:rsidRDefault="00A505A3" w:rsidP="00A505A3">
            <w:pPr>
              <w:pStyle w:val="ListParagraph"/>
              <w:rPr>
                <w:rFonts w:ascii="Arial" w:hAnsi="Arial" w:cs="Arial"/>
                <w:sz w:val="20"/>
                <w:szCs w:val="20"/>
              </w:rPr>
            </w:pPr>
          </w:p>
          <w:p w:rsidR="00A505A3" w:rsidRPr="00D54241" w:rsidRDefault="00A505A3" w:rsidP="00A505A3">
            <w:pPr>
              <w:pStyle w:val="ListParagraph"/>
              <w:numPr>
                <w:ilvl w:val="0"/>
                <w:numId w:val="20"/>
              </w:numPr>
              <w:contextualSpacing/>
              <w:rPr>
                <w:rFonts w:ascii="Arial" w:hAnsi="Arial" w:cs="Arial"/>
                <w:sz w:val="20"/>
                <w:szCs w:val="20"/>
              </w:rPr>
            </w:pPr>
            <w:r>
              <w:rPr>
                <w:rFonts w:ascii="Arial" w:hAnsi="Arial" w:cs="Arial"/>
                <w:sz w:val="20"/>
                <w:szCs w:val="20"/>
              </w:rPr>
              <w:t xml:space="preserve">Check </w:t>
            </w:r>
            <w:r w:rsidRPr="00D54241">
              <w:rPr>
                <w:rFonts w:ascii="Arial" w:hAnsi="Arial" w:cs="Arial"/>
                <w:sz w:val="20"/>
                <w:szCs w:val="20"/>
              </w:rPr>
              <w:t>the release box.</w:t>
            </w:r>
            <w:r w:rsidRPr="00D54241">
              <w:rPr>
                <w:rFonts w:ascii="Arial" w:hAnsi="Arial" w:cs="Arial"/>
                <w:noProof/>
                <w:sz w:val="20"/>
                <w:szCs w:val="20"/>
              </w:rPr>
              <w:t xml:space="preserve"> </w:t>
            </w:r>
            <w:r w:rsidRPr="00545A04">
              <w:rPr>
                <w:noProof/>
              </w:rPr>
              <w:drawing>
                <wp:inline distT="0" distB="0" distL="0" distR="0" wp14:anchorId="04D2A936" wp14:editId="20B236EA">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A505A3" w:rsidRPr="00D54241" w:rsidRDefault="00A505A3" w:rsidP="00A505A3">
            <w:pPr>
              <w:pStyle w:val="ListParagraph"/>
              <w:numPr>
                <w:ilvl w:val="0"/>
                <w:numId w:val="20"/>
              </w:numPr>
              <w:contextualSpacing/>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75pt;height:15.75pt" o:ole="">
                  <v:imagedata r:id="rId17" o:title=""/>
                </v:shape>
                <o:OLEObject Type="Embed" ProgID="PBrush" ShapeID="_x0000_i1026" DrawAspect="Content" ObjectID="_1716202101" r:id="rId18"/>
              </w:object>
            </w:r>
            <w:r w:rsidRPr="00D54241">
              <w:rPr>
                <w:rFonts w:ascii="Arial" w:hAnsi="Arial" w:cs="Arial"/>
                <w:sz w:val="20"/>
                <w:szCs w:val="20"/>
              </w:rPr>
              <w:t xml:space="preserve">  button located on the lower left corner. Click </w:t>
            </w:r>
            <w:r w:rsidRPr="00545A04">
              <w:rPr>
                <w:noProof/>
              </w:rPr>
              <w:drawing>
                <wp:inline distT="0" distB="0" distL="0" distR="0" wp14:anchorId="6FF16E9F" wp14:editId="1C2DABC5">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A505A3" w:rsidRPr="00545A04" w:rsidRDefault="00A505A3" w:rsidP="00A505A3">
            <w:pPr>
              <w:rPr>
                <w:rFonts w:ascii="Arial" w:hAnsi="Arial" w:cs="Arial"/>
                <w:sz w:val="20"/>
                <w:szCs w:val="20"/>
              </w:rPr>
            </w:pPr>
          </w:p>
          <w:p w:rsidR="00A505A3" w:rsidRPr="00D54241" w:rsidRDefault="00A505A3" w:rsidP="00A505A3">
            <w:pPr>
              <w:pStyle w:val="ListParagraph"/>
              <w:numPr>
                <w:ilvl w:val="0"/>
                <w:numId w:val="20"/>
              </w:numPr>
              <w:contextualSpacing/>
              <w:rPr>
                <w:rFonts w:ascii="Arial" w:hAnsi="Arial" w:cs="Arial"/>
                <w:sz w:val="20"/>
                <w:szCs w:val="20"/>
              </w:rPr>
            </w:pPr>
            <w:r w:rsidRPr="00D54241">
              <w:rPr>
                <w:rFonts w:ascii="Arial" w:hAnsi="Arial" w:cs="Arial"/>
                <w:sz w:val="20"/>
                <w:szCs w:val="20"/>
              </w:rPr>
              <w:t>Call a completed worksheet for</w:t>
            </w:r>
            <w:r>
              <w:rPr>
                <w:rFonts w:ascii="Arial" w:hAnsi="Arial" w:cs="Arial"/>
                <w:sz w:val="20"/>
                <w:szCs w:val="20"/>
              </w:rPr>
              <w:t xml:space="preserve"> TVPCR</w:t>
            </w:r>
            <w:r w:rsidRPr="00D54241">
              <w:rPr>
                <w:rFonts w:ascii="Arial" w:hAnsi="Arial" w:cs="Arial"/>
                <w:sz w:val="20"/>
                <w:szCs w:val="20"/>
              </w:rPr>
              <w:t>, ch</w:t>
            </w:r>
            <w:r>
              <w:rPr>
                <w:rFonts w:ascii="Arial" w:hAnsi="Arial" w:cs="Arial"/>
                <w:sz w:val="20"/>
                <w:szCs w:val="20"/>
              </w:rPr>
              <w:t>eck results, and staple to GeneX</w:t>
            </w:r>
            <w:r w:rsidRPr="00D54241">
              <w:rPr>
                <w:rFonts w:ascii="Arial" w:hAnsi="Arial" w:cs="Arial"/>
                <w:sz w:val="20"/>
                <w:szCs w:val="20"/>
              </w:rPr>
              <w:t xml:space="preserve">pert Report. Place in the GeneXpert </w:t>
            </w:r>
            <w:r>
              <w:rPr>
                <w:rFonts w:ascii="Arial" w:hAnsi="Arial" w:cs="Arial"/>
                <w:sz w:val="20"/>
                <w:szCs w:val="20"/>
              </w:rPr>
              <w:t>TV</w:t>
            </w:r>
            <w:r w:rsidRPr="00D54241">
              <w:rPr>
                <w:rFonts w:ascii="Arial" w:hAnsi="Arial" w:cs="Arial"/>
                <w:sz w:val="20"/>
                <w:szCs w:val="20"/>
              </w:rPr>
              <w:t xml:space="preserve"> result binder.</w:t>
            </w:r>
          </w:p>
          <w:p w:rsidR="00A505A3" w:rsidRDefault="00A505A3" w:rsidP="00A505A3">
            <w:pPr>
              <w:rPr>
                <w:rFonts w:ascii="Arial" w:hAnsi="Arial" w:cs="Arial"/>
                <w:sz w:val="20"/>
                <w:szCs w:val="20"/>
              </w:rPr>
            </w:pPr>
          </w:p>
          <w:p w:rsidR="00A505A3" w:rsidRPr="00D54241" w:rsidRDefault="00A505A3" w:rsidP="00A505A3">
            <w:pPr>
              <w:pStyle w:val="ListParagraph"/>
              <w:numPr>
                <w:ilvl w:val="0"/>
                <w:numId w:val="20"/>
              </w:numPr>
              <w:contextualSpacing/>
              <w:rPr>
                <w:rFonts w:ascii="Arial" w:hAnsi="Arial" w:cs="Arial"/>
                <w:sz w:val="20"/>
                <w:szCs w:val="20"/>
              </w:rPr>
            </w:pPr>
            <w:r w:rsidRPr="00D54241">
              <w:rPr>
                <w:rFonts w:ascii="Arial" w:hAnsi="Arial" w:cs="Arial"/>
                <w:sz w:val="20"/>
                <w:szCs w:val="20"/>
              </w:rPr>
              <w:t>Store samples in fridge:</w:t>
            </w:r>
          </w:p>
          <w:p w:rsidR="00A505A3" w:rsidRDefault="00A505A3" w:rsidP="00A505A3">
            <w:pPr>
              <w:pStyle w:val="NoSpacing"/>
              <w:numPr>
                <w:ilvl w:val="1"/>
                <w:numId w:val="20"/>
              </w:numPr>
              <w:rPr>
                <w:rFonts w:ascii="Arial" w:hAnsi="Arial" w:cs="Arial"/>
                <w:sz w:val="20"/>
                <w:szCs w:val="20"/>
              </w:rPr>
            </w:pPr>
            <w:r w:rsidRPr="00545A04">
              <w:rPr>
                <w:rFonts w:ascii="Arial" w:hAnsi="Arial" w:cs="Arial"/>
                <w:sz w:val="20"/>
                <w:szCs w:val="20"/>
              </w:rPr>
              <w:t>Mark positive samples on side of caps (</w:t>
            </w:r>
            <w:r w:rsidRPr="0055247C">
              <w:rPr>
                <w:rFonts w:ascii="Arial" w:hAnsi="Arial" w:cs="Arial"/>
                <w:color w:val="FF0000"/>
                <w:sz w:val="20"/>
                <w:szCs w:val="20"/>
              </w:rPr>
              <w:t>red</w:t>
            </w:r>
            <w:r>
              <w:rPr>
                <w:rFonts w:ascii="Arial" w:hAnsi="Arial" w:cs="Arial"/>
                <w:sz w:val="20"/>
                <w:szCs w:val="20"/>
              </w:rPr>
              <w:t xml:space="preserve"> marker line for TV positive</w:t>
            </w:r>
            <w:r w:rsidRPr="00545A04">
              <w:rPr>
                <w:rFonts w:ascii="Arial" w:hAnsi="Arial" w:cs="Arial"/>
                <w:sz w:val="20"/>
                <w:szCs w:val="20"/>
              </w:rPr>
              <w:t>).</w:t>
            </w:r>
          </w:p>
          <w:p w:rsidR="00A505A3" w:rsidRDefault="00A505A3" w:rsidP="00A505A3">
            <w:pPr>
              <w:pStyle w:val="NoSpacing"/>
              <w:rPr>
                <w:rFonts w:ascii="Arial" w:hAnsi="Arial" w:cs="Arial"/>
                <w:sz w:val="20"/>
                <w:szCs w:val="20"/>
              </w:rPr>
            </w:pPr>
          </w:p>
          <w:p w:rsidR="00A505A3" w:rsidRPr="00A505A3" w:rsidRDefault="00A505A3" w:rsidP="00A505A3">
            <w:pPr>
              <w:pStyle w:val="NoSpacing"/>
              <w:numPr>
                <w:ilvl w:val="0"/>
                <w:numId w:val="20"/>
              </w:numPr>
              <w:rPr>
                <w:rFonts w:ascii="Arial" w:hAnsi="Arial" w:cs="Arial"/>
                <w:sz w:val="20"/>
                <w:szCs w:val="20"/>
              </w:rPr>
            </w:pPr>
            <w:r>
              <w:rPr>
                <w:rFonts w:ascii="Arial" w:hAnsi="Arial" w:cs="Arial"/>
                <w:sz w:val="20"/>
                <w:szCs w:val="20"/>
              </w:rPr>
              <w:t xml:space="preserve">Discard old samples after 2 weeks.  </w:t>
            </w:r>
          </w:p>
          <w:p w:rsidR="007C0147" w:rsidRPr="00156DE2" w:rsidRDefault="007C0147" w:rsidP="007B1CE2">
            <w:pPr>
              <w:pStyle w:val="BodyText"/>
              <w:ind w:left="1080"/>
              <w:rPr>
                <w:rFonts w:ascii="Arial" w:hAnsi="Arial" w:cs="Arial"/>
                <w:sz w:val="18"/>
                <w:szCs w:val="18"/>
              </w:rPr>
            </w:pPr>
          </w:p>
        </w:tc>
      </w:tr>
      <w:tr w:rsidR="007C0147">
        <w:trPr>
          <w:gridAfter w:val="2"/>
          <w:wAfter w:w="5392" w:type="dxa"/>
        </w:trPr>
        <w:tc>
          <w:tcPr>
            <w:tcW w:w="1792" w:type="dxa"/>
            <w:tcBorders>
              <w:top w:val="nil"/>
              <w:left w:val="nil"/>
              <w:bottom w:val="nil"/>
              <w:right w:val="nil"/>
            </w:tcBorders>
          </w:tcPr>
          <w:p w:rsidR="007C0147" w:rsidRDefault="007C0147">
            <w:pPr>
              <w:rPr>
                <w:rFonts w:ascii="Arial" w:hAnsi="Arial"/>
                <w:b/>
                <w:color w:val="0000FF"/>
                <w:sz w:val="20"/>
              </w:rPr>
            </w:pPr>
            <w:r>
              <w:rPr>
                <w:rFonts w:ascii="Arial" w:hAnsi="Arial"/>
                <w:b/>
                <w:color w:val="0000FF"/>
                <w:sz w:val="20"/>
              </w:rPr>
              <w:t>Invalid Results</w:t>
            </w:r>
          </w:p>
        </w:tc>
        <w:tc>
          <w:tcPr>
            <w:tcW w:w="9376" w:type="dxa"/>
            <w:gridSpan w:val="8"/>
            <w:tcBorders>
              <w:left w:val="nil"/>
              <w:right w:val="nil"/>
            </w:tcBorders>
          </w:tcPr>
          <w:p w:rsidR="007C0147" w:rsidRPr="007C0147" w:rsidRDefault="007C0147" w:rsidP="00A505A3">
            <w:pPr>
              <w:numPr>
                <w:ilvl w:val="0"/>
                <w:numId w:val="21"/>
              </w:numPr>
              <w:contextualSpacing/>
              <w:jc w:val="left"/>
              <w:rPr>
                <w:rFonts w:ascii="Arial" w:hAnsi="Arial" w:cs="Arial"/>
                <w:sz w:val="20"/>
                <w:szCs w:val="20"/>
              </w:rPr>
            </w:pPr>
            <w:r w:rsidRPr="007C0147">
              <w:rPr>
                <w:rFonts w:ascii="Arial" w:hAnsi="Arial" w:cs="Arial"/>
                <w:sz w:val="20"/>
                <w:szCs w:val="20"/>
              </w:rPr>
              <w:t xml:space="preserve">IF an invalid result is repeated AND a </w:t>
            </w:r>
            <w:r w:rsidRPr="007C0147">
              <w:rPr>
                <w:rFonts w:ascii="Arial" w:hAnsi="Arial" w:cs="Arial"/>
                <w:b/>
                <w:sz w:val="20"/>
                <w:szCs w:val="20"/>
              </w:rPr>
              <w:t>valid</w:t>
            </w:r>
            <w:r w:rsidRPr="007C0147">
              <w:rPr>
                <w:rFonts w:ascii="Arial" w:hAnsi="Arial" w:cs="Arial"/>
                <w:sz w:val="20"/>
                <w:szCs w:val="20"/>
              </w:rPr>
              <w:t xml:space="preserve"> result is obtained, select and only release the valid result interpretation in the LIS. </w:t>
            </w:r>
          </w:p>
          <w:p w:rsidR="007C0147" w:rsidRPr="007C0147" w:rsidRDefault="007C0147" w:rsidP="007C0147">
            <w:pPr>
              <w:rPr>
                <w:rFonts w:ascii="Arial" w:hAnsi="Arial" w:cs="Arial"/>
                <w:sz w:val="20"/>
                <w:szCs w:val="20"/>
              </w:rPr>
            </w:pPr>
          </w:p>
          <w:p w:rsidR="007C0147" w:rsidRPr="007C0147" w:rsidRDefault="007C0147" w:rsidP="00A505A3">
            <w:pPr>
              <w:numPr>
                <w:ilvl w:val="0"/>
                <w:numId w:val="21"/>
              </w:numPr>
              <w:contextualSpacing/>
              <w:jc w:val="left"/>
              <w:rPr>
                <w:rFonts w:ascii="Arial" w:hAnsi="Arial" w:cs="Arial"/>
                <w:sz w:val="20"/>
                <w:szCs w:val="20"/>
              </w:rPr>
            </w:pPr>
            <w:r w:rsidRPr="007C0147">
              <w:rPr>
                <w:rFonts w:ascii="Arial" w:hAnsi="Arial" w:cs="Arial"/>
                <w:sz w:val="20"/>
                <w:szCs w:val="20"/>
              </w:rPr>
              <w:t xml:space="preserve">IF an invalid result is repeated AND an </w:t>
            </w:r>
            <w:r w:rsidRPr="007C0147">
              <w:rPr>
                <w:rFonts w:ascii="Arial" w:hAnsi="Arial" w:cs="Arial"/>
                <w:b/>
                <w:sz w:val="20"/>
                <w:szCs w:val="20"/>
              </w:rPr>
              <w:t>invalid</w:t>
            </w:r>
            <w:r w:rsidRPr="007C0147">
              <w:rPr>
                <w:rFonts w:ascii="Arial" w:hAnsi="Arial" w:cs="Arial"/>
                <w:sz w:val="20"/>
                <w:szCs w:val="20"/>
              </w:rPr>
              <w:t xml:space="preserve"> result is obtained, select only one of the invalid results to verify.  The provider must be notified of these results.  </w:t>
            </w:r>
          </w:p>
          <w:p w:rsidR="007C0147" w:rsidRPr="007C0147" w:rsidRDefault="007C0147" w:rsidP="007C0147">
            <w:pPr>
              <w:ind w:left="720"/>
              <w:contextualSpacing/>
              <w:rPr>
                <w:rFonts w:ascii="Arial" w:hAnsi="Arial" w:cs="Arial"/>
                <w:sz w:val="20"/>
                <w:szCs w:val="20"/>
              </w:rPr>
            </w:pPr>
          </w:p>
          <w:p w:rsidR="007C0147" w:rsidRPr="007C0147" w:rsidRDefault="007C0147" w:rsidP="007C0147">
            <w:pPr>
              <w:ind w:left="720"/>
              <w:contextualSpacing/>
              <w:rPr>
                <w:rFonts w:ascii="Arial" w:hAnsi="Arial" w:cs="Arial"/>
                <w:sz w:val="20"/>
                <w:szCs w:val="20"/>
              </w:rPr>
            </w:pPr>
            <w:r w:rsidRPr="007C0147">
              <w:rPr>
                <w:rFonts w:ascii="Arial" w:hAnsi="Arial" w:cs="Arial"/>
                <w:sz w:val="20"/>
                <w:szCs w:val="20"/>
              </w:rPr>
              <w:t xml:space="preserve">The result will be reported as </w:t>
            </w:r>
            <w:r w:rsidRPr="007C0147">
              <w:rPr>
                <w:rFonts w:ascii="Arial" w:hAnsi="Arial" w:cs="Arial"/>
                <w:b/>
                <w:sz w:val="20"/>
                <w:szCs w:val="20"/>
              </w:rPr>
              <w:t>unresolved</w:t>
            </w:r>
            <w:r w:rsidRPr="007C0147">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7C0147" w:rsidRPr="007C0147" w:rsidRDefault="007C0147" w:rsidP="007C0147">
            <w:pPr>
              <w:ind w:left="720"/>
              <w:contextualSpacing/>
              <w:rPr>
                <w:rFonts w:ascii="Arial" w:hAnsi="Arial" w:cs="Arial"/>
                <w:sz w:val="20"/>
                <w:szCs w:val="20"/>
              </w:rPr>
            </w:pPr>
          </w:p>
          <w:p w:rsidR="007C0147" w:rsidRPr="007C0147" w:rsidRDefault="007C0147" w:rsidP="007C0147">
            <w:pPr>
              <w:ind w:left="720"/>
              <w:contextualSpacing/>
              <w:rPr>
                <w:rFonts w:ascii="Arial" w:hAnsi="Arial" w:cs="Arial"/>
                <w:sz w:val="20"/>
                <w:szCs w:val="20"/>
              </w:rPr>
            </w:pPr>
            <w:r w:rsidRPr="007C0147">
              <w:rPr>
                <w:rFonts w:ascii="Arial" w:hAnsi="Arial" w:cs="Arial"/>
                <w:sz w:val="20"/>
                <w:szCs w:val="20"/>
              </w:rPr>
              <w:t xml:space="preserve">Add the code CAL, press tab, </w:t>
            </w:r>
            <w:proofErr w:type="gramStart"/>
            <w:r w:rsidRPr="007C0147">
              <w:rPr>
                <w:rFonts w:ascii="Arial" w:hAnsi="Arial" w:cs="Arial"/>
                <w:sz w:val="20"/>
                <w:szCs w:val="20"/>
              </w:rPr>
              <w:t>enter</w:t>
            </w:r>
            <w:proofErr w:type="gramEnd"/>
            <w:r w:rsidRPr="007C0147">
              <w:rPr>
                <w:rFonts w:ascii="Arial" w:hAnsi="Arial" w:cs="Arial"/>
                <w:sz w:val="20"/>
                <w:szCs w:val="20"/>
              </w:rPr>
              <w:t xml:space="preserve"> semi-colon record who the result was relayed to and the date/time.   </w:t>
            </w:r>
            <w:r w:rsidRPr="007C0147">
              <w:rPr>
                <w:rFonts w:ascii="Arial" w:hAnsi="Arial" w:cs="Arial"/>
                <w:noProof/>
                <w:sz w:val="20"/>
                <w:szCs w:val="20"/>
              </w:rPr>
              <w:t xml:space="preserve"> </w:t>
            </w:r>
          </w:p>
          <w:p w:rsidR="007C0147" w:rsidRPr="00156DE2" w:rsidRDefault="007C0147" w:rsidP="007B1CE2">
            <w:pPr>
              <w:pStyle w:val="BodyText"/>
              <w:ind w:left="1080"/>
              <w:rPr>
                <w:rFonts w:ascii="Arial" w:hAnsi="Arial" w:cs="Arial"/>
                <w:sz w:val="18"/>
                <w:szCs w:val="18"/>
              </w:rPr>
            </w:pPr>
          </w:p>
        </w:tc>
      </w:tr>
      <w:tr w:rsidR="007C0147">
        <w:trPr>
          <w:gridAfter w:val="2"/>
          <w:wAfter w:w="5392" w:type="dxa"/>
        </w:trPr>
        <w:tc>
          <w:tcPr>
            <w:tcW w:w="1792" w:type="dxa"/>
            <w:tcBorders>
              <w:top w:val="nil"/>
              <w:left w:val="nil"/>
              <w:bottom w:val="nil"/>
              <w:right w:val="nil"/>
            </w:tcBorders>
          </w:tcPr>
          <w:p w:rsidR="007C0147" w:rsidRDefault="007C0147">
            <w:pPr>
              <w:rPr>
                <w:rFonts w:ascii="Arial" w:hAnsi="Arial"/>
                <w:b/>
                <w:color w:val="0000FF"/>
                <w:sz w:val="20"/>
              </w:rPr>
            </w:pPr>
            <w:r>
              <w:rPr>
                <w:rFonts w:ascii="Arial" w:hAnsi="Arial"/>
                <w:b/>
                <w:color w:val="0000FF"/>
                <w:sz w:val="20"/>
              </w:rPr>
              <w:lastRenderedPageBreak/>
              <w:t>Correcting Results</w:t>
            </w:r>
          </w:p>
        </w:tc>
        <w:tc>
          <w:tcPr>
            <w:tcW w:w="9376" w:type="dxa"/>
            <w:gridSpan w:val="8"/>
            <w:tcBorders>
              <w:left w:val="nil"/>
              <w:right w:val="nil"/>
            </w:tcBorders>
          </w:tcPr>
          <w:p w:rsidR="007C0147" w:rsidRPr="007C0147" w:rsidRDefault="007C0147" w:rsidP="00A505A3">
            <w:pPr>
              <w:numPr>
                <w:ilvl w:val="0"/>
                <w:numId w:val="22"/>
              </w:numPr>
              <w:contextualSpacing/>
              <w:jc w:val="left"/>
              <w:rPr>
                <w:rFonts w:ascii="Arial" w:hAnsi="Arial" w:cs="Arial"/>
                <w:sz w:val="20"/>
                <w:szCs w:val="20"/>
              </w:rPr>
            </w:pPr>
            <w:r w:rsidRPr="007C0147">
              <w:rPr>
                <w:rFonts w:ascii="Arial" w:hAnsi="Arial" w:cs="Arial"/>
                <w:sz w:val="20"/>
                <w:szCs w:val="20"/>
              </w:rPr>
              <w:t xml:space="preserve">Open Result Entry, select the Manual resulting mode (top left corner), </w:t>
            </w:r>
            <w:r w:rsidR="00A505A3" w:rsidRPr="007C0147">
              <w:rPr>
                <w:rFonts w:ascii="Arial" w:hAnsi="Arial" w:cs="Arial"/>
                <w:sz w:val="20"/>
                <w:szCs w:val="20"/>
              </w:rPr>
              <w:t>and from</w:t>
            </w:r>
            <w:r w:rsidRPr="007C0147">
              <w:rPr>
                <w:rFonts w:ascii="Arial" w:hAnsi="Arial" w:cs="Arial"/>
                <w:sz w:val="20"/>
                <w:szCs w:val="20"/>
              </w:rPr>
              <w:t xml:space="preserve"> the configuration drop down select the TV test.  Click </w:t>
            </w:r>
            <w:r w:rsidRPr="007C0147">
              <w:rPr>
                <w:rFonts w:ascii="Arial" w:hAnsi="Arial" w:cs="Arial"/>
                <w:noProof/>
                <w:sz w:val="20"/>
                <w:szCs w:val="20"/>
              </w:rPr>
              <w:drawing>
                <wp:inline distT="0" distB="0" distL="0" distR="0" wp14:anchorId="057A378A" wp14:editId="3CB14DEC">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7C0147">
              <w:rPr>
                <w:rFonts w:ascii="Arial" w:hAnsi="Arial" w:cs="Arial"/>
                <w:sz w:val="20"/>
                <w:szCs w:val="20"/>
              </w:rPr>
              <w:t xml:space="preserve"> in the lower right corner. </w:t>
            </w:r>
          </w:p>
          <w:p w:rsidR="007C0147" w:rsidRPr="007C0147" w:rsidRDefault="007C0147" w:rsidP="007C0147">
            <w:pPr>
              <w:rPr>
                <w:rFonts w:ascii="Arial" w:hAnsi="Arial" w:cs="Arial"/>
                <w:color w:val="FF0000"/>
                <w:sz w:val="20"/>
                <w:szCs w:val="20"/>
              </w:rPr>
            </w:pPr>
          </w:p>
          <w:p w:rsidR="007C0147" w:rsidRPr="007C0147" w:rsidRDefault="007C0147" w:rsidP="00A505A3">
            <w:pPr>
              <w:numPr>
                <w:ilvl w:val="0"/>
                <w:numId w:val="22"/>
              </w:numPr>
              <w:contextualSpacing/>
              <w:jc w:val="left"/>
              <w:rPr>
                <w:rFonts w:ascii="Arial" w:hAnsi="Arial" w:cs="Arial"/>
                <w:sz w:val="20"/>
                <w:szCs w:val="20"/>
              </w:rPr>
            </w:pPr>
            <w:r w:rsidRPr="007C0147">
              <w:rPr>
                <w:rFonts w:ascii="Arial" w:hAnsi="Arial" w:cs="Arial"/>
                <w:sz w:val="20"/>
                <w:szCs w:val="20"/>
              </w:rPr>
              <w:t xml:space="preserve">Enter the Specimen ID, enter Tab and click </w:t>
            </w:r>
            <w:proofErr w:type="gramStart"/>
            <w:r w:rsidRPr="007C0147">
              <w:rPr>
                <w:rFonts w:ascii="Arial" w:hAnsi="Arial" w:cs="Arial"/>
                <w:sz w:val="20"/>
                <w:szCs w:val="20"/>
              </w:rPr>
              <w:t>Yes</w:t>
            </w:r>
            <w:proofErr w:type="gramEnd"/>
            <w:r w:rsidRPr="007C0147">
              <w:rPr>
                <w:rFonts w:ascii="Arial" w:hAnsi="Arial" w:cs="Arial"/>
                <w:sz w:val="20"/>
                <w:szCs w:val="20"/>
              </w:rPr>
              <w:t xml:space="preserve"> to modify the result.</w:t>
            </w:r>
          </w:p>
          <w:p w:rsidR="007C0147" w:rsidRPr="00156DE2" w:rsidRDefault="007C0147" w:rsidP="007B1CE2">
            <w:pPr>
              <w:pStyle w:val="BodyText"/>
              <w:ind w:left="1080"/>
              <w:rPr>
                <w:rFonts w:ascii="Arial" w:hAnsi="Arial" w:cs="Arial"/>
                <w:sz w:val="18"/>
                <w:szCs w:val="18"/>
              </w:rPr>
            </w:pPr>
            <w:r w:rsidRPr="00545A04">
              <w:rPr>
                <w:rFonts w:ascii="Arial" w:hAnsi="Arial" w:cs="Arial"/>
                <w:noProof/>
                <w:color w:val="FF0000"/>
                <w:sz w:val="20"/>
                <w:szCs w:val="20"/>
              </w:rPr>
              <w:drawing>
                <wp:inline distT="0" distB="0" distL="0" distR="0" wp14:anchorId="24F05CCA" wp14:editId="342482FB">
                  <wp:extent cx="4942840" cy="1782113"/>
                  <wp:effectExtent l="0" t="0" r="0" b="889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4972425" cy="1792780"/>
                          </a:xfrm>
                          <a:prstGeom prst="rect">
                            <a:avLst/>
                          </a:prstGeom>
                          <a:noFill/>
                          <a:ln w="9525">
                            <a:noFill/>
                            <a:miter lim="800000"/>
                            <a:headEnd/>
                            <a:tailEnd/>
                          </a:ln>
                        </pic:spPr>
                      </pic:pic>
                    </a:graphicData>
                  </a:graphic>
                </wp:inline>
              </w:drawing>
            </w:r>
          </w:p>
        </w:tc>
      </w:tr>
      <w:tr w:rsidR="007C0147">
        <w:trPr>
          <w:gridAfter w:val="2"/>
          <w:wAfter w:w="5392" w:type="dxa"/>
        </w:trPr>
        <w:tc>
          <w:tcPr>
            <w:tcW w:w="1792" w:type="dxa"/>
            <w:tcBorders>
              <w:top w:val="nil"/>
              <w:left w:val="nil"/>
              <w:bottom w:val="nil"/>
              <w:right w:val="nil"/>
            </w:tcBorders>
          </w:tcPr>
          <w:p w:rsidR="007C0147" w:rsidRDefault="007C0147">
            <w:pPr>
              <w:rPr>
                <w:rFonts w:ascii="Arial" w:hAnsi="Arial"/>
                <w:b/>
                <w:color w:val="0000FF"/>
                <w:sz w:val="20"/>
              </w:rPr>
            </w:pPr>
          </w:p>
          <w:p w:rsidR="007C0147" w:rsidRDefault="007C0147">
            <w:pPr>
              <w:rPr>
                <w:rFonts w:ascii="Arial" w:hAnsi="Arial"/>
                <w:b/>
                <w:color w:val="0000FF"/>
                <w:sz w:val="20"/>
              </w:rPr>
            </w:pPr>
          </w:p>
          <w:p w:rsidR="007C0147" w:rsidRDefault="007C0147">
            <w:pPr>
              <w:rPr>
                <w:rFonts w:ascii="Arial" w:hAnsi="Arial"/>
                <w:b/>
                <w:color w:val="0000FF"/>
                <w:sz w:val="20"/>
              </w:rPr>
            </w:pPr>
          </w:p>
        </w:tc>
        <w:tc>
          <w:tcPr>
            <w:tcW w:w="9376" w:type="dxa"/>
            <w:gridSpan w:val="8"/>
            <w:tcBorders>
              <w:left w:val="nil"/>
              <w:right w:val="nil"/>
            </w:tcBorders>
          </w:tcPr>
          <w:p w:rsidR="007C0147" w:rsidRPr="00545A04" w:rsidRDefault="007C0147" w:rsidP="00A505A3">
            <w:pPr>
              <w:pStyle w:val="ListParagraph"/>
              <w:numPr>
                <w:ilvl w:val="0"/>
                <w:numId w:val="22"/>
              </w:numPr>
              <w:contextualSpacing/>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rsidR="007C0147" w:rsidRPr="00545A04" w:rsidRDefault="007C0147" w:rsidP="007C0147">
            <w:pPr>
              <w:rPr>
                <w:rFonts w:ascii="Arial" w:hAnsi="Arial" w:cs="Arial"/>
                <w:sz w:val="20"/>
                <w:szCs w:val="20"/>
              </w:rPr>
            </w:pPr>
            <w:r w:rsidRPr="00545A04">
              <w:rPr>
                <w:rFonts w:ascii="Arial" w:hAnsi="Arial" w:cs="Arial"/>
                <w:sz w:val="20"/>
                <w:szCs w:val="20"/>
              </w:rPr>
              <w:t xml:space="preserve"> </w:t>
            </w:r>
          </w:p>
          <w:p w:rsidR="007C0147" w:rsidRPr="00545A04" w:rsidRDefault="007C0147" w:rsidP="00A505A3">
            <w:pPr>
              <w:pStyle w:val="ListParagraph"/>
              <w:numPr>
                <w:ilvl w:val="0"/>
                <w:numId w:val="22"/>
              </w:numPr>
              <w:contextualSpacing/>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14:anchorId="4BA4AE34" wp14:editId="07BBE646">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E7DC127" wp14:editId="4967D813">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7C0147" w:rsidRPr="007C0147" w:rsidRDefault="007C0147" w:rsidP="007C0147">
            <w:pPr>
              <w:ind w:left="720"/>
              <w:contextualSpacing/>
              <w:jc w:val="left"/>
              <w:rPr>
                <w:rFonts w:ascii="Arial" w:hAnsi="Arial" w:cs="Arial"/>
                <w:sz w:val="20"/>
                <w:szCs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C0147" w:rsidRDefault="007C0147" w:rsidP="00A505A3">
            <w:pPr>
              <w:pStyle w:val="ListParagraph"/>
              <w:numPr>
                <w:ilvl w:val="0"/>
                <w:numId w:val="19"/>
              </w:numPr>
              <w:rPr>
                <w:rFonts w:ascii="Arial" w:eastAsiaTheme="minorHAnsi" w:hAnsi="Arial" w:cs="Arial"/>
                <w:noProof/>
                <w:sz w:val="20"/>
                <w:szCs w:val="20"/>
              </w:rPr>
            </w:pPr>
            <w:r w:rsidRPr="007C0147">
              <w:rPr>
                <w:rFonts w:ascii="Arial" w:eastAsiaTheme="minorHAnsi" w:hAnsi="Arial" w:cs="Arial"/>
                <w:noProof/>
                <w:sz w:val="20"/>
                <w:szCs w:val="20"/>
              </w:rPr>
              <w:t>Xpert TV Package Insert 301-2887, Rev. C. Sunnyvale, CA: Cepheid; June 2019.</w:t>
            </w:r>
          </w:p>
          <w:p w:rsidR="007C0147" w:rsidRPr="007C0147" w:rsidRDefault="007C0147" w:rsidP="00A505A3">
            <w:pPr>
              <w:pStyle w:val="ListParagraph"/>
              <w:numPr>
                <w:ilvl w:val="0"/>
                <w:numId w:val="19"/>
              </w:numPr>
              <w:rPr>
                <w:rFonts w:ascii="Arial" w:eastAsiaTheme="minorHAnsi" w:hAnsi="Arial" w:cs="Arial"/>
                <w:noProof/>
                <w:sz w:val="20"/>
                <w:szCs w:val="20"/>
              </w:rPr>
            </w:pPr>
            <w:r w:rsidRPr="007C0147">
              <w:rPr>
                <w:rFonts w:ascii="Arial" w:hAnsi="Arial" w:cs="Arial"/>
                <w:noProof/>
                <w:sz w:val="20"/>
                <w:szCs w:val="20"/>
              </w:rPr>
              <w:t xml:space="preserve">Trichomoniasis Statistics GA: CDC;  [updated January 2017. Available from: </w:t>
            </w:r>
            <w:hyperlink r:id="rId23" w:history="1">
              <w:r w:rsidRPr="007C0147">
                <w:rPr>
                  <w:rFonts w:ascii="Arial" w:hAnsi="Arial" w:cs="Arial"/>
                  <w:noProof/>
                  <w:color w:val="0000FF" w:themeColor="hyperlink"/>
                  <w:sz w:val="20"/>
                  <w:szCs w:val="20"/>
                  <w:u w:val="single"/>
                </w:rPr>
                <w:t>https://www.cdc.gov/std/trichomonas/stats.htm</w:t>
              </w:r>
            </w:hyperlink>
            <w:r w:rsidRPr="007C0147">
              <w:rPr>
                <w:rFonts w:ascii="Arial" w:hAnsi="Arial" w:cs="Arial"/>
                <w:noProof/>
                <w:sz w:val="20"/>
                <w:szCs w:val="20"/>
              </w:rPr>
              <w:t>.</w:t>
            </w:r>
          </w:p>
          <w:p w:rsidR="00927AD8" w:rsidRPr="007B1CE2" w:rsidRDefault="00927AD8" w:rsidP="002F2F51">
            <w:pPr>
              <w:tabs>
                <w:tab w:val="left" w:pos="360"/>
              </w:tabs>
              <w:rPr>
                <w:rFonts w:ascii="Arial" w:hAnsi="Arial" w:cs="Arial"/>
                <w:sz w:val="16"/>
              </w:rPr>
            </w:pP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7C0147" w:rsidRDefault="007C0147">
            <w:pPr>
              <w:rPr>
                <w:rFonts w:ascii="Arial" w:hAnsi="Arial"/>
                <w:b/>
                <w:color w:val="0000FF"/>
                <w:sz w:val="20"/>
              </w:rPr>
            </w:pPr>
            <w:r>
              <w:rPr>
                <w:rFonts w:ascii="Arial" w:hAnsi="Arial"/>
                <w:b/>
                <w:color w:val="0000FF"/>
                <w:sz w:val="20"/>
              </w:rPr>
              <w:t xml:space="preserve">Alternate Methods </w:t>
            </w:r>
          </w:p>
        </w:tc>
        <w:tc>
          <w:tcPr>
            <w:tcW w:w="9376" w:type="dxa"/>
            <w:gridSpan w:val="8"/>
            <w:tcBorders>
              <w:top w:val="single" w:sz="4" w:space="0" w:color="auto"/>
              <w:bottom w:val="single" w:sz="4" w:space="0" w:color="auto"/>
              <w:right w:val="nil"/>
            </w:tcBorders>
          </w:tcPr>
          <w:p w:rsidR="007C0147" w:rsidRPr="007C0147" w:rsidRDefault="007C0147" w:rsidP="00A505A3">
            <w:pPr>
              <w:numPr>
                <w:ilvl w:val="0"/>
                <w:numId w:val="18"/>
              </w:numPr>
              <w:contextualSpacing/>
              <w:jc w:val="left"/>
              <w:rPr>
                <w:rFonts w:ascii="Arial" w:hAnsi="Arial" w:cs="Arial"/>
                <w:sz w:val="20"/>
                <w:szCs w:val="20"/>
              </w:rPr>
            </w:pPr>
            <w:r w:rsidRPr="007C0147">
              <w:rPr>
                <w:rFonts w:ascii="Arial" w:hAnsi="Arial" w:cs="Arial"/>
                <w:sz w:val="20"/>
                <w:szCs w:val="20"/>
              </w:rPr>
              <w:t xml:space="preserve">Mayo Medical Laboratory send out: </w:t>
            </w:r>
            <w:proofErr w:type="spellStart"/>
            <w:r w:rsidRPr="007C0147">
              <w:rPr>
                <w:rFonts w:ascii="Arial" w:hAnsi="Arial" w:cs="Arial"/>
                <w:sz w:val="20"/>
                <w:szCs w:val="20"/>
              </w:rPr>
              <w:t>Hologic</w:t>
            </w:r>
            <w:proofErr w:type="spellEnd"/>
            <w:r w:rsidRPr="007C0147">
              <w:rPr>
                <w:rFonts w:ascii="Arial" w:hAnsi="Arial" w:cs="Arial"/>
                <w:sz w:val="20"/>
                <w:szCs w:val="20"/>
              </w:rPr>
              <w:t xml:space="preserve"> </w:t>
            </w:r>
            <w:r w:rsidRPr="007C0147">
              <w:rPr>
                <w:rFonts w:ascii="Arial" w:hAnsi="Arial" w:cs="Arial"/>
                <w:i/>
                <w:sz w:val="20"/>
                <w:szCs w:val="20"/>
              </w:rPr>
              <w:t>Trichomonas vaginalis</w:t>
            </w:r>
            <w:r w:rsidRPr="007C0147">
              <w:rPr>
                <w:rFonts w:ascii="Arial" w:hAnsi="Arial" w:cs="Arial"/>
                <w:sz w:val="20"/>
                <w:szCs w:val="20"/>
              </w:rPr>
              <w:t xml:space="preserve"> Amplified RNA Assay (Mayo Medical Laboratories, collected in </w:t>
            </w:r>
            <w:proofErr w:type="spellStart"/>
            <w:r w:rsidRPr="007C0147">
              <w:rPr>
                <w:rFonts w:ascii="Arial" w:hAnsi="Arial" w:cs="Arial"/>
                <w:sz w:val="20"/>
                <w:szCs w:val="20"/>
              </w:rPr>
              <w:t>Aptima</w:t>
            </w:r>
            <w:proofErr w:type="spellEnd"/>
            <w:r w:rsidRPr="007C0147">
              <w:rPr>
                <w:rFonts w:ascii="Arial" w:hAnsi="Arial" w:cs="Arial"/>
                <w:sz w:val="20"/>
                <w:szCs w:val="20"/>
              </w:rPr>
              <w:t xml:space="preserve"> Collection Kit)</w:t>
            </w:r>
          </w:p>
          <w:p w:rsidR="007C0147" w:rsidRDefault="007C0147">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A505A3">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A505A3">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A505A3">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A505A3">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Julie Laramie</w:t>
            </w:r>
          </w:p>
        </w:tc>
        <w:tc>
          <w:tcPr>
            <w:tcW w:w="1803" w:type="dxa"/>
            <w:gridSpan w:val="2"/>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08/05/2019</w:t>
            </w:r>
          </w:p>
        </w:tc>
        <w:tc>
          <w:tcPr>
            <w:tcW w:w="3429" w:type="dxa"/>
            <w:gridSpan w:val="3"/>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Initial Version</w:t>
            </w: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Julie Laramie</w:t>
            </w:r>
          </w:p>
        </w:tc>
        <w:tc>
          <w:tcPr>
            <w:tcW w:w="1803" w:type="dxa"/>
            <w:gridSpan w:val="2"/>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11/04/2019</w:t>
            </w:r>
          </w:p>
        </w:tc>
        <w:tc>
          <w:tcPr>
            <w:tcW w:w="3429" w:type="dxa"/>
            <w:gridSpan w:val="3"/>
            <w:tcBorders>
              <w:top w:val="single" w:sz="4" w:space="0" w:color="auto"/>
              <w:left w:val="single" w:sz="4" w:space="0" w:color="auto"/>
              <w:bottom w:val="single" w:sz="4" w:space="0" w:color="auto"/>
              <w:right w:val="single" w:sz="4" w:space="0" w:color="auto"/>
            </w:tcBorders>
          </w:tcPr>
          <w:p w:rsidR="007C0147" w:rsidRDefault="007C0147" w:rsidP="007C0147">
            <w:pPr>
              <w:rPr>
                <w:rFonts w:ascii="Arial" w:hAnsi="Arial"/>
                <w:sz w:val="20"/>
              </w:rPr>
            </w:pPr>
            <w:r>
              <w:rPr>
                <w:rFonts w:ascii="Arial" w:hAnsi="Arial"/>
                <w:sz w:val="20"/>
              </w:rPr>
              <w:t>S</w:t>
            </w:r>
            <w:r w:rsidRPr="002D2C66">
              <w:rPr>
                <w:rFonts w:ascii="Arial" w:hAnsi="Arial"/>
                <w:sz w:val="20"/>
              </w:rPr>
              <w:t xml:space="preserve">witched from inverting to vortexing sample </w:t>
            </w: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r>
              <w:rPr>
                <w:rFonts w:ascii="Arial" w:hAnsi="Arial"/>
                <w:sz w:val="18"/>
                <w:szCs w:val="18"/>
              </w:rPr>
              <w:t>6/27/2022</w:t>
            </w:r>
          </w:p>
        </w:tc>
        <w:tc>
          <w:tcPr>
            <w:tcW w:w="3429" w:type="dxa"/>
            <w:gridSpan w:val="3"/>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r>
              <w:rPr>
                <w:rFonts w:ascii="Arial" w:hAnsi="Arial"/>
                <w:sz w:val="18"/>
                <w:szCs w:val="18"/>
              </w:rPr>
              <w:t xml:space="preserve">Updated to results auto-filing. </w:t>
            </w: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bCs/>
                <w:sz w:val="18"/>
                <w:szCs w:val="18"/>
              </w:rPr>
            </w:pPr>
          </w:p>
        </w:tc>
        <w:tc>
          <w:tcPr>
            <w:tcW w:w="2696" w:type="dxa"/>
          </w:tcPr>
          <w:p w:rsidR="007C0147" w:rsidRDefault="007C0147" w:rsidP="007C0147">
            <w:pPr>
              <w:jc w:val="left"/>
              <w:rPr>
                <w:rFonts w:ascii="Arial" w:hAnsi="Arial"/>
                <w:sz w:val="20"/>
              </w:rPr>
            </w:pPr>
          </w:p>
        </w:tc>
        <w:tc>
          <w:tcPr>
            <w:tcW w:w="2696" w:type="dxa"/>
          </w:tcPr>
          <w:p w:rsidR="007C0147" w:rsidRDefault="007C0147" w:rsidP="007C0147">
            <w:pPr>
              <w:jc w:val="left"/>
              <w:rPr>
                <w:rFonts w:ascii="Arial" w:hAnsi="Arial"/>
                <w:sz w:val="20"/>
              </w:rPr>
            </w:pP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r>
      <w:tr w:rsidR="007C014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C0147" w:rsidRDefault="007C0147" w:rsidP="007C0147">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C0147" w:rsidRPr="00541886" w:rsidRDefault="007C0147" w:rsidP="007C0147">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4"/>
      <w:footerReference w:type="default" r:id="rId2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872FB6">
      <w:rPr>
        <w:rFonts w:ascii="Arial" w:hAnsi="Arial"/>
        <w:noProof/>
        <w:sz w:val="16"/>
      </w:rPr>
      <w:t>8</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872FB6">
      <w:rPr>
        <w:rFonts w:ascii="Arial" w:hAnsi="Arial"/>
        <w:noProof/>
        <w:sz w:val="16"/>
      </w:rPr>
      <w:t>8</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074244"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074244">
      <w:rPr>
        <w:rFonts w:ascii="Arial" w:hAnsi="Arial"/>
        <w:sz w:val="18"/>
      </w:rPr>
      <w:t>MC 9.30 GeneXpert TV Assay</w:t>
    </w:r>
  </w:p>
  <w:p w:rsidR="007B1CE2" w:rsidRDefault="00074244">
    <w:pPr>
      <w:ind w:left="-1260" w:right="-1260"/>
      <w:rPr>
        <w:rFonts w:ascii="Arial" w:hAnsi="Arial"/>
        <w:sz w:val="18"/>
      </w:rPr>
    </w:pPr>
    <w:r>
      <w:rPr>
        <w:rFonts w:ascii="Arial" w:hAnsi="Arial"/>
        <w:sz w:val="18"/>
      </w:rPr>
      <w:t>Version 3</w:t>
    </w:r>
  </w:p>
  <w:p w:rsidR="007B1CE2" w:rsidRDefault="00074244">
    <w:pPr>
      <w:ind w:left="-1260" w:right="-1260"/>
      <w:rPr>
        <w:rFonts w:ascii="Arial" w:hAnsi="Arial"/>
        <w:sz w:val="18"/>
      </w:rPr>
    </w:pPr>
    <w:r>
      <w:rPr>
        <w:rFonts w:ascii="Arial" w:hAnsi="Arial"/>
        <w:sz w:val="18"/>
      </w:rPr>
      <w:t>Effective Date: 6/27/2022</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13975"/>
    <w:multiLevelType w:val="hybridMultilevel"/>
    <w:tmpl w:val="48C644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6"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4E2528"/>
    <w:multiLevelType w:val="hybridMultilevel"/>
    <w:tmpl w:val="4E207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629A3"/>
    <w:multiLevelType w:val="hybridMultilevel"/>
    <w:tmpl w:val="4E207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4"/>
  </w:num>
  <w:num w:numId="4">
    <w:abstractNumId w:val="6"/>
  </w:num>
  <w:num w:numId="5">
    <w:abstractNumId w:val="17"/>
  </w:num>
  <w:num w:numId="6">
    <w:abstractNumId w:val="15"/>
  </w:num>
  <w:num w:numId="7">
    <w:abstractNumId w:val="16"/>
  </w:num>
  <w:num w:numId="8">
    <w:abstractNumId w:val="5"/>
  </w:num>
  <w:num w:numId="9">
    <w:abstractNumId w:val="13"/>
  </w:num>
  <w:num w:numId="10">
    <w:abstractNumId w:val="10"/>
  </w:num>
  <w:num w:numId="11">
    <w:abstractNumId w:val="11"/>
  </w:num>
  <w:num w:numId="12">
    <w:abstractNumId w:val="2"/>
  </w:num>
  <w:num w:numId="13">
    <w:abstractNumId w:val="8"/>
  </w:num>
  <w:num w:numId="14">
    <w:abstractNumId w:val="9"/>
  </w:num>
  <w:num w:numId="15">
    <w:abstractNumId w:val="7"/>
  </w:num>
  <w:num w:numId="16">
    <w:abstractNumId w:val="20"/>
  </w:num>
  <w:num w:numId="17">
    <w:abstractNumId w:val="3"/>
  </w:num>
  <w:num w:numId="18">
    <w:abstractNumId w:val="19"/>
  </w:num>
  <w:num w:numId="19">
    <w:abstractNumId w:val="12"/>
  </w:num>
  <w:num w:numId="20">
    <w:abstractNumId w:val="18"/>
  </w:num>
  <w:num w:numId="21">
    <w:abstractNumId w:val="21"/>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74244"/>
    <w:rsid w:val="000B428A"/>
    <w:rsid w:val="00131035"/>
    <w:rsid w:val="00151FF7"/>
    <w:rsid w:val="0017354F"/>
    <w:rsid w:val="001B1C96"/>
    <w:rsid w:val="001B309C"/>
    <w:rsid w:val="002053E8"/>
    <w:rsid w:val="002203CB"/>
    <w:rsid w:val="002F2A95"/>
    <w:rsid w:val="002F2F51"/>
    <w:rsid w:val="00466A56"/>
    <w:rsid w:val="00490511"/>
    <w:rsid w:val="00494541"/>
    <w:rsid w:val="004A0608"/>
    <w:rsid w:val="004C10C8"/>
    <w:rsid w:val="004E2C72"/>
    <w:rsid w:val="00586BF1"/>
    <w:rsid w:val="005A2CDD"/>
    <w:rsid w:val="005E0385"/>
    <w:rsid w:val="006D65A4"/>
    <w:rsid w:val="00712778"/>
    <w:rsid w:val="007B1CE2"/>
    <w:rsid w:val="007C0147"/>
    <w:rsid w:val="007E7797"/>
    <w:rsid w:val="00827FEA"/>
    <w:rsid w:val="00846D75"/>
    <w:rsid w:val="00872FB6"/>
    <w:rsid w:val="008C24F7"/>
    <w:rsid w:val="008E0C2E"/>
    <w:rsid w:val="00927AD8"/>
    <w:rsid w:val="009429C5"/>
    <w:rsid w:val="009945CD"/>
    <w:rsid w:val="00A505A3"/>
    <w:rsid w:val="00A9657C"/>
    <w:rsid w:val="00AA1366"/>
    <w:rsid w:val="00AF441A"/>
    <w:rsid w:val="00B22AC9"/>
    <w:rsid w:val="00B40D76"/>
    <w:rsid w:val="00C13CC1"/>
    <w:rsid w:val="00C40263"/>
    <w:rsid w:val="00C551DE"/>
    <w:rsid w:val="00CE790C"/>
    <w:rsid w:val="00D01868"/>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C0147"/>
    <w:rPr>
      <w:rFonts w:asciiTheme="minorHAnsi" w:eastAsiaTheme="minorHAnsi" w:hAnsiTheme="minorHAns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cdc.gov/std/trichomonas/stats.htm" TargetMode="Externa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FE0C3-C5E7-485C-8506-0D0D1A7F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2745</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20097</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2009-06-27T01:51:00Z</cp:lastPrinted>
  <dcterms:created xsi:type="dcterms:W3CDTF">2022-06-08T18:13:00Z</dcterms:created>
  <dcterms:modified xsi:type="dcterms:W3CDTF">2022-06-08T19:02:00Z</dcterms:modified>
</cp:coreProperties>
</file>