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77"/>
        <w:gridCol w:w="1770"/>
        <w:gridCol w:w="930"/>
        <w:gridCol w:w="1620"/>
        <w:gridCol w:w="1950"/>
        <w:gridCol w:w="2333"/>
      </w:tblGrid>
      <w:tr w:rsidR="003404B6" w14:paraId="6998798D" w14:textId="77777777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98798B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Sickle Cell Patients Red Cell Orders</w:t>
            </w:r>
          </w:p>
          <w:p w14:paraId="6998798C" w14:textId="77777777" w:rsidR="003404B6" w:rsidRDefault="003404B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3404B6" w14:paraId="69987993" w14:textId="77777777">
        <w:trPr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98798E" w14:textId="77777777" w:rsidR="003404B6" w:rsidRDefault="003404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6998798F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9987990" w14:textId="77777777" w:rsidR="003404B6" w:rsidRDefault="003404B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9987991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This process describes how to </w:t>
            </w:r>
            <w:r>
              <w:rPr>
                <w:rFonts w:ascii="Arial" w:hAnsi="Arial" w:cs="Arial"/>
              </w:rPr>
              <w:t xml:space="preserve">provide red cells blood products that are negative for the Kell, E and C antigens and negative for Hgb S to patients with Sickle Cell Disease. </w:t>
            </w:r>
          </w:p>
          <w:p w14:paraId="69987992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404B6" w14:paraId="6998799F" w14:textId="77777777"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987994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9987995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69987996" w14:textId="77777777" w:rsidR="003404B6" w:rsidRDefault="003404B6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9987997" w14:textId="77777777" w:rsidR="003404B6" w:rsidRDefault="003404B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Patients with known Sickle Cell Diseases shall receive leukocyte reduced red cells meeting the following criteria for all non-emergency transfusions.</w:t>
            </w:r>
          </w:p>
          <w:p w14:paraId="69987998" w14:textId="77777777" w:rsidR="003404B6" w:rsidRDefault="003404B6">
            <w:pPr>
              <w:numPr>
                <w:ilvl w:val="1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Antigen negative for K, big C, and big E [unless the patient’s phenotype indicates the patient is K, C or E positive.]</w:t>
            </w:r>
          </w:p>
          <w:p w14:paraId="69987999" w14:textId="77777777" w:rsidR="003404B6" w:rsidRDefault="003404B6">
            <w:pPr>
              <w:numPr>
                <w:ilvl w:val="1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Negative for hemoglobin S.</w:t>
            </w:r>
          </w:p>
          <w:p w14:paraId="6998799A" w14:textId="77777777" w:rsidR="00FA5893" w:rsidRDefault="00FA5893">
            <w:pPr>
              <w:numPr>
                <w:ilvl w:val="1"/>
                <w:numId w:val="2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Red Cells ≤14 days</w:t>
            </w:r>
          </w:p>
          <w:p w14:paraId="6998799B" w14:textId="77777777" w:rsidR="003404B6" w:rsidRDefault="003404B6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Antigen typing and Hgb S testing may be performed by the blood center or by Children’s Transfusion Service. Note: Only Mpls Transfusion Service performs antigen typing in-house</w:t>
            </w:r>
          </w:p>
          <w:p w14:paraId="6998799C" w14:textId="77777777" w:rsidR="003404B6" w:rsidRDefault="003404B6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 minimum of one O Rh negative leukocyte red cell unit negative for Kell, C, and E antigen, and Hgb S negative shall be maintained in the Minneapolis blood inventory at all times.</w:t>
            </w:r>
          </w:p>
          <w:p w14:paraId="6998799D" w14:textId="77777777" w:rsidR="003404B6" w:rsidRDefault="003404B6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Antigen typing and Hgb S cell testing may be deferred in life-threatening emergency situations where the need for transfusion outweighs the benefits of these other requirements.</w:t>
            </w:r>
          </w:p>
          <w:p w14:paraId="6998799E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04B6" w14:paraId="699879A4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9879A0" w14:textId="77777777" w:rsidR="003404B6" w:rsidRDefault="003404B6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99879A1" w14:textId="77777777" w:rsidR="003404B6" w:rsidRDefault="003404B6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699879A2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A3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9A9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879A5" w14:textId="77777777" w:rsidR="003404B6" w:rsidRDefault="003404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699879A6" w14:textId="77777777" w:rsidR="003404B6" w:rsidRDefault="003404B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99879A7" w14:textId="77777777" w:rsidR="003404B6" w:rsidRDefault="003404B6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99879A8" w14:textId="77777777" w:rsidR="003404B6" w:rsidRDefault="003404B6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3404B6" w14:paraId="699879B1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9879AA" w14:textId="77777777" w:rsidR="003404B6" w:rsidRDefault="003404B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9AB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99879AC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Indicate in the patient’s BAD file the patient’s special needs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9879AD" w14:textId="77777777" w:rsidR="003404B6" w:rsidRDefault="003404B6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  <w:tab w:val="num" w:pos="870"/>
              </w:tabs>
              <w:ind w:left="245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Problem Patient comment </w:t>
            </w:r>
            <w:r>
              <w:rPr>
                <w:rFonts w:ascii="Arial" w:hAnsi="Arial" w:cs="Arial"/>
                <w:b/>
                <w:sz w:val="20"/>
              </w:rPr>
              <w:t>KECS-Use K neg, C neg, E neg, Sickle Negative Blood.</w:t>
            </w:r>
          </w:p>
          <w:p w14:paraId="699879AE" w14:textId="77777777" w:rsidR="003404B6" w:rsidRDefault="003404B6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Enter</w:t>
            </w:r>
            <w:r>
              <w:rPr>
                <w:rFonts w:ascii="Arial" w:hAnsi="Arial" w:cs="Arial"/>
                <w:b/>
                <w:sz w:val="20"/>
              </w:rPr>
              <w:t xml:space="preserve"> CEKS </w:t>
            </w:r>
            <w:r>
              <w:rPr>
                <w:rFonts w:ascii="Arial" w:hAnsi="Arial" w:cs="Arial"/>
                <w:bCs/>
                <w:sz w:val="20"/>
              </w:rPr>
              <w:t>into attribute field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14:paraId="699879AF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5.4 Making Changes to a Blood Administration Record</w:t>
            </w:r>
          </w:p>
          <w:p w14:paraId="699879B0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9C9" w14:textId="77777777">
        <w:trPr>
          <w:trHeight w:val="2775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9879B2" w14:textId="77777777" w:rsidR="003404B6" w:rsidRDefault="003404B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9B3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99879B4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inventory for K, C, E and HgbS negative tested units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nil"/>
            </w:tcBorders>
          </w:tcPr>
          <w:p w14:paraId="699879B5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4140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980"/>
            </w:tblGrid>
            <w:tr w:rsidR="003404B6" w14:paraId="699879B8" w14:textId="77777777">
              <w:trPr>
                <w:trHeight w:val="288"/>
              </w:trPr>
              <w:tc>
                <w:tcPr>
                  <w:tcW w:w="2160" w:type="dxa"/>
                  <w:shd w:val="clear" w:color="auto" w:fill="F3F3F3"/>
                  <w:vAlign w:val="center"/>
                </w:tcPr>
                <w:p w14:paraId="699879B6" w14:textId="77777777" w:rsidR="003404B6" w:rsidRDefault="003404B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1980" w:type="dxa"/>
                  <w:shd w:val="clear" w:color="auto" w:fill="F3F3F3"/>
                  <w:vAlign w:val="center"/>
                </w:tcPr>
                <w:p w14:paraId="699879B7" w14:textId="77777777" w:rsidR="003404B6" w:rsidRDefault="003404B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3404B6" w14:paraId="699879BB" w14:textId="77777777">
              <w:trPr>
                <w:trHeight w:val="288"/>
              </w:trPr>
              <w:tc>
                <w:tcPr>
                  <w:tcW w:w="2160" w:type="dxa"/>
                  <w:vAlign w:val="center"/>
                </w:tcPr>
                <w:p w14:paraId="699879B9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Product available and l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abeled </w:t>
                  </w:r>
                  <w:r>
                    <w:rPr>
                      <w:rFonts w:ascii="Arial" w:hAnsi="Arial" w:cs="Arial"/>
                    </w:rPr>
                    <w:t>as K, C, E and HgbS negative</w:t>
                  </w:r>
                </w:p>
              </w:tc>
              <w:tc>
                <w:tcPr>
                  <w:tcW w:w="1980" w:type="dxa"/>
                </w:tcPr>
                <w:p w14:paraId="699879BA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Proceed to step 4</w:t>
                  </w:r>
                </w:p>
              </w:tc>
            </w:tr>
            <w:tr w:rsidR="003404B6" w14:paraId="699879BE" w14:textId="77777777">
              <w:trPr>
                <w:trHeight w:val="288"/>
              </w:trPr>
              <w:tc>
                <w:tcPr>
                  <w:tcW w:w="2160" w:type="dxa"/>
                  <w:vAlign w:val="center"/>
                </w:tcPr>
                <w:p w14:paraId="699879BC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Historically antigen negative unit(s) available (Mpls)</w:t>
                  </w:r>
                </w:p>
              </w:tc>
              <w:tc>
                <w:tcPr>
                  <w:tcW w:w="1980" w:type="dxa"/>
                  <w:vAlign w:val="center"/>
                </w:tcPr>
                <w:p w14:paraId="699879BD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Proceed to step 3</w:t>
                  </w:r>
                </w:p>
              </w:tc>
            </w:tr>
            <w:tr w:rsidR="003404B6" w14:paraId="699879C1" w14:textId="77777777">
              <w:trPr>
                <w:trHeight w:val="288"/>
              </w:trPr>
              <w:tc>
                <w:tcPr>
                  <w:tcW w:w="2160" w:type="dxa"/>
                  <w:vAlign w:val="center"/>
                </w:tcPr>
                <w:p w14:paraId="699879BF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 available</w:t>
                  </w:r>
                </w:p>
              </w:tc>
              <w:tc>
                <w:tcPr>
                  <w:tcW w:w="1980" w:type="dxa"/>
                  <w:vAlign w:val="center"/>
                </w:tcPr>
                <w:p w14:paraId="699879C0" w14:textId="77777777" w:rsidR="003404B6" w:rsidRDefault="003404B6">
                  <w:pPr>
                    <w:pStyle w:val="Table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Order from blood center or screen for units</w:t>
                  </w:r>
                </w:p>
              </w:tc>
            </w:tr>
          </w:tbl>
          <w:p w14:paraId="699879C2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nil"/>
            </w:tcBorders>
          </w:tcPr>
          <w:p w14:paraId="699879C3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C4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C5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C6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7.3 Ordering Products-MBC</w:t>
            </w:r>
          </w:p>
          <w:p w14:paraId="699879C7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7.4 Ordering products-ARC</w:t>
            </w:r>
          </w:p>
          <w:p w14:paraId="699879C8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404B6" w14:paraId="699879D5" w14:textId="77777777">
        <w:trPr>
          <w:cantSplit/>
        </w:trPr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699879CA" w14:textId="77777777" w:rsidR="003404B6" w:rsidRDefault="003404B6">
            <w:pPr>
              <w:pStyle w:val="TableText"/>
              <w:rPr>
                <w:rFonts w:ascii="Arial" w:hAnsi="Arial" w:cs="Arial"/>
                <w:bCs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Adhere pink SICKLE NEGATIVE and NEGATIVE FOR K, C and E ANTIGEN labels on each unit upon receipt or completion of in-house testing.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9CB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699879CC" w14:textId="77777777" w:rsidR="003404B6" w:rsidRDefault="003404B6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antigen typing and Hgb S testing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nil"/>
            </w:tcBorders>
          </w:tcPr>
          <w:p w14:paraId="699879CD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unit attribute CEKS in BPE-Modify Unit Information for units testing negative.</w:t>
            </w:r>
          </w:p>
          <w:p w14:paraId="699879CE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CF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nil"/>
            </w:tcBorders>
          </w:tcPr>
          <w:p w14:paraId="699879D0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7.16 Sickle (Hgb S) Testing Red Cell Products</w:t>
            </w:r>
          </w:p>
          <w:p w14:paraId="699879D1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D2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TS 7.17</w:t>
            </w:r>
            <w:r>
              <w:rPr>
                <w:rFonts w:ascii="Arial" w:hAnsi="Arial" w:cs="Arial"/>
                <w:sz w:val="20"/>
              </w:rPr>
              <w:t xml:space="preserve"> Antigen Typing Red Cells Products</w:t>
            </w:r>
          </w:p>
          <w:p w14:paraId="699879D3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D4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7.20 Modifying BPE Information</w:t>
            </w:r>
          </w:p>
        </w:tc>
      </w:tr>
      <w:tr w:rsidR="003404B6" w14:paraId="699879DB" w14:textId="77777777">
        <w:trPr>
          <w:cantSplit/>
        </w:trPr>
        <w:tc>
          <w:tcPr>
            <w:tcW w:w="144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99879D6" w14:textId="77777777" w:rsidR="003404B6" w:rsidRDefault="003404B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9D7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9879D8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patient pre-transfusion testing as needed and allocate unit (s).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9879D9" w14:textId="77777777" w:rsidR="003404B6" w:rsidRDefault="003404B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Unit Tag comments: NKEC and NSIK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699879DA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9E9" w14:textId="77777777" w:rsidTr="00BB2722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9879DC" w14:textId="77777777" w:rsidR="003404B6" w:rsidRDefault="003404B6">
            <w:pPr>
              <w:pStyle w:val="TableText"/>
              <w:rPr>
                <w:rFonts w:ascii="Arial" w:hAnsi="Arial" w:cs="Arial"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Result test AO with antigen typing results-NKEL, NBGE, NBGC</w:t>
            </w:r>
          </w:p>
          <w:p w14:paraId="699879DD" w14:textId="77777777" w:rsidR="003404B6" w:rsidRDefault="003404B6">
            <w:pPr>
              <w:pStyle w:val="TableText"/>
            </w:pPr>
            <w:r>
              <w:rPr>
                <w:rFonts w:ascii="Arial" w:hAnsi="Arial" w:cs="Arial"/>
                <w:color w:val="3366FF"/>
                <w:sz w:val="18"/>
              </w:rPr>
              <w:t>Result MAI or ARCAG with number of tests -;3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879DE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9879DF" w14:textId="77777777" w:rsidR="003404B6" w:rsidRDefault="003404B6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for testing at product allocation, issue or release from allocation.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99879E0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SICT-Hgb S testing done by MBC [key M]</w:t>
            </w:r>
          </w:p>
          <w:p w14:paraId="699879E1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SICA-Hgb S testing done by ARC [key %]</w:t>
            </w:r>
          </w:p>
          <w:p w14:paraId="699879E2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SIC-Hgb S testing done in-house [enter test result as ;NEG]</w:t>
            </w:r>
          </w:p>
          <w:p w14:paraId="699879E3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MAI-Antigen typing done by MBC [enter number antigen tested per unit]</w:t>
            </w:r>
          </w:p>
          <w:p w14:paraId="699879E4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ARCAG-Antigen typing done by ARC [enter number antigen tested per unit]</w:t>
            </w:r>
          </w:p>
          <w:p w14:paraId="699879E5" w14:textId="77777777" w:rsidR="003404B6" w:rsidRDefault="003404B6">
            <w:pPr>
              <w:numPr>
                <w:ilvl w:val="0"/>
                <w:numId w:val="13"/>
              </w:numPr>
              <w:tabs>
                <w:tab w:val="clear" w:pos="720"/>
                <w:tab w:val="num" w:pos="245"/>
              </w:tabs>
              <w:ind w:left="2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AO-Antigen typing done in-house [enter antigen typing codes]</w:t>
            </w:r>
          </w:p>
          <w:p w14:paraId="699879E6" w14:textId="77777777" w:rsidR="003404B6" w:rsidRDefault="00340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(Credit codes: CSICT, CSICA, CSIC, CMAI, CANTG, CAO)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14:paraId="699879E7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  <w:p w14:paraId="699879E8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9F0" w14:textId="77777777" w:rsidTr="00BB2722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879EA" w14:textId="77777777" w:rsidR="003404B6" w:rsidRDefault="003404B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9EB" w14:textId="77777777" w:rsidR="003404B6" w:rsidRDefault="00340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9EC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 product until issue.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9ED" w14:textId="77777777" w:rsidR="003404B6" w:rsidRDefault="003404B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the patient care unit that the product</w:t>
            </w:r>
          </w:p>
          <w:p w14:paraId="699879EE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is ready.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879EF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7.18 Storage of Blood Products</w:t>
            </w:r>
          </w:p>
        </w:tc>
      </w:tr>
      <w:tr w:rsidR="00BB2722" w14:paraId="2816556D" w14:textId="77777777" w:rsidTr="00664C5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98B6A" w14:textId="77777777" w:rsidR="00BB2722" w:rsidRDefault="00BB2722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2795A" w14:textId="77777777" w:rsidR="00BB2722" w:rsidRDefault="00BB272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9F3" w14:textId="77777777" w:rsidTr="00BB2722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3F4E48" w14:textId="77777777" w:rsidR="003404B6" w:rsidRDefault="003404B6">
            <w:pPr>
              <w:rPr>
                <w:rFonts w:ascii="Arial" w:hAnsi="Arial" w:cs="Arial"/>
                <w:b/>
                <w:sz w:val="20"/>
              </w:rPr>
            </w:pPr>
          </w:p>
          <w:p w14:paraId="63AAF293" w14:textId="77777777" w:rsidR="00BB2722" w:rsidRDefault="00BB2722">
            <w:pPr>
              <w:rPr>
                <w:rFonts w:ascii="Arial" w:hAnsi="Arial" w:cs="Arial"/>
                <w:b/>
                <w:sz w:val="20"/>
              </w:rPr>
            </w:pPr>
          </w:p>
          <w:p w14:paraId="3028EA1D" w14:textId="77777777" w:rsidR="00BB2722" w:rsidRDefault="00BB2722">
            <w:pPr>
              <w:rPr>
                <w:rFonts w:ascii="Arial" w:hAnsi="Arial" w:cs="Arial"/>
                <w:b/>
                <w:sz w:val="20"/>
              </w:rPr>
            </w:pPr>
          </w:p>
          <w:p w14:paraId="699879F1" w14:textId="7B4D497F" w:rsidR="00BB2722" w:rsidRPr="00827CA9" w:rsidRDefault="00827CA9">
            <w:pPr>
              <w:rPr>
                <w:rFonts w:ascii="Arial" w:hAnsi="Arial" w:cs="Arial"/>
                <w:color w:val="0066FF"/>
                <w:sz w:val="18"/>
                <w:szCs w:val="18"/>
              </w:rPr>
            </w:pPr>
            <w:r w:rsidRPr="00827CA9">
              <w:rPr>
                <w:rFonts w:ascii="Arial" w:hAnsi="Arial" w:cs="Arial"/>
                <w:color w:val="0066FF"/>
                <w:sz w:val="18"/>
                <w:szCs w:val="18"/>
              </w:rPr>
              <w:t>RBCs volume communication to HOC</w:t>
            </w:r>
          </w:p>
        </w:tc>
        <w:tc>
          <w:tcPr>
            <w:tcW w:w="972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2"/>
              <w:gridCol w:w="8715"/>
            </w:tblGrid>
            <w:tr w:rsidR="00BB2722" w14:paraId="60ACB759" w14:textId="77777777" w:rsidTr="00BB2722">
              <w:trPr>
                <w:cantSplit/>
                <w:trHeight w:val="242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2CAA25EA" w14:textId="77777777" w:rsidR="00BB2722" w:rsidRDefault="00BB2722" w:rsidP="00BB272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167D5182" w14:textId="77777777" w:rsidR="00BB2722" w:rsidRDefault="00BB2722" w:rsidP="00BB2722">
                  <w:pPr>
                    <w:pStyle w:val="TableHeader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Action</w:t>
                  </w:r>
                </w:p>
              </w:tc>
            </w:tr>
            <w:tr w:rsidR="00BB2722" w14:paraId="198C80F0" w14:textId="77777777" w:rsidTr="00BB2722">
              <w:trPr>
                <w:cantSplit/>
                <w:trHeight w:val="242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2CA57" w14:textId="65697A37" w:rsidR="00BB2722" w:rsidRPr="00644B19" w:rsidRDefault="00BB2722" w:rsidP="00BB2722">
                  <w:pPr>
                    <w:jc w:val="center"/>
                    <w:rPr>
                      <w:rFonts w:ascii="Arial" w:hAnsi="Arial"/>
                      <w:bCs/>
                      <w:iCs/>
                      <w:sz w:val="20"/>
                    </w:rPr>
                  </w:pPr>
                  <w:r w:rsidRPr="00644B19">
                    <w:rPr>
                      <w:rFonts w:ascii="Arial" w:hAnsi="Arial"/>
                      <w:bCs/>
                      <w:iCs/>
                      <w:sz w:val="20"/>
                    </w:rPr>
                    <w:t>1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5809D" w14:textId="3F93BFDE" w:rsidR="00BB2722" w:rsidRDefault="00BB2722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/>
                      <w:bCs/>
                      <w:iCs/>
                      <w:sz w:val="20"/>
                    </w:rPr>
                    <w:t>Transfusion service</w:t>
                  </w:r>
                  <w:r w:rsidR="00644B19">
                    <w:rPr>
                      <w:rFonts w:ascii="Arial" w:hAnsi="Arial"/>
                      <w:bCs/>
                      <w:iCs/>
                      <w:sz w:val="20"/>
                    </w:rPr>
                    <w:t xml:space="preserve"> will</w:t>
                  </w:r>
                  <w:r>
                    <w:rPr>
                      <w:rFonts w:ascii="Arial" w:hAnsi="Arial"/>
                      <w:bCs/>
                      <w:iCs/>
                      <w:sz w:val="20"/>
                    </w:rPr>
                    <w:t xml:space="preserve"> place RBC order in BloodHub. Add all patient demographics into the BloodHub order.  Including patient’s full name and MRN.</w:t>
                  </w:r>
                </w:p>
                <w:p w14:paraId="72445E04" w14:textId="77777777" w:rsidR="00BB2722" w:rsidRDefault="00BB2722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</w:p>
                <w:p w14:paraId="4F1952DB" w14:textId="4E348632" w:rsidR="00BB2722" w:rsidRPr="00BB2722" w:rsidRDefault="00BB2722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00D14B0" wp14:editId="16EC44C4">
                        <wp:extent cx="4915732" cy="224286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380" cy="2250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2722" w14:paraId="189D75D2" w14:textId="77777777" w:rsidTr="00BB2722">
              <w:trPr>
                <w:cantSplit/>
                <w:trHeight w:val="290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B47D0" w14:textId="22348CA7" w:rsidR="00BB2722" w:rsidRPr="00644B19" w:rsidRDefault="00644B19" w:rsidP="00BB2722">
                  <w:pPr>
                    <w:jc w:val="center"/>
                    <w:rPr>
                      <w:rFonts w:ascii="Arial" w:hAnsi="Arial"/>
                      <w:bCs/>
                      <w:iCs/>
                      <w:sz w:val="20"/>
                    </w:rPr>
                  </w:pPr>
                  <w:r w:rsidRPr="00644B19">
                    <w:rPr>
                      <w:rFonts w:ascii="Arial" w:hAnsi="Arial"/>
                      <w:bCs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446D" w14:textId="7BA0369A" w:rsidR="00BB2722" w:rsidRDefault="00644B19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/>
                      <w:bCs/>
                      <w:iCs/>
                      <w:sz w:val="20"/>
                    </w:rPr>
                    <w:t xml:space="preserve">When RBCs are received, weigh the units, write volumes next to the units received for the patient and place </w:t>
                  </w:r>
                  <w:r w:rsidR="00462DC6">
                    <w:rPr>
                      <w:rFonts w:ascii="Arial" w:hAnsi="Arial"/>
                      <w:bCs/>
                      <w:iCs/>
                      <w:sz w:val="20"/>
                    </w:rPr>
                    <w:t>sheets</w:t>
                  </w:r>
                  <w:r>
                    <w:rPr>
                      <w:rFonts w:ascii="Arial" w:hAnsi="Arial"/>
                      <w:bCs/>
                      <w:iCs/>
                      <w:sz w:val="20"/>
                    </w:rPr>
                    <w:t xml:space="preserve"> into the file</w:t>
                  </w:r>
                  <w:r w:rsidR="002E5806">
                    <w:rPr>
                      <w:rFonts w:ascii="Arial" w:hAnsi="Arial"/>
                      <w:bCs/>
                      <w:iCs/>
                      <w:sz w:val="20"/>
                    </w:rPr>
                    <w:t xml:space="preserve"> folder next to the pneumatic tube station. Continue entering the units into Sunquest per procedure TS 7.08 Entering Products into Sunquest.</w:t>
                  </w:r>
                </w:p>
                <w:p w14:paraId="34C8F9D7" w14:textId="7EEFE683" w:rsidR="00644B19" w:rsidRDefault="00644B19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6B1AD0" wp14:editId="5772B4EF">
                        <wp:extent cx="5396865" cy="385600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7074" cy="3863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3EBB20" w14:textId="4FC97C6D" w:rsidR="00644B19" w:rsidRPr="00644B19" w:rsidRDefault="00644B19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</w:p>
              </w:tc>
            </w:tr>
            <w:tr w:rsidR="00BB2722" w14:paraId="1DD96F5E" w14:textId="77777777" w:rsidTr="00BB2722">
              <w:trPr>
                <w:cantSplit/>
                <w:trHeight w:val="242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DBFCC" w14:textId="5EC89625" w:rsidR="00BB2722" w:rsidRPr="00644B19" w:rsidRDefault="002E5806" w:rsidP="00BB2722">
                  <w:pPr>
                    <w:jc w:val="center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/>
                      <w:bCs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3E307" w14:textId="111F107C" w:rsidR="00BB2722" w:rsidRPr="00644B19" w:rsidRDefault="002E5806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/>
                      <w:bCs/>
                      <w:iCs/>
                      <w:sz w:val="20"/>
                    </w:rPr>
                    <w:t>Day of the patient’s transfusion, tube all MBC order sheets for the patients that are having transfusion that day before 8:30am to HOC.</w:t>
                  </w:r>
                </w:p>
              </w:tc>
            </w:tr>
            <w:tr w:rsidR="002E5806" w14:paraId="290BEA01" w14:textId="77777777" w:rsidTr="00BB2722">
              <w:trPr>
                <w:cantSplit/>
                <w:trHeight w:val="242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0DFE" w14:textId="491CE714" w:rsidR="002E5806" w:rsidRDefault="002E5806" w:rsidP="00BB2722">
                  <w:pPr>
                    <w:jc w:val="center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/>
                      <w:bCs/>
                      <w:iCs/>
                      <w:sz w:val="20"/>
                    </w:rPr>
                    <w:t>4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59E05" w14:textId="274D1B34" w:rsidR="002E5806" w:rsidRDefault="002E5806" w:rsidP="00BB2722">
                  <w:pPr>
                    <w:jc w:val="left"/>
                    <w:rPr>
                      <w:rFonts w:ascii="Arial" w:hAnsi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/>
                      <w:bCs/>
                      <w:iCs/>
                      <w:sz w:val="20"/>
                    </w:rPr>
                    <w:t>Providers will determine the volume to be transfusion to patient, if the volume to be transfused deviates from what is ordered the provider will place a Blood Bank Communication order stating the volume to be transfused.</w:t>
                  </w:r>
                </w:p>
              </w:tc>
            </w:tr>
          </w:tbl>
          <w:p w14:paraId="699879F2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04B6" w14:paraId="699879F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699879F4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99879F5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699879F6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699879F7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99879F8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14:paraId="699879F9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99879FA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404B6" w14:paraId="699879F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699879FC" w14:textId="77777777" w:rsidR="003404B6" w:rsidRDefault="003404B6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699879FD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3404B6" w14:paraId="69987A0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14:paraId="699879FF" w14:textId="77777777" w:rsidR="003404B6" w:rsidRDefault="003404B6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00" w14:textId="77777777" w:rsidR="003404B6" w:rsidRDefault="003404B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1" w14:textId="77777777" w:rsidR="003404B6" w:rsidRDefault="003404B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2" w14:textId="77777777" w:rsidR="003404B6" w:rsidRDefault="003404B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3" w14:textId="77777777" w:rsidR="003404B6" w:rsidRDefault="003404B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404B6" w14:paraId="69987A0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69987A05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06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7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 Busall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8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9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3404B6" w14:paraId="69987A1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69987A0B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0C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D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E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9/14/1999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0F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3404B6" w14:paraId="69987A1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69987A11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12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3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4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7/01/2002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5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404B6" w14:paraId="69987A1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69987A17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18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9" w14:textId="77777777" w:rsidR="003404B6" w:rsidRDefault="003404B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A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11/25/2008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B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format, SICA billing</w:t>
            </w:r>
          </w:p>
        </w:tc>
      </w:tr>
      <w:tr w:rsidR="003404B6" w14:paraId="69987A2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69987A1D" w14:textId="77777777" w:rsidR="003404B6" w:rsidRDefault="003404B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1E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1F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20" w14:textId="77777777" w:rsidR="003404B6" w:rsidRDefault="003404B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21" w14:textId="77777777" w:rsidR="003404B6" w:rsidRDefault="003404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Billing code changes for antigen typing.</w:t>
            </w:r>
          </w:p>
        </w:tc>
      </w:tr>
      <w:tr w:rsidR="00FA5893" w14:paraId="69987A28" w14:textId="77777777" w:rsidTr="00827C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14:paraId="69987A23" w14:textId="77777777" w:rsidR="00FA5893" w:rsidRDefault="00FA589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987A24" w14:textId="77777777" w:rsidR="00FA5893" w:rsidRDefault="00FA589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25" w14:textId="77777777" w:rsidR="00FA5893" w:rsidRDefault="00FA58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26" w14:textId="77777777" w:rsidR="00FA5893" w:rsidRDefault="00FA589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12/01/15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A27" w14:textId="77777777" w:rsidR="00FA5893" w:rsidRDefault="00FA589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age limit of RBCs</w:t>
            </w:r>
          </w:p>
        </w:tc>
      </w:tr>
      <w:tr w:rsidR="00827CA9" w14:paraId="767ACDD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14:paraId="7FEEBB9F" w14:textId="77777777" w:rsidR="00827CA9" w:rsidRDefault="00827CA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A0D0FB" w14:textId="603745C9" w:rsidR="00827CA9" w:rsidRDefault="00827CA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75F" w14:textId="27EB9AB0" w:rsidR="00827CA9" w:rsidRDefault="00827CA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519" w14:textId="149A1467" w:rsidR="00827CA9" w:rsidRDefault="00827CA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08/19/2022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C20" w14:textId="351E8895" w:rsidR="00827CA9" w:rsidRDefault="00827CA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steps to handle HOC notification of blood volumes</w:t>
            </w:r>
          </w:p>
        </w:tc>
      </w:tr>
    </w:tbl>
    <w:p w14:paraId="69987A29" w14:textId="77777777" w:rsidR="003404B6" w:rsidRDefault="003404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3404B6" w:rsidSect="0006184D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87A2C" w14:textId="77777777" w:rsidR="003404B6" w:rsidRDefault="003404B6">
      <w:r>
        <w:separator/>
      </w:r>
    </w:p>
  </w:endnote>
  <w:endnote w:type="continuationSeparator" w:id="0">
    <w:p w14:paraId="69987A2D" w14:textId="77777777" w:rsidR="003404B6" w:rsidRDefault="003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7A3B" w14:textId="77777777" w:rsidR="003404B6" w:rsidRDefault="003404B6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06184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06184D">
      <w:rPr>
        <w:rFonts w:ascii="Arial" w:hAnsi="Arial" w:cs="Arial"/>
        <w:sz w:val="16"/>
      </w:rPr>
      <w:fldChar w:fldCharType="separate"/>
    </w:r>
    <w:r w:rsidR="00A56E49">
      <w:rPr>
        <w:rFonts w:ascii="Arial" w:hAnsi="Arial" w:cs="Arial"/>
        <w:noProof/>
        <w:sz w:val="16"/>
      </w:rPr>
      <w:t>3</w:t>
    </w:r>
    <w:r w:rsidR="0006184D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06184D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06184D">
      <w:rPr>
        <w:rFonts w:ascii="Arial" w:hAnsi="Arial" w:cs="Arial"/>
        <w:sz w:val="16"/>
      </w:rPr>
      <w:fldChar w:fldCharType="separate"/>
    </w:r>
    <w:r w:rsidR="00A56E49">
      <w:rPr>
        <w:rFonts w:ascii="Arial" w:hAnsi="Arial" w:cs="Arial"/>
        <w:noProof/>
        <w:sz w:val="16"/>
      </w:rPr>
      <w:t>3</w:t>
    </w:r>
    <w:r w:rsidR="0006184D">
      <w:rPr>
        <w:rFonts w:ascii="Arial" w:hAnsi="Arial" w:cs="Arial"/>
        <w:sz w:val="16"/>
      </w:rPr>
      <w:fldChar w:fldCharType="end"/>
    </w:r>
  </w:p>
  <w:p w14:paraId="69987A3C" w14:textId="77777777" w:rsidR="003404B6" w:rsidRDefault="003404B6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87A2A" w14:textId="77777777" w:rsidR="003404B6" w:rsidRDefault="003404B6">
      <w:r>
        <w:separator/>
      </w:r>
    </w:p>
  </w:footnote>
  <w:footnote w:type="continuationSeparator" w:id="0">
    <w:p w14:paraId="69987A2B" w14:textId="77777777" w:rsidR="003404B6" w:rsidRDefault="0034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7A2E" w14:textId="77777777" w:rsidR="003404B6" w:rsidRDefault="00A56E49">
    <w:pPr>
      <w:pStyle w:val="Header"/>
    </w:pPr>
    <w:r>
      <w:rPr>
        <w:noProof/>
      </w:rPr>
      <w:pict w14:anchorId="69987A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3404B6" w14:paraId="69987A31" w14:textId="77777777">
      <w:trPr>
        <w:cantSplit/>
        <w:trHeight w:val="245"/>
      </w:trPr>
      <w:tc>
        <w:tcPr>
          <w:tcW w:w="5760" w:type="dxa"/>
        </w:tcPr>
        <w:p w14:paraId="69987A2F" w14:textId="77777777" w:rsidR="003404B6" w:rsidRDefault="003404B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Sickle Cell Patients Red Cell Orders</w:t>
          </w:r>
        </w:p>
      </w:tc>
      <w:tc>
        <w:tcPr>
          <w:tcW w:w="5580" w:type="dxa"/>
          <w:vMerge w:val="restart"/>
        </w:tcPr>
        <w:p w14:paraId="69987A30" w14:textId="77777777" w:rsidR="003404B6" w:rsidRDefault="004643FC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 wp14:anchorId="69987A40" wp14:editId="69987A41">
                <wp:extent cx="1209675" cy="3714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</w:t>
          </w:r>
          <w:r w:rsidR="003404B6">
            <w:t xml:space="preserve">                                                                    </w:t>
          </w:r>
        </w:p>
      </w:tc>
    </w:tr>
    <w:tr w:rsidR="003404B6" w14:paraId="69987A34" w14:textId="77777777">
      <w:trPr>
        <w:cantSplit/>
        <w:trHeight w:val="245"/>
      </w:trPr>
      <w:tc>
        <w:tcPr>
          <w:tcW w:w="5760" w:type="dxa"/>
        </w:tcPr>
        <w:p w14:paraId="69987A32" w14:textId="1E3F37AD" w:rsidR="003404B6" w:rsidRDefault="003404B6" w:rsidP="00827CA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3.16 Version </w:t>
          </w:r>
          <w:r w:rsidR="00827CA9">
            <w:rPr>
              <w:rFonts w:ascii="Arial" w:hAnsi="Arial" w:cs="Arial"/>
              <w:sz w:val="18"/>
            </w:rPr>
            <w:t>7</w:t>
          </w:r>
        </w:p>
      </w:tc>
      <w:tc>
        <w:tcPr>
          <w:tcW w:w="5580" w:type="dxa"/>
          <w:vMerge/>
        </w:tcPr>
        <w:p w14:paraId="69987A33" w14:textId="77777777" w:rsidR="003404B6" w:rsidRDefault="003404B6">
          <w:pPr>
            <w:pStyle w:val="Header"/>
            <w:tabs>
              <w:tab w:val="clear" w:pos="8640"/>
            </w:tabs>
          </w:pPr>
        </w:p>
      </w:tc>
    </w:tr>
    <w:tr w:rsidR="003404B6" w14:paraId="69987A37" w14:textId="77777777">
      <w:trPr>
        <w:cantSplit/>
        <w:trHeight w:val="245"/>
      </w:trPr>
      <w:tc>
        <w:tcPr>
          <w:tcW w:w="5760" w:type="dxa"/>
        </w:tcPr>
        <w:p w14:paraId="69987A35" w14:textId="2AFB8FD9" w:rsidR="003404B6" w:rsidRDefault="003404B6" w:rsidP="00827CA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827CA9">
            <w:rPr>
              <w:rFonts w:ascii="Arial" w:hAnsi="Arial" w:cs="Arial"/>
              <w:sz w:val="18"/>
            </w:rPr>
            <w:t>08/19/2022</w:t>
          </w:r>
        </w:p>
      </w:tc>
      <w:tc>
        <w:tcPr>
          <w:tcW w:w="5580" w:type="dxa"/>
          <w:vMerge/>
        </w:tcPr>
        <w:p w14:paraId="69987A36" w14:textId="77777777" w:rsidR="003404B6" w:rsidRDefault="003404B6">
          <w:pPr>
            <w:pStyle w:val="Header"/>
            <w:tabs>
              <w:tab w:val="clear" w:pos="8640"/>
            </w:tabs>
          </w:pPr>
        </w:p>
      </w:tc>
    </w:tr>
  </w:tbl>
  <w:p w14:paraId="69987A38" w14:textId="77777777" w:rsidR="003404B6" w:rsidRDefault="003404B6">
    <w:pPr>
      <w:pStyle w:val="Header"/>
      <w:rPr>
        <w:rFonts w:ascii="Calibri" w:hAnsi="Calibri"/>
        <w:b/>
        <w:bCs/>
        <w:sz w:val="16"/>
      </w:rPr>
    </w:pPr>
  </w:p>
  <w:p w14:paraId="69987A39" w14:textId="77777777" w:rsidR="003404B6" w:rsidRDefault="003404B6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7A3D" w14:textId="77777777" w:rsidR="003404B6" w:rsidRDefault="00A56E49">
    <w:pPr>
      <w:pStyle w:val="Header"/>
    </w:pPr>
    <w:r>
      <w:rPr>
        <w:noProof/>
      </w:rPr>
      <w:pict w14:anchorId="69987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54C"/>
    <w:multiLevelType w:val="singleLevel"/>
    <w:tmpl w:val="8708D268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3" w15:restartNumberingAfterBreak="0">
    <w:nsid w:val="21060C2F"/>
    <w:multiLevelType w:val="multilevel"/>
    <w:tmpl w:val="2C9EFB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E0D96"/>
    <w:multiLevelType w:val="hybridMultilevel"/>
    <w:tmpl w:val="CC52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6D01D1"/>
    <w:multiLevelType w:val="hybridMultilevel"/>
    <w:tmpl w:val="98F69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126B"/>
    <w:multiLevelType w:val="multilevel"/>
    <w:tmpl w:val="CA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5FA9"/>
    <w:multiLevelType w:val="hybridMultilevel"/>
    <w:tmpl w:val="2C9EFB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30D07"/>
    <w:multiLevelType w:val="hybridMultilevel"/>
    <w:tmpl w:val="CEEA5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2C44"/>
    <w:multiLevelType w:val="hybridMultilevel"/>
    <w:tmpl w:val="C4C41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A78BB"/>
    <w:multiLevelType w:val="hybridMultilevel"/>
    <w:tmpl w:val="D3CCE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93"/>
    <w:rsid w:val="0006184D"/>
    <w:rsid w:val="002E5806"/>
    <w:rsid w:val="003404B6"/>
    <w:rsid w:val="00462DC6"/>
    <w:rsid w:val="004643FC"/>
    <w:rsid w:val="004A0E3E"/>
    <w:rsid w:val="00644B19"/>
    <w:rsid w:val="00827CA9"/>
    <w:rsid w:val="00A0258E"/>
    <w:rsid w:val="00A56E49"/>
    <w:rsid w:val="00BB2722"/>
    <w:rsid w:val="00E310B6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98798B"/>
  <w15:docId w15:val="{3BC34B61-69CD-488C-A050-C073FD7F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4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6184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6184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6184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6184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6184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6184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6184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6184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184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184D"/>
    <w:rPr>
      <w:bCs/>
      <w:iCs/>
      <w:color w:val="000000"/>
    </w:rPr>
  </w:style>
  <w:style w:type="paragraph" w:styleId="Header">
    <w:name w:val="header"/>
    <w:basedOn w:val="Normal"/>
    <w:semiHidden/>
    <w:rsid w:val="0006184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6184D"/>
    <w:pPr>
      <w:ind w:left="360" w:hanging="360"/>
    </w:pPr>
  </w:style>
  <w:style w:type="paragraph" w:styleId="Title">
    <w:name w:val="Title"/>
    <w:basedOn w:val="Normal"/>
    <w:qFormat/>
    <w:rsid w:val="0006184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6184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6184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6184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6184D"/>
    <w:pPr>
      <w:numPr>
        <w:numId w:val="0"/>
      </w:numPr>
    </w:pPr>
  </w:style>
  <w:style w:type="paragraph" w:customStyle="1" w:styleId="TableText">
    <w:name w:val="Table Text"/>
    <w:basedOn w:val="Normal"/>
    <w:rsid w:val="0006184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6184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6184D"/>
    <w:rPr>
      <w:b/>
      <w:color w:val="0000FF"/>
    </w:rPr>
  </w:style>
  <w:style w:type="paragraph" w:styleId="BodyTextIndent">
    <w:name w:val="Body Text Indent"/>
    <w:basedOn w:val="Normal"/>
    <w:semiHidden/>
    <w:rsid w:val="0006184D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2023-04-01T05:00:00+00:00</Renewal_x0020_Date>
    <Related_x0020_Documents xmlns="199f0838-75a6-4f0c-9be1-f2c07140bccc" xsi:nil="true"/>
    <Legacy_x0020_Name xmlns="199f0838-75a6-4f0c-9be1-f2c07140bccc">TS 3.16 Sickle Cell Patients Red Cell Orders.DOC</Legacy_x0020_Name>
    <Legacy_x0020_Document_x0020_ID xmlns="199f0838-75a6-4f0c-9be1-f2c07140bccc">202204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F6TN54CWY5RS-50183619-31218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https://vcpsharepoint4.childrenshc.org/references/_layouts/15/DocIdRedir.aspx?ID=F6TN54CWY5RS-50183619-31218</Url>
      <Description>F6TN54CWY5RS-50183619-31218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3.16   Sickle Cell Patients Red Cell Orders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2015-11-30T18:02:00+00:00</_DCDateCreated>
    <Owner xmlns="http://schemas.microsoft.com/sharepoint/v3">BB</Owner>
    <Summary xmlns="199f0838-75a6-4f0c-9be1-f2c07140bccc">Original release: 3/28/12</Summary>
    <SubTitle xmlns="199f0838-75a6-4f0c-9be1-f2c07140bccc" xsi:nil="true"/>
    <Content_x0020_Release_x0020_Date xmlns="199f0838-75a6-4f0c-9be1-f2c07140bccc">2015-12-01T06:00:00+00:00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AFD54-3685-411B-8EBD-E80D8343AA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1E096-86AA-4019-8329-B583D3C8A1D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199f0838-75a6-4f0c-9be1-f2c07140bccc"/>
    <ds:schemaRef ds:uri="http://purl.org/dc/elements/1.1/"/>
    <ds:schemaRef ds:uri="c1848e11-9cf6-4ce4-877e-6837d2c2fa23"/>
    <ds:schemaRef ds:uri="http://purl.org/dc/terms/"/>
    <ds:schemaRef ds:uri="http://schemas.microsoft.com/sharepoint.v3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28B1A-1F25-4EAB-9F66-2DDDA95FD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9D307-16A5-4FBF-A91A-25C45F2E9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3.16   Sickle Cell Patients Red Cell Orders]</vt:lpstr>
    </vt:vector>
  </TitlesOfParts>
  <Company>***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3.16   Sickle Cell Patients Red Cell Orders]</dc:title>
  <dc:subject/>
  <dc:creator>CE005489</dc:creator>
  <cp:keywords/>
  <dc:description>Reviewd by S. Cassidy on 5/6/2021</dc:description>
  <cp:lastModifiedBy>Sandy Cassidy</cp:lastModifiedBy>
  <cp:revision>2</cp:revision>
  <cp:lastPrinted>2011-05-17T22:24:00Z</cp:lastPrinted>
  <dcterms:created xsi:type="dcterms:W3CDTF">2022-07-28T16:55:00Z</dcterms:created>
  <dcterms:modified xsi:type="dcterms:W3CDTF">2022-07-28T16:55:00Z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7f2b5e29-e161-493c-abc4-e6eeae49206b</vt:lpwstr>
  </property>
  <property fmtid="{D5CDD505-2E9C-101B-9397-08002B2CF9AE}" pid="4" name="WorkflowChangePath">
    <vt:lpwstr>a8d28c1c-6954-4ce7-8b3c-93c4392a3501,21;a8d28c1c-6954-4ce7-8b3c-93c4392a3501,25;a8d28c1c-6954-4ce7-8b3c-93c4392a3501,27;</vt:lpwstr>
  </property>
</Properties>
</file>