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9182"/>
      </w:tblGrid>
      <w:tr w:rsidR="00A66633" w:rsidRPr="0088269F">
        <w:trPr>
          <w:cantSplit/>
        </w:trPr>
        <w:tc>
          <w:tcPr>
            <w:tcW w:w="10980" w:type="dxa"/>
            <w:gridSpan w:val="2"/>
            <w:tcBorders>
              <w:top w:val="nil"/>
              <w:left w:val="nil"/>
              <w:bottom w:val="nil"/>
              <w:right w:val="nil"/>
            </w:tcBorders>
          </w:tcPr>
          <w:p w:rsidR="00A66633" w:rsidRPr="0088269F" w:rsidRDefault="00052DD9">
            <w:pPr>
              <w:rPr>
                <w:rFonts w:ascii="Arial" w:hAnsi="Arial" w:cs="Arial"/>
                <w:b/>
                <w:bCs/>
                <w:color w:val="0000FF"/>
                <w:sz w:val="36"/>
              </w:rPr>
            </w:pPr>
            <w:r>
              <w:rPr>
                <w:rFonts w:ascii="Arial" w:hAnsi="Arial" w:cs="Arial"/>
                <w:b/>
                <w:bCs/>
                <w:color w:val="0000FF"/>
                <w:sz w:val="36"/>
              </w:rPr>
              <w:t>QuantiFERON</w:t>
            </w:r>
            <w:r w:rsidR="00B719AB">
              <w:rPr>
                <w:rFonts w:ascii="Arial" w:hAnsi="Arial" w:cs="Arial"/>
                <w:b/>
                <w:bCs/>
                <w:color w:val="0000FF"/>
                <w:sz w:val="36"/>
              </w:rPr>
              <w:t xml:space="preserve"> Collection and Processing</w:t>
            </w:r>
          </w:p>
          <w:p w:rsidR="00A66633" w:rsidRPr="0088269F" w:rsidRDefault="00A66633">
            <w:pPr>
              <w:pStyle w:val="BodyText"/>
              <w:rPr>
                <w:rFonts w:ascii="Arial" w:hAnsi="Arial" w:cs="Arial"/>
                <w:sz w:val="20"/>
              </w:rPr>
            </w:pPr>
          </w:p>
        </w:tc>
      </w:tr>
      <w:tr w:rsidR="00A66633" w:rsidRPr="0088269F" w:rsidTr="00BB59B3">
        <w:trPr>
          <w:cantSplit/>
          <w:trHeight w:val="818"/>
        </w:trPr>
        <w:tc>
          <w:tcPr>
            <w:tcW w:w="1798" w:type="dxa"/>
            <w:tcBorders>
              <w:top w:val="nil"/>
              <w:left w:val="nil"/>
              <w:bottom w:val="nil"/>
              <w:right w:val="nil"/>
            </w:tcBorders>
          </w:tcPr>
          <w:p w:rsidR="00A66633" w:rsidRPr="0088269F" w:rsidRDefault="00A66633">
            <w:pPr>
              <w:rPr>
                <w:rFonts w:ascii="Arial" w:hAnsi="Arial" w:cs="Arial"/>
                <w:b/>
                <w:bCs/>
                <w:color w:val="0000FF"/>
                <w:sz w:val="20"/>
              </w:rPr>
            </w:pP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Purpose</w:t>
            </w:r>
          </w:p>
        </w:tc>
        <w:tc>
          <w:tcPr>
            <w:tcW w:w="9182" w:type="dxa"/>
            <w:tcBorders>
              <w:top w:val="single" w:sz="18" w:space="0" w:color="BFBFBF"/>
              <w:left w:val="nil"/>
              <w:bottom w:val="single" w:sz="18" w:space="0" w:color="BFBFBF"/>
              <w:right w:val="nil"/>
            </w:tcBorders>
          </w:tcPr>
          <w:p w:rsidR="00A66633" w:rsidRPr="0088269F" w:rsidRDefault="00A66633">
            <w:pPr>
              <w:rPr>
                <w:rFonts w:ascii="Arial" w:hAnsi="Arial" w:cs="Arial"/>
                <w:sz w:val="20"/>
              </w:rPr>
            </w:pPr>
          </w:p>
          <w:p w:rsidR="00A66633" w:rsidRPr="0088269F" w:rsidRDefault="00A66633" w:rsidP="00B719AB">
            <w:pPr>
              <w:rPr>
                <w:rFonts w:ascii="Arial" w:hAnsi="Arial" w:cs="Arial"/>
                <w:sz w:val="20"/>
              </w:rPr>
            </w:pPr>
            <w:r w:rsidRPr="0088269F">
              <w:rPr>
                <w:rFonts w:ascii="Arial" w:hAnsi="Arial" w:cs="Arial"/>
                <w:sz w:val="20"/>
              </w:rPr>
              <w:t xml:space="preserve">This procedure provides instructions for </w:t>
            </w:r>
            <w:r w:rsidR="00B719AB">
              <w:rPr>
                <w:rFonts w:ascii="Arial" w:hAnsi="Arial" w:cs="Arial"/>
                <w:sz w:val="20"/>
              </w:rPr>
              <w:t>collection and processing of</w:t>
            </w:r>
            <w:r w:rsidRPr="0088269F">
              <w:rPr>
                <w:rFonts w:ascii="Arial" w:hAnsi="Arial" w:cs="Arial"/>
                <w:sz w:val="20"/>
              </w:rPr>
              <w:t xml:space="preserve"> </w:t>
            </w:r>
            <w:r w:rsidR="00A54476">
              <w:rPr>
                <w:rFonts w:ascii="Arial" w:hAnsi="Arial" w:cs="Arial"/>
                <w:sz w:val="20"/>
              </w:rPr>
              <w:t>QuantiFERON</w:t>
            </w:r>
            <w:r w:rsidRPr="0088269F">
              <w:rPr>
                <w:rFonts w:ascii="Arial" w:hAnsi="Arial" w:cs="Arial"/>
                <w:sz w:val="20"/>
              </w:rPr>
              <w:t xml:space="preserve"> </w:t>
            </w:r>
            <w:r w:rsidR="00417CAE">
              <w:rPr>
                <w:rFonts w:ascii="Arial" w:hAnsi="Arial" w:cs="Arial"/>
                <w:sz w:val="20"/>
              </w:rPr>
              <w:t xml:space="preserve">TB Gold Plus </w:t>
            </w:r>
            <w:r w:rsidR="00B719AB">
              <w:rPr>
                <w:rFonts w:ascii="Arial" w:hAnsi="Arial" w:cs="Arial"/>
                <w:sz w:val="20"/>
              </w:rPr>
              <w:t>samples for</w:t>
            </w:r>
            <w:r w:rsidRPr="0088269F">
              <w:rPr>
                <w:rFonts w:ascii="Arial" w:hAnsi="Arial" w:cs="Arial"/>
                <w:sz w:val="20"/>
              </w:rPr>
              <w:t xml:space="preserve"> the DiaSorin </w:t>
            </w:r>
            <w:r w:rsidRPr="0088269F">
              <w:rPr>
                <w:rFonts w:ascii="Arial" w:hAnsi="Arial" w:cs="Arial"/>
                <w:sz w:val="20"/>
                <w:szCs w:val="18"/>
              </w:rPr>
              <w:t>LIAISON</w:t>
            </w:r>
            <w:r w:rsidR="00E21E87" w:rsidRPr="0088269F">
              <w:rPr>
                <w:rFonts w:ascii="Arial" w:hAnsi="Arial" w:cs="Arial"/>
                <w:sz w:val="20"/>
                <w:szCs w:val="18"/>
              </w:rPr>
              <w:t xml:space="preserve"> XL</w:t>
            </w:r>
            <w:r w:rsidRPr="0088269F">
              <w:rPr>
                <w:rFonts w:ascii="Arial" w:hAnsi="Arial" w:cs="Arial"/>
                <w:sz w:val="20"/>
                <w:szCs w:val="11"/>
              </w:rPr>
              <w:t>®</w:t>
            </w:r>
            <w:r w:rsidR="00B719AB">
              <w:rPr>
                <w:rFonts w:ascii="Arial" w:hAnsi="Arial" w:cs="Arial"/>
                <w:sz w:val="20"/>
              </w:rPr>
              <w:t xml:space="preserve"> in St. Paul. </w:t>
            </w:r>
          </w:p>
        </w:tc>
      </w:tr>
      <w:tr w:rsidR="00A66633" w:rsidRPr="0088269F" w:rsidTr="00BB59B3">
        <w:trPr>
          <w:cantSplit/>
          <w:trHeight w:val="330"/>
        </w:trPr>
        <w:tc>
          <w:tcPr>
            <w:tcW w:w="1798" w:type="dxa"/>
            <w:tcBorders>
              <w:top w:val="nil"/>
              <w:left w:val="nil"/>
              <w:bottom w:val="nil"/>
              <w:right w:val="nil"/>
            </w:tcBorders>
          </w:tcPr>
          <w:p w:rsidR="00A66633" w:rsidRPr="0088269F" w:rsidRDefault="00A66633">
            <w:pPr>
              <w:jc w:val="left"/>
              <w:rPr>
                <w:rFonts w:ascii="Arial" w:hAnsi="Arial" w:cs="Arial"/>
                <w:b/>
                <w:bCs/>
                <w:color w:val="0000FF"/>
                <w:sz w:val="20"/>
              </w:rPr>
            </w:pP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Policy Statements</w:t>
            </w:r>
          </w:p>
        </w:tc>
        <w:tc>
          <w:tcPr>
            <w:tcW w:w="9182" w:type="dxa"/>
            <w:tcBorders>
              <w:top w:val="single" w:sz="18" w:space="0" w:color="BFBFBF"/>
              <w:left w:val="nil"/>
              <w:bottom w:val="single" w:sz="18" w:space="0" w:color="BFBFBF"/>
              <w:right w:val="nil"/>
            </w:tcBorders>
          </w:tcPr>
          <w:p w:rsidR="00A66633" w:rsidRPr="0088269F" w:rsidRDefault="00A66633">
            <w:pPr>
              <w:rPr>
                <w:rFonts w:ascii="Arial" w:hAnsi="Arial" w:cs="Arial"/>
                <w:iCs/>
                <w:sz w:val="20"/>
              </w:rPr>
            </w:pPr>
          </w:p>
          <w:p w:rsidR="00A66633" w:rsidRPr="0088269F" w:rsidRDefault="00A66633">
            <w:pPr>
              <w:rPr>
                <w:rFonts w:ascii="Arial" w:hAnsi="Arial" w:cs="Arial"/>
                <w:iCs/>
                <w:sz w:val="20"/>
              </w:rPr>
            </w:pPr>
            <w:r w:rsidRPr="0088269F">
              <w:rPr>
                <w:rFonts w:ascii="Arial" w:hAnsi="Arial" w:cs="Arial"/>
                <w:sz w:val="20"/>
              </w:rPr>
              <w:t xml:space="preserve">This procedure applies to all laboratory staff responsible for </w:t>
            </w:r>
            <w:r w:rsidR="00B719AB">
              <w:rPr>
                <w:rFonts w:ascii="Arial" w:hAnsi="Arial" w:cs="Arial"/>
                <w:sz w:val="20"/>
              </w:rPr>
              <w:t>collecting and processing</w:t>
            </w:r>
            <w:r w:rsidRPr="0088269F">
              <w:rPr>
                <w:rFonts w:ascii="Arial" w:hAnsi="Arial" w:cs="Arial"/>
                <w:sz w:val="20"/>
              </w:rPr>
              <w:t xml:space="preserve"> </w:t>
            </w:r>
            <w:proofErr w:type="spellStart"/>
            <w:r w:rsidR="00A54476">
              <w:rPr>
                <w:rFonts w:ascii="Arial" w:hAnsi="Arial" w:cs="Arial"/>
                <w:sz w:val="20"/>
              </w:rPr>
              <w:t>Quanti</w:t>
            </w:r>
            <w:r w:rsidR="005075C6">
              <w:rPr>
                <w:rFonts w:ascii="Arial" w:hAnsi="Arial" w:cs="Arial"/>
                <w:sz w:val="20"/>
              </w:rPr>
              <w:t>FERON</w:t>
            </w:r>
            <w:proofErr w:type="spellEnd"/>
            <w:r w:rsidRPr="0088269F">
              <w:rPr>
                <w:rFonts w:ascii="Arial" w:hAnsi="Arial" w:cs="Arial"/>
                <w:sz w:val="20"/>
              </w:rPr>
              <w:t xml:space="preserve"> </w:t>
            </w:r>
            <w:r w:rsidR="00B719AB">
              <w:rPr>
                <w:rFonts w:ascii="Arial" w:hAnsi="Arial" w:cs="Arial"/>
                <w:sz w:val="20"/>
              </w:rPr>
              <w:t>samples for</w:t>
            </w:r>
            <w:r w:rsidRPr="0088269F">
              <w:rPr>
                <w:rFonts w:ascii="Arial" w:hAnsi="Arial" w:cs="Arial"/>
                <w:sz w:val="20"/>
              </w:rPr>
              <w:t xml:space="preserve"> the DiaSorin </w:t>
            </w:r>
            <w:r w:rsidRPr="0088269F">
              <w:rPr>
                <w:rFonts w:ascii="Arial" w:hAnsi="Arial" w:cs="Arial"/>
                <w:sz w:val="20"/>
                <w:szCs w:val="18"/>
              </w:rPr>
              <w:t>LIAISON</w:t>
            </w:r>
            <w:r w:rsidR="00E21E87" w:rsidRPr="0088269F">
              <w:rPr>
                <w:rFonts w:ascii="Arial" w:hAnsi="Arial" w:cs="Arial"/>
                <w:sz w:val="20"/>
                <w:szCs w:val="18"/>
              </w:rPr>
              <w:t xml:space="preserve"> XL</w:t>
            </w:r>
            <w:r w:rsidRPr="0088269F">
              <w:rPr>
                <w:rFonts w:ascii="Arial" w:hAnsi="Arial" w:cs="Arial"/>
                <w:sz w:val="20"/>
                <w:szCs w:val="11"/>
              </w:rPr>
              <w:t>®</w:t>
            </w:r>
            <w:r w:rsidR="005E0FCA">
              <w:rPr>
                <w:rFonts w:ascii="Arial" w:hAnsi="Arial" w:cs="Arial"/>
                <w:sz w:val="20"/>
              </w:rPr>
              <w:t xml:space="preserve"> in St. Paul.</w:t>
            </w:r>
          </w:p>
          <w:p w:rsidR="00A66633" w:rsidRPr="0088269F" w:rsidRDefault="00A66633">
            <w:pPr>
              <w:rPr>
                <w:rFonts w:ascii="Arial" w:hAnsi="Arial" w:cs="Arial"/>
                <w:iCs/>
                <w:sz w:val="20"/>
              </w:rPr>
            </w:pPr>
          </w:p>
        </w:tc>
      </w:tr>
      <w:tr w:rsidR="00A66633" w:rsidRPr="0088269F" w:rsidTr="00F00283">
        <w:tc>
          <w:tcPr>
            <w:tcW w:w="1798" w:type="dxa"/>
            <w:tcBorders>
              <w:top w:val="nil"/>
              <w:left w:val="nil"/>
              <w:bottom w:val="nil"/>
              <w:right w:val="nil"/>
            </w:tcBorders>
          </w:tcPr>
          <w:p w:rsidR="00A66633" w:rsidRPr="0088269F" w:rsidRDefault="00A66633">
            <w:pPr>
              <w:rPr>
                <w:rFonts w:ascii="Arial" w:hAnsi="Arial" w:cs="Arial"/>
                <w:b/>
                <w:bCs/>
                <w:color w:val="0000FF"/>
                <w:sz w:val="20"/>
              </w:rPr>
            </w:pPr>
          </w:p>
          <w:p w:rsidR="00A66633" w:rsidRPr="0088269F" w:rsidRDefault="00A66633">
            <w:pPr>
              <w:rPr>
                <w:rFonts w:ascii="Arial" w:hAnsi="Arial" w:cs="Arial"/>
                <w:b/>
                <w:bCs/>
                <w:color w:val="0000FF"/>
                <w:sz w:val="20"/>
              </w:rPr>
            </w:pPr>
            <w:r w:rsidRPr="0088269F">
              <w:rPr>
                <w:rFonts w:ascii="Arial" w:hAnsi="Arial" w:cs="Arial"/>
                <w:b/>
                <w:bCs/>
                <w:color w:val="0000FF"/>
                <w:sz w:val="20"/>
              </w:rPr>
              <w:t>Clinical Significa</w:t>
            </w:r>
            <w:bookmarkStart w:id="0" w:name="_GoBack"/>
            <w:bookmarkEnd w:id="0"/>
            <w:r w:rsidRPr="0088269F">
              <w:rPr>
                <w:rFonts w:ascii="Arial" w:hAnsi="Arial" w:cs="Arial"/>
                <w:b/>
                <w:bCs/>
                <w:color w:val="0000FF"/>
                <w:sz w:val="20"/>
              </w:rPr>
              <w:t>nce</w:t>
            </w:r>
          </w:p>
          <w:p w:rsidR="00A66633" w:rsidRPr="0088269F" w:rsidRDefault="00A66633">
            <w:pPr>
              <w:rPr>
                <w:rFonts w:ascii="Arial" w:hAnsi="Arial" w:cs="Arial"/>
                <w:b/>
                <w:bCs/>
                <w:color w:val="0000FF"/>
                <w:sz w:val="20"/>
              </w:rPr>
            </w:pPr>
          </w:p>
        </w:tc>
        <w:tc>
          <w:tcPr>
            <w:tcW w:w="9182" w:type="dxa"/>
            <w:tcBorders>
              <w:top w:val="single" w:sz="18" w:space="0" w:color="BFBFBF"/>
              <w:left w:val="nil"/>
              <w:bottom w:val="single" w:sz="18" w:space="0" w:color="BFBFBF"/>
              <w:right w:val="nil"/>
            </w:tcBorders>
          </w:tcPr>
          <w:p w:rsidR="00A66633" w:rsidRPr="0088269F" w:rsidRDefault="00A66633">
            <w:pPr>
              <w:rPr>
                <w:rFonts w:ascii="Arial" w:hAnsi="Arial" w:cs="Arial"/>
                <w:iCs/>
                <w:sz w:val="20"/>
              </w:rPr>
            </w:pPr>
          </w:p>
          <w:p w:rsidR="00F00283" w:rsidRPr="009925DB" w:rsidRDefault="00DB4E5C" w:rsidP="009925DB">
            <w:pPr>
              <w:rPr>
                <w:rFonts w:ascii="Arial" w:hAnsi="Arial" w:cs="Arial"/>
                <w:sz w:val="20"/>
              </w:rPr>
            </w:pPr>
            <w:r w:rsidRPr="009925DB">
              <w:rPr>
                <w:rFonts w:ascii="Arial" w:hAnsi="Arial" w:cs="Arial"/>
                <w:sz w:val="20"/>
              </w:rPr>
              <w:t>Tuberculosis (TB) is a communicable disease, transmitted almost exclusively by cough aerosols carrying pathogens of the M. tuberculosis complex. TB continues to be a major public health threat, causing an estimated 10.4 million new cases and 1.3 million deaths from TB in 2016 (1). Pathogenesis is characterized by a period of asymptomatic subclinical infection, defined broadly as latent tuberculosis infection (LTBI), which might last for weeks or decades. However, there is no diagnostic gold standard for LTBI. Two tests are available for the identification of LTBI: the tuberculin skin test (TST) and the interferon gamma release assay (IGRA). They represent indirect markers of M. tuberculosis exposure and indicate a cellular immune response to M. tuberculosis.</w:t>
            </w:r>
          </w:p>
          <w:p w:rsidR="00DB4E5C" w:rsidRPr="009925DB" w:rsidRDefault="00DB4E5C" w:rsidP="009925DB">
            <w:pPr>
              <w:rPr>
                <w:rFonts w:ascii="Arial" w:hAnsi="Arial" w:cs="Arial"/>
                <w:sz w:val="20"/>
              </w:rPr>
            </w:pPr>
          </w:p>
          <w:p w:rsidR="00DB4E5C" w:rsidRPr="009925DB" w:rsidRDefault="00DB4E5C" w:rsidP="009925DB">
            <w:pPr>
              <w:rPr>
                <w:rFonts w:ascii="Arial" w:hAnsi="Arial" w:cs="Arial"/>
                <w:sz w:val="20"/>
              </w:rPr>
            </w:pPr>
            <w:r w:rsidRPr="009925DB">
              <w:rPr>
                <w:rFonts w:ascii="Arial" w:hAnsi="Arial" w:cs="Arial"/>
                <w:sz w:val="20"/>
              </w:rPr>
              <w:t>From an operational point of view, LTBI may best be defined as a state of persistent immune response to M. tuberculosis antigens detected either by the TST or by IGRA without evidence of clinically symptomatic TB. Based on this definition, individuals with LTBI carry an increased risk of progression to active TB disease. However, an unknown but large number of those with LTBI will not develop active TB disease, either because their immune system persistently controls mycobacterial replication or because the mycobacteria are no longer viable.</w:t>
            </w:r>
          </w:p>
          <w:p w:rsidR="00DB4E5C" w:rsidRPr="009925DB" w:rsidRDefault="00DB4E5C" w:rsidP="009925DB">
            <w:pPr>
              <w:rPr>
                <w:rFonts w:ascii="Arial" w:hAnsi="Arial" w:cs="Arial"/>
                <w:sz w:val="20"/>
              </w:rPr>
            </w:pPr>
          </w:p>
          <w:p w:rsidR="00DB4E5C" w:rsidRPr="009925DB" w:rsidRDefault="00DB4E5C" w:rsidP="009925DB">
            <w:pPr>
              <w:rPr>
                <w:rFonts w:ascii="Arial" w:hAnsi="Arial" w:cs="Arial"/>
                <w:sz w:val="20"/>
              </w:rPr>
            </w:pPr>
            <w:r w:rsidRPr="009925DB">
              <w:rPr>
                <w:rFonts w:ascii="Arial" w:hAnsi="Arial" w:cs="Arial"/>
                <w:sz w:val="20"/>
              </w:rPr>
              <w:t>In most individuals, initial M. tuberculosis infection is eliminated or contained by the host’s defenses, and infection remains latent. However, latent TB bacilli may remain viable and “reactivate” later to cause active TB disease. Identification and treatment of LTBI can substantially reduce the risk of developing active disease.</w:t>
            </w:r>
          </w:p>
          <w:p w:rsidR="00DB4E5C" w:rsidRPr="009925DB" w:rsidRDefault="00DB4E5C" w:rsidP="009925DB">
            <w:pPr>
              <w:rPr>
                <w:rFonts w:ascii="Arial" w:hAnsi="Arial" w:cs="Arial"/>
                <w:sz w:val="20"/>
              </w:rPr>
            </w:pPr>
          </w:p>
          <w:p w:rsidR="00DB4E5C" w:rsidRPr="009925DB" w:rsidRDefault="00DB4E5C" w:rsidP="009925DB">
            <w:pPr>
              <w:rPr>
                <w:rFonts w:ascii="Arial" w:hAnsi="Arial" w:cs="Arial"/>
                <w:sz w:val="20"/>
              </w:rPr>
            </w:pPr>
            <w:r w:rsidRPr="009925DB">
              <w:rPr>
                <w:rFonts w:ascii="Arial" w:hAnsi="Arial" w:cs="Arial"/>
                <w:sz w:val="20"/>
              </w:rPr>
              <w:t>The goal of testing for LTBI is to identify individuals who are at increased risk of developing active TB; these individuals would benefit most from treatment of LTBI (also termed preventive therapy or prophylaxis).</w:t>
            </w:r>
          </w:p>
          <w:p w:rsidR="00DB4E5C" w:rsidRPr="009925DB" w:rsidRDefault="00DB4E5C" w:rsidP="009925DB">
            <w:pPr>
              <w:rPr>
                <w:rFonts w:ascii="Arial" w:hAnsi="Arial" w:cs="Arial"/>
                <w:sz w:val="20"/>
              </w:rPr>
            </w:pPr>
          </w:p>
          <w:p w:rsidR="00DB4E5C" w:rsidRPr="009925DB" w:rsidRDefault="00DB4E5C" w:rsidP="009925DB">
            <w:pPr>
              <w:rPr>
                <w:rFonts w:ascii="Arial" w:hAnsi="Arial" w:cs="Arial"/>
                <w:sz w:val="20"/>
              </w:rPr>
            </w:pPr>
            <w:r w:rsidRPr="009925DB">
              <w:rPr>
                <w:rFonts w:ascii="Arial" w:hAnsi="Arial" w:cs="Arial"/>
                <w:sz w:val="20"/>
              </w:rPr>
              <w:t>In general, testing for LTBI is indicated when the risk of developing disease from latent infection (if present) is increased; examples include likely recent infection (e.g., close contact of a person with TB) or a decreased capacity to contain latent infection (e.g., because of immunosuppression, as in the case of young children in contact with those with active TB, people living with human immunodeficiency virus [HIV] infection, or otherwise immunosuppressed persons because of medications or conditions such as uncontrolled diabetes).</w:t>
            </w:r>
          </w:p>
          <w:p w:rsidR="00DB4E5C" w:rsidRPr="00F00283" w:rsidRDefault="00DB4E5C" w:rsidP="00DB4E5C">
            <w:pPr>
              <w:autoSpaceDE w:val="0"/>
              <w:autoSpaceDN w:val="0"/>
              <w:adjustRightInd w:val="0"/>
              <w:jc w:val="left"/>
              <w:rPr>
                <w:rFonts w:ascii="Arial" w:hAnsi="Arial" w:cs="Arial"/>
                <w:iCs/>
                <w:sz w:val="20"/>
              </w:rPr>
            </w:pPr>
          </w:p>
        </w:tc>
      </w:tr>
      <w:tr w:rsidR="00A66633" w:rsidRPr="0088269F" w:rsidTr="00BB59B3">
        <w:trPr>
          <w:trHeight w:val="960"/>
          <w:tblHeader/>
        </w:trPr>
        <w:tc>
          <w:tcPr>
            <w:tcW w:w="1798" w:type="dxa"/>
            <w:tcBorders>
              <w:top w:val="nil"/>
              <w:left w:val="nil"/>
              <w:bottom w:val="nil"/>
              <w:right w:val="nil"/>
            </w:tcBorders>
          </w:tcPr>
          <w:p w:rsidR="00A66633" w:rsidRPr="0088269F" w:rsidRDefault="00A66633">
            <w:pPr>
              <w:jc w:val="left"/>
              <w:rPr>
                <w:rFonts w:ascii="Arial" w:hAnsi="Arial" w:cs="Arial"/>
                <w:b/>
                <w:bCs/>
                <w:color w:val="0000FF"/>
                <w:sz w:val="20"/>
              </w:rPr>
            </w:pP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Sunquest Test Code</w:t>
            </w:r>
          </w:p>
        </w:tc>
        <w:tc>
          <w:tcPr>
            <w:tcW w:w="9182" w:type="dxa"/>
            <w:tcBorders>
              <w:top w:val="single" w:sz="18" w:space="0" w:color="BFBFBF"/>
              <w:left w:val="nil"/>
              <w:bottom w:val="single" w:sz="18" w:space="0" w:color="BFBFBF"/>
              <w:right w:val="nil"/>
            </w:tcBorders>
            <w:vAlign w:val="center"/>
          </w:tcPr>
          <w:p w:rsidR="00A66633" w:rsidRDefault="00AA3E65" w:rsidP="004B6ED3">
            <w:pPr>
              <w:rPr>
                <w:rFonts w:ascii="Arial" w:hAnsi="Arial" w:cs="Arial"/>
                <w:sz w:val="20"/>
              </w:rPr>
            </w:pPr>
            <w:r w:rsidRPr="004B6ED3">
              <w:rPr>
                <w:rFonts w:ascii="Arial" w:hAnsi="Arial" w:cs="Arial"/>
                <w:b/>
                <w:sz w:val="20"/>
              </w:rPr>
              <w:t>QFTB</w:t>
            </w:r>
            <w:r w:rsidR="004B6ED3">
              <w:rPr>
                <w:rFonts w:ascii="Arial" w:hAnsi="Arial" w:cs="Arial"/>
                <w:sz w:val="20"/>
              </w:rPr>
              <w:t>: QuantiFERON-TB, battery includes test for Nil, TB1, TB2, and Mitogen tubes.</w:t>
            </w:r>
          </w:p>
          <w:p w:rsidR="004B6ED3" w:rsidRDefault="004B6ED3" w:rsidP="004B6ED3">
            <w:pPr>
              <w:ind w:left="720"/>
              <w:rPr>
                <w:rFonts w:ascii="Arial" w:hAnsi="Arial" w:cs="Arial"/>
                <w:sz w:val="20"/>
              </w:rPr>
            </w:pPr>
            <w:r>
              <w:rPr>
                <w:rFonts w:ascii="Arial" w:hAnsi="Arial" w:cs="Arial"/>
                <w:sz w:val="20"/>
              </w:rPr>
              <w:t xml:space="preserve">T1NIL: Nil tube IF-γ </w:t>
            </w:r>
          </w:p>
          <w:p w:rsidR="004B6ED3" w:rsidRDefault="004B6ED3" w:rsidP="004B6ED3">
            <w:pPr>
              <w:ind w:left="720"/>
              <w:rPr>
                <w:rFonts w:ascii="Arial" w:hAnsi="Arial" w:cs="Arial"/>
                <w:sz w:val="20"/>
              </w:rPr>
            </w:pPr>
            <w:r>
              <w:rPr>
                <w:rFonts w:ascii="Arial" w:hAnsi="Arial" w:cs="Arial"/>
                <w:sz w:val="20"/>
              </w:rPr>
              <w:t>T2QT1: TB1 tube IF-γ</w:t>
            </w:r>
          </w:p>
          <w:p w:rsidR="004B6ED3" w:rsidRDefault="004B6ED3" w:rsidP="004B6ED3">
            <w:pPr>
              <w:ind w:left="720"/>
              <w:rPr>
                <w:rFonts w:ascii="Arial" w:hAnsi="Arial" w:cs="Arial"/>
                <w:sz w:val="20"/>
              </w:rPr>
            </w:pPr>
            <w:r>
              <w:rPr>
                <w:rFonts w:ascii="Arial" w:hAnsi="Arial" w:cs="Arial"/>
                <w:sz w:val="20"/>
              </w:rPr>
              <w:t>T3QT2: TB2 tube IF-γ</w:t>
            </w:r>
          </w:p>
          <w:p w:rsidR="004B6ED3" w:rsidRPr="0088269F" w:rsidRDefault="004B6ED3" w:rsidP="004B6ED3">
            <w:pPr>
              <w:ind w:left="720"/>
              <w:rPr>
                <w:rFonts w:ascii="Arial" w:hAnsi="Arial" w:cs="Arial"/>
                <w:sz w:val="20"/>
              </w:rPr>
            </w:pPr>
            <w:r>
              <w:rPr>
                <w:rFonts w:ascii="Arial" w:hAnsi="Arial" w:cs="Arial"/>
                <w:sz w:val="20"/>
              </w:rPr>
              <w:t>T4MT: Mitogen tube IF-γ</w:t>
            </w:r>
          </w:p>
        </w:tc>
      </w:tr>
      <w:tr w:rsidR="003F4CD6" w:rsidRPr="0088269F" w:rsidTr="00CE229D">
        <w:trPr>
          <w:trHeight w:val="4158"/>
          <w:tblHeader/>
        </w:trPr>
        <w:tc>
          <w:tcPr>
            <w:tcW w:w="1798" w:type="dxa"/>
            <w:tcBorders>
              <w:top w:val="nil"/>
              <w:left w:val="nil"/>
              <w:bottom w:val="nil"/>
              <w:right w:val="nil"/>
            </w:tcBorders>
          </w:tcPr>
          <w:p w:rsidR="003F4CD6" w:rsidRPr="0088269F" w:rsidRDefault="003F4CD6" w:rsidP="00956894">
            <w:pPr>
              <w:jc w:val="left"/>
              <w:rPr>
                <w:rFonts w:ascii="Arial" w:hAnsi="Arial" w:cs="Arial"/>
                <w:b/>
                <w:bCs/>
                <w:color w:val="0000FF"/>
                <w:sz w:val="20"/>
              </w:rPr>
            </w:pPr>
            <w:r w:rsidRPr="0088269F">
              <w:rPr>
                <w:rFonts w:ascii="Arial" w:hAnsi="Arial" w:cs="Arial"/>
                <w:b/>
                <w:bCs/>
                <w:color w:val="0000FF"/>
                <w:sz w:val="20"/>
              </w:rPr>
              <w:lastRenderedPageBreak/>
              <w:t>Sample</w:t>
            </w:r>
          </w:p>
        </w:tc>
        <w:tc>
          <w:tcPr>
            <w:tcW w:w="9182" w:type="dxa"/>
            <w:tcBorders>
              <w:top w:val="single" w:sz="18" w:space="0" w:color="BFBFBF"/>
              <w:left w:val="nil"/>
              <w:bottom w:val="single" w:sz="18" w:space="0" w:color="BFBFBF"/>
              <w:right w:val="nil"/>
            </w:tcBorders>
            <w:vAlign w:val="center"/>
          </w:tcPr>
          <w:p w:rsidR="00921E4E" w:rsidRDefault="00921E4E" w:rsidP="00F1241A">
            <w:pPr>
              <w:jc w:val="left"/>
              <w:rPr>
                <w:rFonts w:ascii="Arial" w:hAnsi="Arial" w:cs="Arial"/>
                <w:bCs/>
                <w:sz w:val="20"/>
              </w:rPr>
            </w:pPr>
            <w:r w:rsidRPr="00921E4E">
              <w:rPr>
                <w:rFonts w:ascii="Arial" w:hAnsi="Arial" w:cs="Arial"/>
                <w:b/>
                <w:bCs/>
                <w:noProof/>
                <w:sz w:val="20"/>
              </w:rPr>
              <w:drawing>
                <wp:anchor distT="0" distB="0" distL="114300" distR="114300" simplePos="0" relativeHeight="251658240" behindDoc="0" locked="0" layoutInCell="1" allowOverlap="1">
                  <wp:simplePos x="0" y="0"/>
                  <wp:positionH relativeFrom="column">
                    <wp:posOffset>4542155</wp:posOffset>
                  </wp:positionH>
                  <wp:positionV relativeFrom="paragraph">
                    <wp:posOffset>67310</wp:posOffset>
                  </wp:positionV>
                  <wp:extent cx="1085850" cy="609600"/>
                  <wp:effectExtent l="0" t="0" r="0" b="0"/>
                  <wp:wrapThrough wrapText="bothSides">
                    <wp:wrapPolygon edited="0">
                      <wp:start x="0" y="0"/>
                      <wp:lineTo x="0" y="20925"/>
                      <wp:lineTo x="21221" y="20925"/>
                      <wp:lineTo x="2122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5850" cy="609600"/>
                          </a:xfrm>
                          <a:prstGeom prst="rect">
                            <a:avLst/>
                          </a:prstGeom>
                          <a:noFill/>
                        </pic:spPr>
                      </pic:pic>
                    </a:graphicData>
                  </a:graphic>
                  <wp14:sizeRelH relativeFrom="margin">
                    <wp14:pctWidth>0</wp14:pctWidth>
                  </wp14:sizeRelH>
                  <wp14:sizeRelV relativeFrom="margin">
                    <wp14:pctHeight>0</wp14:pctHeight>
                  </wp14:sizeRelV>
                </wp:anchor>
              </w:drawing>
            </w:r>
            <w:r w:rsidRPr="00921E4E">
              <w:rPr>
                <w:rFonts w:ascii="Arial" w:hAnsi="Arial" w:cs="Arial"/>
                <w:b/>
                <w:bCs/>
                <w:sz w:val="20"/>
              </w:rPr>
              <w:t xml:space="preserve">Tube: </w:t>
            </w:r>
            <w:r w:rsidR="00D90C94" w:rsidRPr="006A4ABF">
              <w:rPr>
                <w:rFonts w:ascii="Arial" w:hAnsi="Arial" w:cs="Arial"/>
                <w:bCs/>
                <w:sz w:val="20"/>
              </w:rPr>
              <w:t>QFT-Plus blood Collection</w:t>
            </w:r>
            <w:r w:rsidRPr="00D90C94">
              <w:rPr>
                <w:rFonts w:ascii="Arial" w:hAnsi="Arial" w:cs="Arial"/>
                <w:bCs/>
                <w:sz w:val="20"/>
              </w:rPr>
              <w:t xml:space="preserve"> is set of 4 tubes in a Kit supplied by Qiagen</w:t>
            </w:r>
            <w:r w:rsidR="00D90C94">
              <w:rPr>
                <w:rFonts w:ascii="Arial" w:hAnsi="Arial" w:cs="Arial"/>
                <w:bCs/>
                <w:sz w:val="20"/>
              </w:rPr>
              <w:t>.</w:t>
            </w:r>
          </w:p>
          <w:p w:rsidR="00B1082F" w:rsidRDefault="00B1082F" w:rsidP="00B1082F">
            <w:pPr>
              <w:pStyle w:val="ListParagraph"/>
              <w:numPr>
                <w:ilvl w:val="0"/>
                <w:numId w:val="33"/>
              </w:numPr>
              <w:rPr>
                <w:rFonts w:cs="Arial"/>
                <w:bCs/>
              </w:rPr>
            </w:pPr>
            <w:proofErr w:type="spellStart"/>
            <w:r>
              <w:rPr>
                <w:rFonts w:cs="Arial"/>
                <w:bCs/>
              </w:rPr>
              <w:t>QuanitFERON</w:t>
            </w:r>
            <w:proofErr w:type="spellEnd"/>
            <w:r>
              <w:rPr>
                <w:rFonts w:cs="Arial"/>
                <w:bCs/>
              </w:rPr>
              <w:t xml:space="preserve"> Nil (Gray tube)</w:t>
            </w:r>
          </w:p>
          <w:p w:rsidR="00B1082F" w:rsidRDefault="00B1082F" w:rsidP="00B1082F">
            <w:pPr>
              <w:pStyle w:val="ListParagraph"/>
              <w:numPr>
                <w:ilvl w:val="0"/>
                <w:numId w:val="33"/>
              </w:numPr>
              <w:rPr>
                <w:rFonts w:cs="Arial"/>
                <w:bCs/>
              </w:rPr>
            </w:pPr>
            <w:proofErr w:type="spellStart"/>
            <w:r>
              <w:rPr>
                <w:rFonts w:cs="Arial"/>
                <w:bCs/>
              </w:rPr>
              <w:t>QuanitFERON</w:t>
            </w:r>
            <w:proofErr w:type="spellEnd"/>
            <w:r>
              <w:rPr>
                <w:rFonts w:cs="Arial"/>
                <w:bCs/>
              </w:rPr>
              <w:t xml:space="preserve"> TB1 (Green tube)</w:t>
            </w:r>
          </w:p>
          <w:p w:rsidR="00B1082F" w:rsidRDefault="00B1082F" w:rsidP="00B1082F">
            <w:pPr>
              <w:pStyle w:val="ListParagraph"/>
              <w:numPr>
                <w:ilvl w:val="0"/>
                <w:numId w:val="33"/>
              </w:numPr>
              <w:rPr>
                <w:rFonts w:cs="Arial"/>
                <w:bCs/>
              </w:rPr>
            </w:pPr>
            <w:proofErr w:type="spellStart"/>
            <w:r>
              <w:rPr>
                <w:rFonts w:cs="Arial"/>
                <w:bCs/>
              </w:rPr>
              <w:t>QuanitFERON</w:t>
            </w:r>
            <w:proofErr w:type="spellEnd"/>
            <w:r>
              <w:rPr>
                <w:rFonts w:cs="Arial"/>
                <w:bCs/>
              </w:rPr>
              <w:t xml:space="preserve"> TB2 (Yellow tube)</w:t>
            </w:r>
          </w:p>
          <w:p w:rsidR="00B1082F" w:rsidRDefault="00B1082F" w:rsidP="00B1082F">
            <w:pPr>
              <w:pStyle w:val="ListParagraph"/>
              <w:numPr>
                <w:ilvl w:val="0"/>
                <w:numId w:val="33"/>
              </w:numPr>
              <w:rPr>
                <w:rFonts w:cs="Arial"/>
                <w:bCs/>
              </w:rPr>
            </w:pPr>
            <w:proofErr w:type="spellStart"/>
            <w:r>
              <w:rPr>
                <w:rFonts w:cs="Arial"/>
                <w:bCs/>
              </w:rPr>
              <w:t>QuanitFERON</w:t>
            </w:r>
            <w:proofErr w:type="spellEnd"/>
            <w:r>
              <w:rPr>
                <w:rFonts w:cs="Arial"/>
                <w:bCs/>
              </w:rPr>
              <w:t xml:space="preserve"> Mitogen (Purple tube)</w:t>
            </w:r>
          </w:p>
          <w:p w:rsidR="00B1082F" w:rsidRPr="00F20EA8" w:rsidRDefault="00B1082F" w:rsidP="00B1082F">
            <w:pPr>
              <w:ind w:left="720"/>
              <w:rPr>
                <w:rFonts w:asciiTheme="minorHAnsi" w:hAnsiTheme="minorHAnsi" w:cstheme="minorHAnsi"/>
                <w:bCs/>
              </w:rPr>
            </w:pPr>
            <w:r w:rsidRPr="00F20EA8">
              <w:rPr>
                <w:rFonts w:asciiTheme="minorHAnsi" w:hAnsiTheme="minorHAnsi" w:cstheme="minorHAnsi"/>
                <w:b/>
                <w:bCs/>
              </w:rPr>
              <w:t>NOTE:</w:t>
            </w:r>
            <w:r w:rsidRPr="00F20EA8">
              <w:rPr>
                <w:rFonts w:asciiTheme="minorHAnsi" w:hAnsiTheme="minorHAnsi" w:cstheme="minorHAnsi"/>
                <w:bCs/>
              </w:rPr>
              <w:t xml:space="preserve"> </w:t>
            </w:r>
            <w:r w:rsidRPr="00F20EA8">
              <w:rPr>
                <w:rFonts w:asciiTheme="minorHAnsi" w:hAnsiTheme="minorHAnsi" w:cstheme="minorHAnsi"/>
                <w:bCs/>
                <w:i/>
              </w:rPr>
              <w:t>Unlike routine blood collection tubes, the color does not indicate anticoagulant.</w:t>
            </w:r>
          </w:p>
          <w:p w:rsidR="00D90C94" w:rsidRDefault="00D90C94" w:rsidP="00F1241A">
            <w:pPr>
              <w:jc w:val="left"/>
              <w:rPr>
                <w:rFonts w:ascii="Arial" w:hAnsi="Arial" w:cs="Arial"/>
                <w:b/>
                <w:bCs/>
                <w:sz w:val="20"/>
              </w:rPr>
            </w:pPr>
          </w:p>
          <w:p w:rsidR="003F4CD6" w:rsidRPr="00921E4E" w:rsidRDefault="003F4CD6" w:rsidP="00F1241A">
            <w:pPr>
              <w:jc w:val="left"/>
              <w:rPr>
                <w:rFonts w:ascii="Arial" w:hAnsi="Arial" w:cs="Arial"/>
                <w:bCs/>
                <w:sz w:val="20"/>
              </w:rPr>
            </w:pPr>
            <w:r w:rsidRPr="00921E4E">
              <w:rPr>
                <w:rFonts w:ascii="Arial" w:hAnsi="Arial" w:cs="Arial"/>
                <w:b/>
                <w:bCs/>
                <w:sz w:val="20"/>
              </w:rPr>
              <w:t>Minimum volume</w:t>
            </w:r>
            <w:r w:rsidRPr="00921E4E">
              <w:rPr>
                <w:rFonts w:ascii="Arial" w:hAnsi="Arial" w:cs="Arial"/>
                <w:bCs/>
                <w:sz w:val="20"/>
              </w:rPr>
              <w:t xml:space="preserve">: </w:t>
            </w:r>
            <w:r w:rsidR="00921E4E" w:rsidRPr="00921E4E">
              <w:rPr>
                <w:rFonts w:ascii="Arial" w:hAnsi="Arial" w:cs="Arial"/>
                <w:bCs/>
                <w:sz w:val="20"/>
              </w:rPr>
              <w:t>4</w:t>
            </w:r>
            <w:r w:rsidR="000A2840">
              <w:rPr>
                <w:rFonts w:ascii="Arial" w:hAnsi="Arial" w:cs="Arial"/>
                <w:bCs/>
                <w:sz w:val="20"/>
              </w:rPr>
              <w:t xml:space="preserve"> </w:t>
            </w:r>
            <w:r w:rsidR="00921E4E" w:rsidRPr="00921E4E">
              <w:rPr>
                <w:rFonts w:ascii="Arial" w:hAnsi="Arial" w:cs="Arial"/>
                <w:bCs/>
                <w:sz w:val="20"/>
              </w:rPr>
              <w:t>mL</w:t>
            </w:r>
            <w:r w:rsidR="00052DD9" w:rsidRPr="00921E4E">
              <w:rPr>
                <w:rFonts w:ascii="Arial" w:hAnsi="Arial" w:cs="Arial"/>
                <w:bCs/>
                <w:sz w:val="20"/>
              </w:rPr>
              <w:t xml:space="preserve"> </w:t>
            </w:r>
            <w:r w:rsidR="000A2840">
              <w:rPr>
                <w:rFonts w:ascii="Arial" w:hAnsi="Arial" w:cs="Arial"/>
                <w:bCs/>
                <w:sz w:val="20"/>
              </w:rPr>
              <w:t>whole blood total, 0.8-1.2 mL per tube</w:t>
            </w:r>
          </w:p>
          <w:p w:rsidR="00921E4E" w:rsidRDefault="00921E4E" w:rsidP="00F1241A">
            <w:pPr>
              <w:jc w:val="left"/>
              <w:rPr>
                <w:rFonts w:ascii="Arial" w:hAnsi="Arial" w:cs="Arial"/>
                <w:b/>
                <w:bCs/>
                <w:sz w:val="20"/>
              </w:rPr>
            </w:pPr>
          </w:p>
          <w:p w:rsidR="003F4CD6" w:rsidRPr="00921E4E" w:rsidRDefault="003F4CD6" w:rsidP="00F1241A">
            <w:pPr>
              <w:jc w:val="left"/>
              <w:rPr>
                <w:rFonts w:ascii="Arial" w:hAnsi="Arial" w:cs="Arial"/>
                <w:bCs/>
                <w:sz w:val="20"/>
              </w:rPr>
            </w:pPr>
            <w:r w:rsidRPr="00921E4E">
              <w:rPr>
                <w:rFonts w:ascii="Arial" w:hAnsi="Arial" w:cs="Arial"/>
                <w:b/>
                <w:bCs/>
                <w:sz w:val="20"/>
              </w:rPr>
              <w:t>Stability</w:t>
            </w:r>
            <w:r w:rsidRPr="00921E4E">
              <w:rPr>
                <w:rFonts w:ascii="Arial" w:hAnsi="Arial" w:cs="Arial"/>
                <w:bCs/>
                <w:sz w:val="20"/>
              </w:rPr>
              <w:t xml:space="preserve">: </w:t>
            </w:r>
          </w:p>
          <w:p w:rsidR="007E47C8" w:rsidRDefault="000F4684" w:rsidP="00F1241A">
            <w:pPr>
              <w:pStyle w:val="Heading2"/>
              <w:numPr>
                <w:ilvl w:val="0"/>
                <w:numId w:val="16"/>
              </w:numPr>
              <w:jc w:val="left"/>
              <w:rPr>
                <w:rFonts w:ascii="Arial" w:hAnsi="Arial"/>
                <w:b w:val="0"/>
                <w:iCs w:val="0"/>
                <w:sz w:val="20"/>
                <w:szCs w:val="24"/>
              </w:rPr>
            </w:pPr>
            <w:r>
              <w:rPr>
                <w:rFonts w:ascii="Arial" w:hAnsi="Arial"/>
                <w:b w:val="0"/>
                <w:iCs w:val="0"/>
                <w:sz w:val="20"/>
                <w:szCs w:val="24"/>
              </w:rPr>
              <w:t xml:space="preserve">Before </w:t>
            </w:r>
            <w:r w:rsidR="007E47C8">
              <w:rPr>
                <w:rFonts w:ascii="Arial" w:hAnsi="Arial"/>
                <w:b w:val="0"/>
                <w:iCs w:val="0"/>
                <w:sz w:val="20"/>
                <w:szCs w:val="24"/>
              </w:rPr>
              <w:t>incubation: samples can sit at room temperature up to 16 hours.</w:t>
            </w:r>
          </w:p>
          <w:p w:rsidR="003F4CD6" w:rsidRPr="00921E4E" w:rsidRDefault="000F4684" w:rsidP="00F1241A">
            <w:pPr>
              <w:pStyle w:val="Heading2"/>
              <w:numPr>
                <w:ilvl w:val="0"/>
                <w:numId w:val="16"/>
              </w:numPr>
              <w:jc w:val="left"/>
              <w:rPr>
                <w:rFonts w:ascii="Arial" w:hAnsi="Arial"/>
                <w:b w:val="0"/>
                <w:iCs w:val="0"/>
                <w:sz w:val="20"/>
                <w:szCs w:val="24"/>
              </w:rPr>
            </w:pPr>
            <w:r>
              <w:rPr>
                <w:rFonts w:ascii="Arial" w:hAnsi="Arial"/>
                <w:b w:val="0"/>
                <w:iCs w:val="0"/>
                <w:sz w:val="20"/>
                <w:szCs w:val="24"/>
              </w:rPr>
              <w:t>Post centrifuge: 28 days at 2-8C</w:t>
            </w:r>
            <w:r w:rsidR="007E47C8">
              <w:rPr>
                <w:rFonts w:ascii="Arial" w:hAnsi="Arial"/>
                <w:b w:val="0"/>
                <w:iCs w:val="0"/>
                <w:sz w:val="20"/>
                <w:szCs w:val="24"/>
              </w:rPr>
              <w:t xml:space="preserve"> </w:t>
            </w:r>
          </w:p>
          <w:p w:rsidR="009925DB" w:rsidRPr="00921E4E" w:rsidRDefault="009925DB" w:rsidP="009925DB"/>
          <w:p w:rsidR="003F4CD6" w:rsidRPr="00921E4E" w:rsidRDefault="003F4CD6" w:rsidP="00F1241A">
            <w:pPr>
              <w:jc w:val="left"/>
              <w:rPr>
                <w:rFonts w:ascii="Arial" w:hAnsi="Arial" w:cs="Arial"/>
                <w:bCs/>
                <w:sz w:val="20"/>
              </w:rPr>
            </w:pPr>
            <w:r w:rsidRPr="00921E4E">
              <w:rPr>
                <w:rFonts w:ascii="Arial" w:hAnsi="Arial" w:cs="Arial"/>
                <w:b/>
                <w:bCs/>
                <w:sz w:val="20"/>
              </w:rPr>
              <w:t>Rejection criteria</w:t>
            </w:r>
            <w:r w:rsidRPr="00921E4E">
              <w:rPr>
                <w:rFonts w:ascii="Arial" w:hAnsi="Arial" w:cs="Arial"/>
                <w:bCs/>
                <w:sz w:val="20"/>
              </w:rPr>
              <w:t>: Unl</w:t>
            </w:r>
            <w:r w:rsidR="00C20ADB" w:rsidRPr="00921E4E">
              <w:rPr>
                <w:rFonts w:ascii="Arial" w:hAnsi="Arial" w:cs="Arial"/>
                <w:bCs/>
                <w:sz w:val="20"/>
              </w:rPr>
              <w:t>abeled tube,</w:t>
            </w:r>
            <w:r w:rsidR="000F4684">
              <w:rPr>
                <w:rFonts w:ascii="Arial" w:hAnsi="Arial" w:cs="Arial"/>
                <w:bCs/>
                <w:sz w:val="20"/>
              </w:rPr>
              <w:t xml:space="preserve"> over/under filled (must be at the black line)</w:t>
            </w:r>
            <w:r w:rsidR="000A2840">
              <w:rPr>
                <w:rFonts w:ascii="Arial" w:hAnsi="Arial" w:cs="Arial"/>
                <w:bCs/>
                <w:sz w:val="20"/>
              </w:rPr>
              <w:t>, incorrect temperature storage conditions (see below)</w:t>
            </w:r>
          </w:p>
          <w:p w:rsidR="003F4CD6" w:rsidRPr="00921E4E" w:rsidRDefault="003F4CD6" w:rsidP="00F1241A">
            <w:pPr>
              <w:jc w:val="left"/>
              <w:rPr>
                <w:rFonts w:ascii="Arial" w:hAnsi="Arial" w:cs="Arial"/>
                <w:bCs/>
                <w:sz w:val="20"/>
              </w:rPr>
            </w:pPr>
          </w:p>
          <w:p w:rsidR="006A4ABF" w:rsidRPr="00F20EA8" w:rsidRDefault="003F4CD6" w:rsidP="00F20EA8">
            <w:pPr>
              <w:jc w:val="left"/>
              <w:rPr>
                <w:rFonts w:ascii="Arial" w:hAnsi="Arial" w:cs="Arial"/>
                <w:b/>
                <w:bCs/>
                <w:sz w:val="20"/>
              </w:rPr>
            </w:pPr>
            <w:r w:rsidRPr="00921E4E">
              <w:rPr>
                <w:rFonts w:ascii="Arial" w:hAnsi="Arial" w:cs="Arial"/>
                <w:b/>
                <w:bCs/>
                <w:sz w:val="20"/>
              </w:rPr>
              <w:t>Preparation:</w:t>
            </w:r>
            <w:r w:rsidR="00F20EA8">
              <w:rPr>
                <w:rFonts w:ascii="Arial" w:hAnsi="Arial" w:cs="Arial"/>
                <w:b/>
                <w:bCs/>
                <w:sz w:val="20"/>
              </w:rPr>
              <w:t xml:space="preserve"> </w:t>
            </w:r>
            <w:r w:rsidR="00F20EA8" w:rsidRPr="00F20EA8">
              <w:rPr>
                <w:rFonts w:ascii="Arial" w:hAnsi="Arial" w:cs="Arial"/>
                <w:bCs/>
                <w:sz w:val="20"/>
              </w:rPr>
              <w:t>See sample collection and processing procedures below.</w:t>
            </w:r>
          </w:p>
          <w:p w:rsidR="006A4ABF" w:rsidRPr="006A4ABF" w:rsidRDefault="006A4ABF" w:rsidP="006A4ABF"/>
        </w:tc>
      </w:tr>
    </w:tbl>
    <w:p w:rsidR="00A66633" w:rsidRPr="0088269F" w:rsidRDefault="00A66633">
      <w:pPr>
        <w:jc w:val="left"/>
        <w:rPr>
          <w:rFonts w:ascii="Arial" w:hAnsi="Arial" w:cs="Arial"/>
        </w:rPr>
      </w:pPr>
    </w:p>
    <w:tbl>
      <w:tblPr>
        <w:tblW w:w="10980" w:type="dxa"/>
        <w:tblInd w:w="-115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98"/>
        <w:gridCol w:w="4232"/>
        <w:gridCol w:w="1800"/>
        <w:gridCol w:w="3150"/>
      </w:tblGrid>
      <w:tr w:rsidR="007203F8" w:rsidRPr="0088269F" w:rsidTr="00DD5407">
        <w:trPr>
          <w:cantSplit/>
          <w:trHeight w:val="363"/>
        </w:trPr>
        <w:tc>
          <w:tcPr>
            <w:tcW w:w="1798" w:type="dxa"/>
            <w:vMerge w:val="restart"/>
            <w:tcBorders>
              <w:top w:val="nil"/>
              <w:left w:val="nil"/>
              <w:right w:val="single" w:sz="4" w:space="0" w:color="auto"/>
            </w:tcBorders>
          </w:tcPr>
          <w:p w:rsidR="007203F8" w:rsidRPr="0088269F" w:rsidRDefault="007203F8">
            <w:pPr>
              <w:jc w:val="left"/>
              <w:rPr>
                <w:rFonts w:ascii="Arial" w:hAnsi="Arial" w:cs="Arial"/>
                <w:b/>
                <w:bCs/>
                <w:color w:val="0000FF"/>
                <w:sz w:val="20"/>
              </w:rPr>
            </w:pPr>
            <w:r>
              <w:rPr>
                <w:rFonts w:ascii="Arial" w:hAnsi="Arial" w:cs="Arial"/>
                <w:b/>
                <w:bCs/>
                <w:color w:val="0000FF"/>
                <w:sz w:val="20"/>
              </w:rPr>
              <w:t>Materials</w:t>
            </w:r>
          </w:p>
        </w:tc>
        <w:tc>
          <w:tcPr>
            <w:tcW w:w="4232" w:type="dxa"/>
            <w:tcBorders>
              <w:top w:val="single" w:sz="4" w:space="0" w:color="auto"/>
              <w:left w:val="single" w:sz="4" w:space="0" w:color="auto"/>
              <w:bottom w:val="single" w:sz="6" w:space="0" w:color="auto"/>
              <w:right w:val="single" w:sz="6" w:space="0" w:color="auto"/>
            </w:tcBorders>
            <w:vAlign w:val="center"/>
          </w:tcPr>
          <w:p w:rsidR="007203F8" w:rsidRPr="0088269F" w:rsidRDefault="007203F8" w:rsidP="00EC0360">
            <w:pPr>
              <w:jc w:val="left"/>
              <w:rPr>
                <w:rFonts w:ascii="Arial" w:hAnsi="Arial" w:cs="Arial"/>
                <w:b/>
                <w:i/>
                <w:iCs/>
                <w:sz w:val="20"/>
              </w:rPr>
            </w:pPr>
            <w:r w:rsidRPr="0088269F">
              <w:rPr>
                <w:rFonts w:ascii="Arial" w:hAnsi="Arial" w:cs="Arial"/>
                <w:b/>
                <w:i/>
                <w:iCs/>
                <w:sz w:val="20"/>
              </w:rPr>
              <w:t>Product Description</w:t>
            </w:r>
          </w:p>
        </w:tc>
        <w:tc>
          <w:tcPr>
            <w:tcW w:w="1800" w:type="dxa"/>
            <w:tcBorders>
              <w:top w:val="single" w:sz="6" w:space="0" w:color="auto"/>
              <w:left w:val="single" w:sz="6" w:space="0" w:color="auto"/>
              <w:bottom w:val="single" w:sz="6" w:space="0" w:color="auto"/>
              <w:right w:val="single" w:sz="6" w:space="0" w:color="auto"/>
            </w:tcBorders>
            <w:vAlign w:val="center"/>
          </w:tcPr>
          <w:p w:rsidR="007203F8" w:rsidRPr="0088269F" w:rsidRDefault="007203F8" w:rsidP="00EC0360">
            <w:pPr>
              <w:jc w:val="left"/>
              <w:rPr>
                <w:rFonts w:ascii="Arial" w:hAnsi="Arial" w:cs="Arial"/>
                <w:b/>
                <w:i/>
                <w:iCs/>
                <w:sz w:val="20"/>
              </w:rPr>
            </w:pPr>
            <w:r w:rsidRPr="0088269F">
              <w:rPr>
                <w:rFonts w:ascii="Arial" w:hAnsi="Arial" w:cs="Arial"/>
                <w:b/>
                <w:i/>
                <w:iCs/>
                <w:sz w:val="20"/>
              </w:rPr>
              <w:t>Product Code</w:t>
            </w:r>
          </w:p>
        </w:tc>
        <w:tc>
          <w:tcPr>
            <w:tcW w:w="3150" w:type="dxa"/>
            <w:tcBorders>
              <w:top w:val="single" w:sz="6" w:space="0" w:color="auto"/>
              <w:left w:val="single" w:sz="6" w:space="0" w:color="auto"/>
              <w:bottom w:val="single" w:sz="6" w:space="0" w:color="auto"/>
              <w:right w:val="single" w:sz="4" w:space="0" w:color="auto"/>
            </w:tcBorders>
            <w:vAlign w:val="center"/>
          </w:tcPr>
          <w:p w:rsidR="007203F8" w:rsidRPr="0088269F" w:rsidRDefault="007203F8" w:rsidP="00EC0360">
            <w:pPr>
              <w:jc w:val="left"/>
              <w:rPr>
                <w:rFonts w:ascii="Arial" w:hAnsi="Arial" w:cs="Arial"/>
                <w:b/>
                <w:i/>
                <w:iCs/>
                <w:sz w:val="20"/>
              </w:rPr>
            </w:pPr>
            <w:r w:rsidRPr="0088269F">
              <w:rPr>
                <w:rFonts w:ascii="Arial" w:hAnsi="Arial" w:cs="Arial"/>
                <w:b/>
                <w:i/>
                <w:iCs/>
                <w:sz w:val="20"/>
              </w:rPr>
              <w:t>Stability</w:t>
            </w:r>
          </w:p>
        </w:tc>
      </w:tr>
      <w:tr w:rsidR="007203F8" w:rsidRPr="0088269F" w:rsidTr="00DD5407">
        <w:trPr>
          <w:cantSplit/>
          <w:trHeight w:val="525"/>
        </w:trPr>
        <w:tc>
          <w:tcPr>
            <w:tcW w:w="1798" w:type="dxa"/>
            <w:vMerge/>
            <w:tcBorders>
              <w:left w:val="nil"/>
              <w:right w:val="single" w:sz="4" w:space="0" w:color="auto"/>
            </w:tcBorders>
          </w:tcPr>
          <w:p w:rsidR="007203F8" w:rsidRPr="0088269F" w:rsidRDefault="007203F8">
            <w:pPr>
              <w:jc w:val="left"/>
              <w:rPr>
                <w:rFonts w:ascii="Arial" w:hAnsi="Arial" w:cs="Arial"/>
                <w:b/>
                <w:bCs/>
                <w:color w:val="0000FF"/>
                <w:sz w:val="20"/>
              </w:rPr>
            </w:pPr>
          </w:p>
        </w:tc>
        <w:tc>
          <w:tcPr>
            <w:tcW w:w="4232" w:type="dxa"/>
            <w:tcBorders>
              <w:top w:val="single" w:sz="4" w:space="0" w:color="auto"/>
              <w:left w:val="single" w:sz="4" w:space="0" w:color="auto"/>
              <w:bottom w:val="nil"/>
              <w:right w:val="single" w:sz="6" w:space="0" w:color="auto"/>
            </w:tcBorders>
          </w:tcPr>
          <w:p w:rsidR="007203F8" w:rsidRPr="00FB6718" w:rsidRDefault="007203F8" w:rsidP="00052DD9">
            <w:pPr>
              <w:pStyle w:val="BodyText3"/>
              <w:spacing w:after="120"/>
              <w:rPr>
                <w:rFonts w:ascii="Arial" w:hAnsi="Arial" w:cs="Arial"/>
                <w:b w:val="0"/>
                <w:bCs/>
                <w:color w:val="auto"/>
                <w:sz w:val="20"/>
                <w:szCs w:val="18"/>
              </w:rPr>
            </w:pPr>
            <w:r w:rsidRPr="00FB6718">
              <w:rPr>
                <w:rFonts w:ascii="Arial" w:hAnsi="Arial" w:cs="Arial"/>
                <w:b w:val="0"/>
                <w:bCs/>
                <w:color w:val="auto"/>
                <w:sz w:val="20"/>
                <w:szCs w:val="18"/>
              </w:rPr>
              <w:t>QuantiFERON®-TB Gold Plus</w:t>
            </w:r>
            <w:r>
              <w:rPr>
                <w:rFonts w:ascii="Arial" w:hAnsi="Arial" w:cs="Arial"/>
                <w:b w:val="0"/>
                <w:bCs/>
                <w:color w:val="auto"/>
                <w:sz w:val="20"/>
                <w:szCs w:val="18"/>
              </w:rPr>
              <w:t xml:space="preserve"> Collection kit (25 count)</w:t>
            </w:r>
          </w:p>
        </w:tc>
        <w:tc>
          <w:tcPr>
            <w:tcW w:w="1800" w:type="dxa"/>
            <w:tcBorders>
              <w:top w:val="single" w:sz="6" w:space="0" w:color="auto"/>
              <w:left w:val="single" w:sz="6" w:space="0" w:color="auto"/>
              <w:bottom w:val="nil"/>
              <w:right w:val="single" w:sz="6" w:space="0" w:color="auto"/>
            </w:tcBorders>
          </w:tcPr>
          <w:p w:rsidR="007203F8" w:rsidRDefault="007203F8" w:rsidP="00AA3E65">
            <w:pPr>
              <w:pStyle w:val="BodyText3"/>
              <w:rPr>
                <w:rFonts w:ascii="Arial" w:hAnsi="Arial" w:cs="Arial"/>
                <w:b w:val="0"/>
                <w:bCs/>
                <w:color w:val="auto"/>
                <w:sz w:val="20"/>
              </w:rPr>
            </w:pPr>
            <w:r>
              <w:rPr>
                <w:rFonts w:ascii="Arial" w:hAnsi="Arial" w:cs="Arial"/>
                <w:b w:val="0"/>
                <w:bCs/>
                <w:color w:val="auto"/>
                <w:sz w:val="20"/>
              </w:rPr>
              <w:t>MFR #622433</w:t>
            </w:r>
          </w:p>
          <w:p w:rsidR="007203F8" w:rsidRDefault="007203F8" w:rsidP="00AA3E65">
            <w:pPr>
              <w:pStyle w:val="BodyText3"/>
              <w:rPr>
                <w:rFonts w:ascii="Arial" w:hAnsi="Arial" w:cs="Arial"/>
                <w:b w:val="0"/>
                <w:bCs/>
                <w:color w:val="auto"/>
                <w:sz w:val="20"/>
              </w:rPr>
            </w:pPr>
            <w:r>
              <w:rPr>
                <w:rFonts w:ascii="Arial" w:hAnsi="Arial" w:cs="Arial"/>
                <w:b w:val="0"/>
                <w:bCs/>
                <w:color w:val="auto"/>
                <w:sz w:val="20"/>
              </w:rPr>
              <w:t>CHC #34454</w:t>
            </w:r>
          </w:p>
        </w:tc>
        <w:tc>
          <w:tcPr>
            <w:tcW w:w="3150" w:type="dxa"/>
            <w:tcBorders>
              <w:top w:val="single" w:sz="6" w:space="0" w:color="auto"/>
              <w:left w:val="single" w:sz="6" w:space="0" w:color="auto"/>
              <w:bottom w:val="single" w:sz="4" w:space="0" w:color="auto"/>
              <w:right w:val="single" w:sz="4" w:space="0" w:color="auto"/>
            </w:tcBorders>
          </w:tcPr>
          <w:p w:rsidR="007203F8" w:rsidRPr="0088269F" w:rsidRDefault="007203F8" w:rsidP="00D10087">
            <w:pPr>
              <w:pStyle w:val="BodyText3"/>
              <w:rPr>
                <w:rFonts w:ascii="Arial" w:hAnsi="Arial" w:cs="Arial"/>
                <w:b w:val="0"/>
                <w:bCs/>
                <w:iCs/>
                <w:color w:val="auto"/>
                <w:sz w:val="20"/>
                <w:szCs w:val="20"/>
              </w:rPr>
            </w:pPr>
            <w:r w:rsidRPr="0088269F">
              <w:rPr>
                <w:rFonts w:ascii="Arial" w:hAnsi="Arial" w:cs="Arial"/>
                <w:bCs/>
                <w:iCs/>
                <w:color w:val="auto"/>
                <w:sz w:val="20"/>
              </w:rPr>
              <w:t xml:space="preserve">Store at: </w:t>
            </w:r>
            <w:r>
              <w:rPr>
                <w:rFonts w:ascii="Arial" w:hAnsi="Arial" w:cs="Arial"/>
                <w:b w:val="0"/>
                <w:color w:val="auto"/>
                <w:sz w:val="20"/>
                <w:szCs w:val="20"/>
              </w:rPr>
              <w:t>RT</w:t>
            </w:r>
            <w:r w:rsidRPr="0088269F">
              <w:rPr>
                <w:rFonts w:ascii="Arial" w:hAnsi="Arial" w:cs="Arial"/>
                <w:b w:val="0"/>
                <w:color w:val="auto"/>
                <w:sz w:val="20"/>
                <w:szCs w:val="20"/>
              </w:rPr>
              <w:t xml:space="preserve"> </w:t>
            </w:r>
            <w:r>
              <w:rPr>
                <w:rFonts w:ascii="Arial" w:hAnsi="Arial" w:cs="Arial"/>
                <w:b w:val="0"/>
                <w:color w:val="auto"/>
                <w:sz w:val="20"/>
                <w:szCs w:val="20"/>
              </w:rPr>
              <w:t>until used or until lot expiration</w:t>
            </w:r>
          </w:p>
          <w:p w:rsidR="007203F8" w:rsidRPr="0088269F" w:rsidRDefault="007203F8" w:rsidP="00595D12">
            <w:pPr>
              <w:pStyle w:val="BodyText3"/>
              <w:rPr>
                <w:rFonts w:ascii="Arial" w:hAnsi="Arial" w:cs="Arial"/>
                <w:bCs/>
                <w:iCs/>
                <w:color w:val="auto"/>
                <w:sz w:val="20"/>
              </w:rPr>
            </w:pPr>
          </w:p>
        </w:tc>
      </w:tr>
      <w:tr w:rsidR="007203F8" w:rsidRPr="0088269F" w:rsidTr="00DD5407">
        <w:trPr>
          <w:cantSplit/>
          <w:trHeight w:val="525"/>
        </w:trPr>
        <w:tc>
          <w:tcPr>
            <w:tcW w:w="1798" w:type="dxa"/>
            <w:vMerge/>
            <w:tcBorders>
              <w:left w:val="nil"/>
              <w:right w:val="single" w:sz="4" w:space="0" w:color="auto"/>
            </w:tcBorders>
          </w:tcPr>
          <w:p w:rsidR="007203F8" w:rsidRPr="0088269F" w:rsidRDefault="007203F8">
            <w:pPr>
              <w:jc w:val="left"/>
              <w:rPr>
                <w:rFonts w:ascii="Arial" w:hAnsi="Arial" w:cs="Arial"/>
                <w:b/>
                <w:bCs/>
                <w:color w:val="0000FF"/>
                <w:sz w:val="20"/>
              </w:rPr>
            </w:pPr>
          </w:p>
        </w:tc>
        <w:tc>
          <w:tcPr>
            <w:tcW w:w="4232" w:type="dxa"/>
            <w:tcBorders>
              <w:top w:val="single" w:sz="4" w:space="0" w:color="auto"/>
              <w:left w:val="single" w:sz="4" w:space="0" w:color="auto"/>
              <w:bottom w:val="nil"/>
              <w:right w:val="single" w:sz="6" w:space="0" w:color="auto"/>
            </w:tcBorders>
          </w:tcPr>
          <w:p w:rsidR="007203F8" w:rsidRPr="00FB6718" w:rsidRDefault="007203F8" w:rsidP="00052DD9">
            <w:pPr>
              <w:pStyle w:val="BodyText3"/>
              <w:spacing w:after="120"/>
              <w:rPr>
                <w:rFonts w:ascii="Arial" w:hAnsi="Arial" w:cs="Arial"/>
                <w:b w:val="0"/>
                <w:bCs/>
                <w:color w:val="auto"/>
                <w:sz w:val="20"/>
                <w:szCs w:val="18"/>
              </w:rPr>
            </w:pPr>
            <w:r>
              <w:rPr>
                <w:rFonts w:ascii="Arial" w:hAnsi="Arial" w:cs="Arial"/>
                <w:b w:val="0"/>
                <w:bCs/>
                <w:color w:val="auto"/>
                <w:sz w:val="20"/>
                <w:szCs w:val="18"/>
              </w:rPr>
              <w:t>Routine phlebotomy supplies &amp; PPE</w:t>
            </w:r>
          </w:p>
        </w:tc>
        <w:tc>
          <w:tcPr>
            <w:tcW w:w="1800" w:type="dxa"/>
            <w:tcBorders>
              <w:top w:val="single" w:sz="6" w:space="0" w:color="auto"/>
              <w:left w:val="single" w:sz="6" w:space="0" w:color="auto"/>
              <w:bottom w:val="nil"/>
              <w:right w:val="single" w:sz="6" w:space="0" w:color="auto"/>
            </w:tcBorders>
          </w:tcPr>
          <w:p w:rsidR="007203F8" w:rsidRDefault="007203F8" w:rsidP="00AA3E65">
            <w:pPr>
              <w:pStyle w:val="BodyText3"/>
              <w:rPr>
                <w:rFonts w:ascii="Arial" w:hAnsi="Arial" w:cs="Arial"/>
                <w:b w:val="0"/>
                <w:bCs/>
                <w:color w:val="auto"/>
                <w:sz w:val="20"/>
              </w:rPr>
            </w:pPr>
          </w:p>
        </w:tc>
        <w:tc>
          <w:tcPr>
            <w:tcW w:w="3150" w:type="dxa"/>
            <w:tcBorders>
              <w:top w:val="single" w:sz="6" w:space="0" w:color="auto"/>
              <w:left w:val="single" w:sz="6" w:space="0" w:color="auto"/>
              <w:bottom w:val="single" w:sz="4" w:space="0" w:color="auto"/>
              <w:right w:val="single" w:sz="4" w:space="0" w:color="auto"/>
            </w:tcBorders>
          </w:tcPr>
          <w:p w:rsidR="007203F8" w:rsidRPr="0088269F" w:rsidRDefault="007203F8" w:rsidP="00D10087">
            <w:pPr>
              <w:pStyle w:val="BodyText3"/>
              <w:rPr>
                <w:rFonts w:ascii="Arial" w:hAnsi="Arial" w:cs="Arial"/>
                <w:bCs/>
                <w:iCs/>
                <w:color w:val="auto"/>
                <w:sz w:val="20"/>
              </w:rPr>
            </w:pPr>
          </w:p>
        </w:tc>
      </w:tr>
      <w:tr w:rsidR="007203F8" w:rsidRPr="0088269F" w:rsidTr="00DD5407">
        <w:trPr>
          <w:cantSplit/>
          <w:trHeight w:val="372"/>
        </w:trPr>
        <w:tc>
          <w:tcPr>
            <w:tcW w:w="1798" w:type="dxa"/>
            <w:vMerge/>
            <w:tcBorders>
              <w:left w:val="nil"/>
              <w:right w:val="single" w:sz="4" w:space="0" w:color="auto"/>
            </w:tcBorders>
          </w:tcPr>
          <w:p w:rsidR="007203F8" w:rsidRPr="0088269F" w:rsidRDefault="007203F8">
            <w:pPr>
              <w:jc w:val="left"/>
              <w:rPr>
                <w:rFonts w:ascii="Arial" w:hAnsi="Arial" w:cs="Arial"/>
                <w:b/>
                <w:bCs/>
                <w:color w:val="0000FF"/>
                <w:sz w:val="20"/>
              </w:rPr>
            </w:pPr>
          </w:p>
        </w:tc>
        <w:tc>
          <w:tcPr>
            <w:tcW w:w="4232" w:type="dxa"/>
            <w:tcBorders>
              <w:top w:val="single" w:sz="4" w:space="0" w:color="auto"/>
              <w:left w:val="single" w:sz="4" w:space="0" w:color="auto"/>
              <w:bottom w:val="nil"/>
              <w:right w:val="single" w:sz="6" w:space="0" w:color="auto"/>
            </w:tcBorders>
          </w:tcPr>
          <w:p w:rsidR="007203F8" w:rsidRPr="00FB6718" w:rsidRDefault="007203F8" w:rsidP="00052DD9">
            <w:pPr>
              <w:pStyle w:val="BodyText3"/>
              <w:spacing w:after="120"/>
              <w:rPr>
                <w:rFonts w:ascii="Arial" w:hAnsi="Arial" w:cs="Arial"/>
                <w:b w:val="0"/>
                <w:bCs/>
                <w:color w:val="auto"/>
                <w:sz w:val="20"/>
                <w:szCs w:val="18"/>
              </w:rPr>
            </w:pPr>
            <w:r w:rsidRPr="00B719AB">
              <w:rPr>
                <w:rFonts w:ascii="Arial" w:hAnsi="Arial" w:cs="Arial"/>
                <w:b w:val="0"/>
                <w:bCs/>
                <w:color w:val="auto"/>
                <w:sz w:val="20"/>
                <w:szCs w:val="18"/>
              </w:rPr>
              <w:t>Incubator set to 37°C +/- 1°C</w:t>
            </w:r>
          </w:p>
        </w:tc>
        <w:tc>
          <w:tcPr>
            <w:tcW w:w="1800" w:type="dxa"/>
            <w:tcBorders>
              <w:top w:val="single" w:sz="6" w:space="0" w:color="auto"/>
              <w:left w:val="single" w:sz="6" w:space="0" w:color="auto"/>
              <w:bottom w:val="nil"/>
              <w:right w:val="single" w:sz="6" w:space="0" w:color="auto"/>
            </w:tcBorders>
          </w:tcPr>
          <w:p w:rsidR="007203F8" w:rsidRDefault="007203F8" w:rsidP="00AA3E65">
            <w:pPr>
              <w:pStyle w:val="BodyText3"/>
              <w:rPr>
                <w:rFonts w:ascii="Arial" w:hAnsi="Arial" w:cs="Arial"/>
                <w:b w:val="0"/>
                <w:bCs/>
                <w:color w:val="auto"/>
                <w:sz w:val="20"/>
              </w:rPr>
            </w:pPr>
          </w:p>
        </w:tc>
        <w:tc>
          <w:tcPr>
            <w:tcW w:w="3150" w:type="dxa"/>
            <w:tcBorders>
              <w:top w:val="single" w:sz="6" w:space="0" w:color="auto"/>
              <w:left w:val="single" w:sz="6" w:space="0" w:color="auto"/>
              <w:bottom w:val="single" w:sz="4" w:space="0" w:color="auto"/>
              <w:right w:val="single" w:sz="4" w:space="0" w:color="auto"/>
            </w:tcBorders>
          </w:tcPr>
          <w:p w:rsidR="007203F8" w:rsidRPr="0088269F" w:rsidRDefault="007203F8" w:rsidP="00D10087">
            <w:pPr>
              <w:pStyle w:val="BodyText3"/>
              <w:rPr>
                <w:rFonts w:ascii="Arial" w:hAnsi="Arial" w:cs="Arial"/>
                <w:bCs/>
                <w:iCs/>
                <w:color w:val="auto"/>
                <w:sz w:val="20"/>
              </w:rPr>
            </w:pPr>
          </w:p>
        </w:tc>
      </w:tr>
      <w:tr w:rsidR="007203F8" w:rsidRPr="0088269F" w:rsidTr="00DD5407">
        <w:trPr>
          <w:cantSplit/>
          <w:trHeight w:val="345"/>
        </w:trPr>
        <w:tc>
          <w:tcPr>
            <w:tcW w:w="1798" w:type="dxa"/>
            <w:vMerge/>
            <w:tcBorders>
              <w:left w:val="nil"/>
              <w:right w:val="single" w:sz="4" w:space="0" w:color="auto"/>
            </w:tcBorders>
          </w:tcPr>
          <w:p w:rsidR="007203F8" w:rsidRPr="0088269F" w:rsidRDefault="007203F8">
            <w:pPr>
              <w:jc w:val="left"/>
              <w:rPr>
                <w:rFonts w:ascii="Arial" w:hAnsi="Arial" w:cs="Arial"/>
                <w:b/>
                <w:bCs/>
                <w:color w:val="0000FF"/>
                <w:sz w:val="20"/>
              </w:rPr>
            </w:pPr>
          </w:p>
        </w:tc>
        <w:tc>
          <w:tcPr>
            <w:tcW w:w="4232" w:type="dxa"/>
            <w:tcBorders>
              <w:top w:val="single" w:sz="4" w:space="0" w:color="auto"/>
              <w:left w:val="single" w:sz="4" w:space="0" w:color="auto"/>
              <w:bottom w:val="nil"/>
              <w:right w:val="single" w:sz="6" w:space="0" w:color="auto"/>
            </w:tcBorders>
          </w:tcPr>
          <w:p w:rsidR="007203F8" w:rsidRPr="00B719AB" w:rsidRDefault="007203F8" w:rsidP="0092531A">
            <w:pPr>
              <w:pStyle w:val="BodyText3"/>
              <w:spacing w:after="120"/>
              <w:rPr>
                <w:rFonts w:ascii="Arial" w:hAnsi="Arial" w:cs="Arial"/>
                <w:b w:val="0"/>
                <w:bCs/>
                <w:color w:val="auto"/>
                <w:sz w:val="20"/>
                <w:szCs w:val="18"/>
              </w:rPr>
            </w:pPr>
            <w:r>
              <w:rPr>
                <w:rFonts w:ascii="Arial" w:hAnsi="Arial" w:cs="Arial"/>
                <w:b w:val="0"/>
                <w:bCs/>
                <w:color w:val="auto"/>
                <w:sz w:val="20"/>
                <w:szCs w:val="18"/>
              </w:rPr>
              <w:t>Centrifuge</w:t>
            </w:r>
            <w:r w:rsidR="0092531A">
              <w:rPr>
                <w:rFonts w:ascii="Arial" w:hAnsi="Arial" w:cs="Arial"/>
                <w:b w:val="0"/>
                <w:bCs/>
                <w:color w:val="auto"/>
                <w:sz w:val="20"/>
                <w:szCs w:val="18"/>
              </w:rPr>
              <w:t xml:space="preserve"> set to </w:t>
            </w:r>
            <w:r w:rsidR="0092531A" w:rsidRPr="0092531A">
              <w:rPr>
                <w:rFonts w:ascii="Arial" w:hAnsi="Arial" w:cs="Arial"/>
                <w:b w:val="0"/>
                <w:bCs/>
                <w:color w:val="auto"/>
                <w:sz w:val="20"/>
                <w:szCs w:val="18"/>
              </w:rPr>
              <w:t xml:space="preserve">15 minutes at </w:t>
            </w:r>
            <w:r w:rsidR="0092531A">
              <w:rPr>
                <w:rFonts w:ascii="Arial" w:hAnsi="Arial" w:cs="Arial"/>
                <w:b w:val="0"/>
                <w:bCs/>
                <w:color w:val="auto"/>
                <w:sz w:val="20"/>
                <w:szCs w:val="18"/>
              </w:rPr>
              <w:t>3000 RCF(g)</w:t>
            </w:r>
          </w:p>
        </w:tc>
        <w:tc>
          <w:tcPr>
            <w:tcW w:w="1800" w:type="dxa"/>
            <w:tcBorders>
              <w:top w:val="single" w:sz="6" w:space="0" w:color="auto"/>
              <w:left w:val="single" w:sz="6" w:space="0" w:color="auto"/>
              <w:bottom w:val="nil"/>
              <w:right w:val="single" w:sz="6" w:space="0" w:color="auto"/>
            </w:tcBorders>
          </w:tcPr>
          <w:p w:rsidR="007203F8" w:rsidRDefault="007203F8" w:rsidP="00AA3E65">
            <w:pPr>
              <w:pStyle w:val="BodyText3"/>
              <w:rPr>
                <w:rFonts w:ascii="Arial" w:hAnsi="Arial" w:cs="Arial"/>
                <w:b w:val="0"/>
                <w:bCs/>
                <w:color w:val="auto"/>
                <w:sz w:val="20"/>
              </w:rPr>
            </w:pPr>
          </w:p>
        </w:tc>
        <w:tc>
          <w:tcPr>
            <w:tcW w:w="3150" w:type="dxa"/>
            <w:tcBorders>
              <w:top w:val="single" w:sz="6" w:space="0" w:color="auto"/>
              <w:left w:val="single" w:sz="6" w:space="0" w:color="auto"/>
              <w:bottom w:val="single" w:sz="4" w:space="0" w:color="auto"/>
              <w:right w:val="single" w:sz="4" w:space="0" w:color="auto"/>
            </w:tcBorders>
          </w:tcPr>
          <w:p w:rsidR="007203F8" w:rsidRPr="0088269F" w:rsidRDefault="007203F8" w:rsidP="00D10087">
            <w:pPr>
              <w:pStyle w:val="BodyText3"/>
              <w:rPr>
                <w:rFonts w:ascii="Arial" w:hAnsi="Arial" w:cs="Arial"/>
                <w:bCs/>
                <w:iCs/>
                <w:color w:val="auto"/>
                <w:sz w:val="20"/>
              </w:rPr>
            </w:pPr>
          </w:p>
        </w:tc>
      </w:tr>
      <w:tr w:rsidR="007203F8" w:rsidRPr="0088269F" w:rsidTr="00DD5407">
        <w:trPr>
          <w:cantSplit/>
          <w:trHeight w:val="327"/>
        </w:trPr>
        <w:tc>
          <w:tcPr>
            <w:tcW w:w="1798" w:type="dxa"/>
            <w:vMerge/>
            <w:tcBorders>
              <w:left w:val="nil"/>
              <w:bottom w:val="nil"/>
              <w:right w:val="single" w:sz="4" w:space="0" w:color="auto"/>
            </w:tcBorders>
          </w:tcPr>
          <w:p w:rsidR="007203F8" w:rsidRPr="0088269F" w:rsidRDefault="007203F8">
            <w:pPr>
              <w:jc w:val="left"/>
              <w:rPr>
                <w:rFonts w:ascii="Arial" w:hAnsi="Arial" w:cs="Arial"/>
                <w:b/>
                <w:bCs/>
                <w:color w:val="0000FF"/>
                <w:sz w:val="20"/>
              </w:rPr>
            </w:pPr>
          </w:p>
        </w:tc>
        <w:tc>
          <w:tcPr>
            <w:tcW w:w="4232" w:type="dxa"/>
            <w:tcBorders>
              <w:top w:val="single" w:sz="4" w:space="0" w:color="auto"/>
              <w:left w:val="single" w:sz="4" w:space="0" w:color="auto"/>
              <w:bottom w:val="nil"/>
              <w:right w:val="single" w:sz="6" w:space="0" w:color="auto"/>
            </w:tcBorders>
          </w:tcPr>
          <w:p w:rsidR="007203F8" w:rsidRDefault="007203F8" w:rsidP="00052DD9">
            <w:pPr>
              <w:pStyle w:val="BodyText3"/>
              <w:spacing w:after="120"/>
              <w:rPr>
                <w:rFonts w:ascii="Arial" w:hAnsi="Arial" w:cs="Arial"/>
                <w:b w:val="0"/>
                <w:bCs/>
                <w:color w:val="auto"/>
                <w:sz w:val="20"/>
                <w:szCs w:val="18"/>
              </w:rPr>
            </w:pPr>
            <w:r>
              <w:rPr>
                <w:rFonts w:ascii="Arial" w:hAnsi="Arial" w:cs="Arial"/>
                <w:b w:val="0"/>
                <w:bCs/>
                <w:color w:val="auto"/>
                <w:sz w:val="20"/>
                <w:szCs w:val="18"/>
              </w:rPr>
              <w:t>Test tube rack</w:t>
            </w:r>
            <w:r w:rsidR="0092531A">
              <w:rPr>
                <w:rFonts w:ascii="Arial" w:hAnsi="Arial" w:cs="Arial"/>
                <w:b w:val="0"/>
                <w:bCs/>
                <w:color w:val="auto"/>
                <w:sz w:val="20"/>
                <w:szCs w:val="18"/>
              </w:rPr>
              <w:t>s</w:t>
            </w:r>
          </w:p>
        </w:tc>
        <w:tc>
          <w:tcPr>
            <w:tcW w:w="1800" w:type="dxa"/>
            <w:tcBorders>
              <w:top w:val="single" w:sz="6" w:space="0" w:color="auto"/>
              <w:left w:val="single" w:sz="6" w:space="0" w:color="auto"/>
              <w:bottom w:val="nil"/>
              <w:right w:val="single" w:sz="6" w:space="0" w:color="auto"/>
            </w:tcBorders>
          </w:tcPr>
          <w:p w:rsidR="007203F8" w:rsidRDefault="007203F8" w:rsidP="00AA3E65">
            <w:pPr>
              <w:pStyle w:val="BodyText3"/>
              <w:rPr>
                <w:rFonts w:ascii="Arial" w:hAnsi="Arial" w:cs="Arial"/>
                <w:b w:val="0"/>
                <w:bCs/>
                <w:color w:val="auto"/>
                <w:sz w:val="20"/>
              </w:rPr>
            </w:pPr>
          </w:p>
        </w:tc>
        <w:tc>
          <w:tcPr>
            <w:tcW w:w="3150" w:type="dxa"/>
            <w:tcBorders>
              <w:top w:val="single" w:sz="6" w:space="0" w:color="auto"/>
              <w:left w:val="single" w:sz="6" w:space="0" w:color="auto"/>
              <w:bottom w:val="single" w:sz="4" w:space="0" w:color="auto"/>
              <w:right w:val="single" w:sz="4" w:space="0" w:color="auto"/>
            </w:tcBorders>
          </w:tcPr>
          <w:p w:rsidR="007203F8" w:rsidRPr="0088269F" w:rsidRDefault="007203F8" w:rsidP="00D10087">
            <w:pPr>
              <w:pStyle w:val="BodyText3"/>
              <w:rPr>
                <w:rFonts w:ascii="Arial" w:hAnsi="Arial" w:cs="Arial"/>
                <w:bCs/>
                <w:iCs/>
                <w:color w:val="auto"/>
                <w:sz w:val="20"/>
              </w:rPr>
            </w:pPr>
          </w:p>
        </w:tc>
      </w:tr>
      <w:tr w:rsidR="00B4430D" w:rsidRPr="0088269F" w:rsidTr="00F1241A">
        <w:trPr>
          <w:cantSplit/>
          <w:trHeight w:val="240"/>
        </w:trPr>
        <w:tc>
          <w:tcPr>
            <w:tcW w:w="1798" w:type="dxa"/>
            <w:tcBorders>
              <w:top w:val="nil"/>
              <w:left w:val="nil"/>
              <w:bottom w:val="nil"/>
              <w:right w:val="nil"/>
            </w:tcBorders>
          </w:tcPr>
          <w:p w:rsidR="00B4430D" w:rsidRPr="0088269F" w:rsidRDefault="00B4430D">
            <w:pPr>
              <w:jc w:val="left"/>
              <w:rPr>
                <w:rFonts w:ascii="Arial" w:hAnsi="Arial" w:cs="Arial"/>
                <w:b/>
                <w:bCs/>
                <w:color w:val="0000FF"/>
                <w:sz w:val="20"/>
              </w:rPr>
            </w:pPr>
          </w:p>
        </w:tc>
        <w:tc>
          <w:tcPr>
            <w:tcW w:w="9182" w:type="dxa"/>
            <w:gridSpan w:val="3"/>
            <w:tcBorders>
              <w:top w:val="single" w:sz="4" w:space="0" w:color="auto"/>
              <w:left w:val="nil"/>
              <w:bottom w:val="single" w:sz="18" w:space="0" w:color="BFBFBF"/>
              <w:right w:val="nil"/>
            </w:tcBorders>
          </w:tcPr>
          <w:p w:rsidR="00B4430D" w:rsidRDefault="00B4430D">
            <w:pPr>
              <w:pStyle w:val="BodyText3"/>
              <w:rPr>
                <w:rFonts w:ascii="Arial" w:hAnsi="Arial" w:cs="Arial"/>
                <w:b w:val="0"/>
                <w:bCs/>
                <w:iCs/>
                <w:color w:val="auto"/>
                <w:sz w:val="20"/>
              </w:rPr>
            </w:pPr>
          </w:p>
          <w:p w:rsidR="00FB6718" w:rsidRPr="0088269F" w:rsidRDefault="00FB6718" w:rsidP="005518DE">
            <w:pPr>
              <w:pStyle w:val="BodyText3"/>
              <w:rPr>
                <w:rFonts w:ascii="Arial" w:hAnsi="Arial" w:cs="Arial"/>
                <w:b w:val="0"/>
                <w:bCs/>
                <w:iCs/>
                <w:color w:val="auto"/>
                <w:sz w:val="20"/>
              </w:rPr>
            </w:pPr>
          </w:p>
        </w:tc>
      </w:tr>
      <w:tr w:rsidR="002A2689" w:rsidRPr="0088269F" w:rsidTr="0035628C">
        <w:trPr>
          <w:cantSplit/>
          <w:trHeight w:val="135"/>
        </w:trPr>
        <w:tc>
          <w:tcPr>
            <w:tcW w:w="1798" w:type="dxa"/>
            <w:tcBorders>
              <w:top w:val="nil"/>
              <w:left w:val="nil"/>
            </w:tcBorders>
          </w:tcPr>
          <w:p w:rsidR="002A2689" w:rsidRPr="0088269F" w:rsidRDefault="002A2689" w:rsidP="002A2689">
            <w:pPr>
              <w:jc w:val="left"/>
              <w:rPr>
                <w:rFonts w:ascii="Arial" w:hAnsi="Arial" w:cs="Arial"/>
                <w:b/>
                <w:bCs/>
                <w:color w:val="0000FF"/>
                <w:sz w:val="20"/>
              </w:rPr>
            </w:pPr>
            <w:r w:rsidRPr="0088269F">
              <w:rPr>
                <w:rFonts w:ascii="Arial" w:hAnsi="Arial" w:cs="Arial"/>
                <w:b/>
                <w:bCs/>
                <w:color w:val="0000FF"/>
                <w:sz w:val="20"/>
              </w:rPr>
              <w:t>Risk and Safety</w:t>
            </w:r>
          </w:p>
          <w:p w:rsidR="002A2689" w:rsidRPr="0088269F" w:rsidRDefault="002A2689" w:rsidP="00A42B23">
            <w:pPr>
              <w:rPr>
                <w:rFonts w:ascii="Arial" w:hAnsi="Arial" w:cs="Arial"/>
                <w:b/>
                <w:bCs/>
                <w:color w:val="0000FF"/>
                <w:sz w:val="20"/>
              </w:rPr>
            </w:pPr>
          </w:p>
          <w:p w:rsidR="002A2689" w:rsidRPr="0088269F" w:rsidRDefault="002A2689" w:rsidP="002A2689">
            <w:pPr>
              <w:jc w:val="left"/>
              <w:rPr>
                <w:rFonts w:ascii="Arial" w:hAnsi="Arial" w:cs="Arial"/>
                <w:b/>
                <w:bCs/>
                <w:color w:val="0000FF"/>
                <w:sz w:val="20"/>
              </w:rPr>
            </w:pPr>
          </w:p>
        </w:tc>
        <w:tc>
          <w:tcPr>
            <w:tcW w:w="9182" w:type="dxa"/>
            <w:gridSpan w:val="3"/>
            <w:tcBorders>
              <w:top w:val="single" w:sz="18" w:space="0" w:color="BFBFBF"/>
              <w:bottom w:val="single" w:sz="18" w:space="0" w:color="BFBFBF"/>
              <w:right w:val="nil"/>
            </w:tcBorders>
          </w:tcPr>
          <w:p w:rsidR="002A2689" w:rsidRDefault="00B74C70" w:rsidP="002A2689">
            <w:pPr>
              <w:autoSpaceDE w:val="0"/>
              <w:autoSpaceDN w:val="0"/>
              <w:adjustRightInd w:val="0"/>
              <w:rPr>
                <w:rFonts w:ascii="Arial" w:hAnsi="Arial"/>
                <w:sz w:val="20"/>
                <w:szCs w:val="20"/>
              </w:rPr>
            </w:pPr>
            <w:r>
              <w:rPr>
                <w:rFonts w:ascii="Arial" w:hAnsi="Arial"/>
                <w:sz w:val="20"/>
                <w:szCs w:val="20"/>
              </w:rPr>
              <w:t>Always follow Children’s Policy and Procedures regarding sample collection</w:t>
            </w:r>
            <w:r w:rsidR="00B1082F">
              <w:rPr>
                <w:rFonts w:ascii="Arial" w:hAnsi="Arial"/>
                <w:sz w:val="20"/>
                <w:szCs w:val="20"/>
              </w:rPr>
              <w:t xml:space="preserve"> and processing</w:t>
            </w:r>
            <w:r>
              <w:rPr>
                <w:rFonts w:ascii="Arial" w:hAnsi="Arial"/>
                <w:sz w:val="20"/>
                <w:szCs w:val="20"/>
              </w:rPr>
              <w:t xml:space="preserve">. All blood and body fluids must be considered potentially infectious. See procedure </w:t>
            </w:r>
            <w:hyperlink r:id="rId13" w:history="1">
              <w:r w:rsidRPr="00B74C70">
                <w:rPr>
                  <w:rStyle w:val="Hyperlink"/>
                  <w:rFonts w:ascii="Arial" w:hAnsi="Arial"/>
                  <w:sz w:val="20"/>
                  <w:szCs w:val="20"/>
                </w:rPr>
                <w:t>SA 10.01 Standard Precautions.</w:t>
              </w:r>
            </w:hyperlink>
          </w:p>
          <w:p w:rsidR="00B74C70" w:rsidRDefault="00B74C70" w:rsidP="002A2689">
            <w:pPr>
              <w:autoSpaceDE w:val="0"/>
              <w:autoSpaceDN w:val="0"/>
              <w:adjustRightInd w:val="0"/>
              <w:rPr>
                <w:rFonts w:ascii="Arial" w:hAnsi="Arial"/>
                <w:sz w:val="20"/>
                <w:szCs w:val="20"/>
              </w:rPr>
            </w:pPr>
          </w:p>
          <w:p w:rsidR="00B74C70" w:rsidRDefault="00B74C70" w:rsidP="002A2689">
            <w:pPr>
              <w:autoSpaceDE w:val="0"/>
              <w:autoSpaceDN w:val="0"/>
              <w:adjustRightInd w:val="0"/>
              <w:rPr>
                <w:rFonts w:ascii="Arial" w:hAnsi="Arial"/>
                <w:b/>
                <w:sz w:val="20"/>
                <w:szCs w:val="20"/>
              </w:rPr>
            </w:pPr>
            <w:r>
              <w:rPr>
                <w:rFonts w:ascii="Arial" w:hAnsi="Arial"/>
                <w:sz w:val="20"/>
                <w:szCs w:val="20"/>
              </w:rPr>
              <w:t xml:space="preserve">For specific precautions </w:t>
            </w:r>
            <w:r w:rsidR="00B1082F">
              <w:rPr>
                <w:rFonts w:ascii="Arial" w:hAnsi="Arial"/>
                <w:sz w:val="20"/>
                <w:szCs w:val="20"/>
              </w:rPr>
              <w:t xml:space="preserve">when collecting samples for TB exposure screening, Respiratory Protection Program, or when collecting samples from a patient with suspected or confirmed TB, see procedure </w:t>
            </w:r>
            <w:hyperlink r:id="rId14" w:history="1">
              <w:r w:rsidR="00B1082F" w:rsidRPr="00B1082F">
                <w:rPr>
                  <w:rStyle w:val="Hyperlink"/>
                  <w:rFonts w:ascii="Arial" w:hAnsi="Arial"/>
                  <w:sz w:val="20"/>
                  <w:szCs w:val="20"/>
                </w:rPr>
                <w:t>SA 10.82 Tuberculosis Exposure Control Plan</w:t>
              </w:r>
            </w:hyperlink>
            <w:r w:rsidR="00B1082F">
              <w:rPr>
                <w:rFonts w:ascii="Arial" w:hAnsi="Arial"/>
                <w:sz w:val="20"/>
                <w:szCs w:val="20"/>
              </w:rPr>
              <w:t xml:space="preserve">. </w:t>
            </w:r>
          </w:p>
          <w:p w:rsidR="002A2689" w:rsidRDefault="002A2689" w:rsidP="002A2689">
            <w:pPr>
              <w:autoSpaceDE w:val="0"/>
              <w:autoSpaceDN w:val="0"/>
              <w:adjustRightInd w:val="0"/>
              <w:rPr>
                <w:rFonts w:ascii="Arial" w:hAnsi="Arial"/>
                <w:b/>
                <w:sz w:val="20"/>
                <w:szCs w:val="20"/>
              </w:rPr>
            </w:pPr>
          </w:p>
          <w:p w:rsidR="002A2689" w:rsidRDefault="002A2689" w:rsidP="002A2689">
            <w:pPr>
              <w:autoSpaceDE w:val="0"/>
              <w:autoSpaceDN w:val="0"/>
              <w:adjustRightInd w:val="0"/>
              <w:rPr>
                <w:rFonts w:ascii="Arial" w:hAnsi="Arial"/>
                <w:sz w:val="20"/>
                <w:szCs w:val="20"/>
              </w:rPr>
            </w:pPr>
          </w:p>
          <w:p w:rsidR="00175747" w:rsidRDefault="00175747" w:rsidP="002A2689">
            <w:pPr>
              <w:autoSpaceDE w:val="0"/>
              <w:autoSpaceDN w:val="0"/>
              <w:adjustRightInd w:val="0"/>
              <w:rPr>
                <w:rFonts w:ascii="Arial" w:hAnsi="Arial"/>
                <w:sz w:val="20"/>
                <w:szCs w:val="20"/>
              </w:rPr>
            </w:pPr>
          </w:p>
          <w:p w:rsidR="00175747" w:rsidRPr="002A2689" w:rsidRDefault="00175747" w:rsidP="002A2689">
            <w:pPr>
              <w:autoSpaceDE w:val="0"/>
              <w:autoSpaceDN w:val="0"/>
              <w:adjustRightInd w:val="0"/>
              <w:rPr>
                <w:rFonts w:ascii="Arial" w:hAnsi="Arial"/>
                <w:sz w:val="20"/>
                <w:szCs w:val="20"/>
              </w:rPr>
            </w:pPr>
          </w:p>
        </w:tc>
      </w:tr>
      <w:tr w:rsidR="00BD2C2C" w:rsidRPr="0088269F" w:rsidTr="00E002AF">
        <w:tc>
          <w:tcPr>
            <w:tcW w:w="1798" w:type="dxa"/>
            <w:tcBorders>
              <w:top w:val="nil"/>
              <w:left w:val="nil"/>
              <w:bottom w:val="nil"/>
            </w:tcBorders>
          </w:tcPr>
          <w:p w:rsidR="00A02216" w:rsidRPr="0088269F" w:rsidRDefault="00175747" w:rsidP="00A02216">
            <w:pPr>
              <w:jc w:val="left"/>
              <w:rPr>
                <w:rFonts w:ascii="Arial" w:hAnsi="Arial" w:cs="Arial"/>
                <w:b/>
                <w:bCs/>
                <w:color w:val="0000FF"/>
                <w:sz w:val="20"/>
              </w:rPr>
            </w:pPr>
            <w:r>
              <w:rPr>
                <w:rFonts w:ascii="Arial" w:hAnsi="Arial" w:cs="Arial"/>
                <w:b/>
                <w:bCs/>
                <w:color w:val="0000FF"/>
                <w:sz w:val="20"/>
                <w:szCs w:val="18"/>
              </w:rPr>
              <w:t>Sample Collection Procedure</w:t>
            </w:r>
          </w:p>
          <w:p w:rsidR="00BD2C2C" w:rsidRPr="0088269F" w:rsidRDefault="00BD2C2C" w:rsidP="00A42B23">
            <w:pPr>
              <w:rPr>
                <w:rFonts w:ascii="Arial" w:hAnsi="Arial" w:cs="Arial"/>
                <w:b/>
                <w:bCs/>
                <w:color w:val="0000FF"/>
                <w:sz w:val="20"/>
              </w:rPr>
            </w:pPr>
          </w:p>
        </w:tc>
        <w:tc>
          <w:tcPr>
            <w:tcW w:w="9182" w:type="dxa"/>
            <w:gridSpan w:val="3"/>
            <w:tcBorders>
              <w:top w:val="single" w:sz="18" w:space="0" w:color="BFBFBF"/>
              <w:bottom w:val="single" w:sz="6" w:space="0" w:color="auto"/>
              <w:right w:val="nil"/>
            </w:tcBorders>
          </w:tcPr>
          <w:p w:rsidR="00A02216" w:rsidRDefault="00175747" w:rsidP="00A02216">
            <w:pPr>
              <w:jc w:val="left"/>
              <w:rPr>
                <w:rFonts w:ascii="Arial" w:hAnsi="Arial" w:cs="Arial"/>
                <w:b/>
                <w:sz w:val="20"/>
              </w:rPr>
            </w:pPr>
            <w:r>
              <w:rPr>
                <w:rFonts w:ascii="Arial" w:hAnsi="Arial" w:cs="Arial"/>
                <w:b/>
                <w:sz w:val="20"/>
              </w:rPr>
              <w:t>Sample Collection Procedure</w:t>
            </w:r>
          </w:p>
          <w:p w:rsidR="00175747" w:rsidRDefault="00175747" w:rsidP="002F1F4E">
            <w:pPr>
              <w:ind w:left="360"/>
              <w:jc w:val="left"/>
              <w:rPr>
                <w:rFonts w:ascii="Arial" w:hAnsi="Arial" w:cs="Arial"/>
                <w:sz w:val="20"/>
              </w:rPr>
            </w:pPr>
            <w:r>
              <w:rPr>
                <w:rFonts w:ascii="Arial" w:hAnsi="Arial" w:cs="Arial"/>
                <w:b/>
                <w:sz w:val="20"/>
              </w:rPr>
              <w:t>NOTE:</w:t>
            </w:r>
            <w:r w:rsidR="002F1F4E">
              <w:rPr>
                <w:rFonts w:ascii="Arial" w:hAnsi="Arial" w:cs="Arial"/>
                <w:b/>
                <w:sz w:val="20"/>
              </w:rPr>
              <w:t xml:space="preserve"> </w:t>
            </w:r>
            <w:r w:rsidR="002F1F4E">
              <w:rPr>
                <w:rFonts w:ascii="Arial" w:hAnsi="Arial" w:cs="Arial"/>
                <w:sz w:val="20"/>
              </w:rPr>
              <w:t>All collection tubes must be at room temperature (17-27C) at the time of draw.</w:t>
            </w:r>
          </w:p>
          <w:p w:rsidR="002F1F4E" w:rsidRDefault="002F1F4E" w:rsidP="002F1F4E">
            <w:pPr>
              <w:pStyle w:val="TableText"/>
              <w:numPr>
                <w:ilvl w:val="0"/>
                <w:numId w:val="34"/>
              </w:numPr>
              <w:autoSpaceDE/>
              <w:autoSpaceDN/>
              <w:rPr>
                <w:rFonts w:ascii="Arial" w:hAnsi="Arial" w:cs="Arial"/>
                <w:bCs/>
                <w:szCs w:val="20"/>
              </w:rPr>
            </w:pPr>
            <w:r w:rsidRPr="002F1F4E">
              <w:rPr>
                <w:rFonts w:ascii="Arial" w:hAnsi="Arial" w:cs="Arial"/>
                <w:b/>
                <w:bCs/>
                <w:szCs w:val="20"/>
              </w:rPr>
              <w:t>Collection</w:t>
            </w:r>
            <w:r>
              <w:rPr>
                <w:rFonts w:ascii="Arial" w:hAnsi="Arial" w:cs="Arial"/>
                <w:bCs/>
                <w:szCs w:val="20"/>
              </w:rPr>
              <w:t xml:space="preserve"> - For each </w:t>
            </w:r>
            <w:r w:rsidR="005075C6">
              <w:rPr>
                <w:rFonts w:ascii="Arial" w:hAnsi="Arial" w:cs="Arial"/>
                <w:bCs/>
                <w:szCs w:val="20"/>
              </w:rPr>
              <w:t>patient</w:t>
            </w:r>
            <w:r>
              <w:rPr>
                <w:rFonts w:ascii="Arial" w:hAnsi="Arial" w:cs="Arial"/>
                <w:bCs/>
                <w:szCs w:val="20"/>
              </w:rPr>
              <w:t xml:space="preserve"> collect 1 mL of blood by venipuncture directly into each of the QuantiFERON-TB Gold (QTB) blood collection tubes</w:t>
            </w:r>
            <w:r w:rsidR="00223D6A">
              <w:rPr>
                <w:rFonts w:ascii="Arial" w:hAnsi="Arial" w:cs="Arial"/>
                <w:bCs/>
                <w:szCs w:val="20"/>
              </w:rPr>
              <w:t xml:space="preserve"> (see fig. 1)</w:t>
            </w:r>
            <w:r>
              <w:rPr>
                <w:rFonts w:ascii="Arial" w:hAnsi="Arial" w:cs="Arial"/>
                <w:bCs/>
                <w:szCs w:val="20"/>
              </w:rPr>
              <w:t>. A trained phlebotomist should perform this procedure:</w:t>
            </w:r>
          </w:p>
          <w:p w:rsidR="002F1F4E" w:rsidRDefault="002F1F4E" w:rsidP="002F1F4E">
            <w:pPr>
              <w:numPr>
                <w:ilvl w:val="1"/>
                <w:numId w:val="34"/>
              </w:numPr>
              <w:jc w:val="left"/>
              <w:rPr>
                <w:rFonts w:ascii="Arial" w:hAnsi="Arial" w:cs="Arial"/>
                <w:bCs/>
                <w:sz w:val="20"/>
                <w:szCs w:val="20"/>
              </w:rPr>
            </w:pPr>
            <w:r>
              <w:rPr>
                <w:rFonts w:ascii="Arial" w:hAnsi="Arial" w:cs="Arial"/>
                <w:bCs/>
                <w:sz w:val="20"/>
                <w:szCs w:val="20"/>
              </w:rPr>
              <w:t xml:space="preserve">Tubes will fill </w:t>
            </w:r>
            <w:r w:rsidRPr="002F1F4E">
              <w:rPr>
                <w:rFonts w:ascii="Arial" w:hAnsi="Arial" w:cs="Arial"/>
                <w:b/>
                <w:bCs/>
                <w:sz w:val="20"/>
                <w:szCs w:val="20"/>
              </w:rPr>
              <w:t>relatively slowly</w:t>
            </w:r>
            <w:r>
              <w:rPr>
                <w:rFonts w:ascii="Arial" w:hAnsi="Arial" w:cs="Arial"/>
                <w:bCs/>
                <w:sz w:val="20"/>
                <w:szCs w:val="20"/>
              </w:rPr>
              <w:t>, keep the tube on the needle for 2-3 seconds once the tube appears to have completed filling to ensure that the correct volume is drawn.</w:t>
            </w:r>
          </w:p>
          <w:p w:rsidR="002F1F4E" w:rsidRPr="002F1F4E" w:rsidRDefault="002F1F4E" w:rsidP="002F1F4E">
            <w:pPr>
              <w:numPr>
                <w:ilvl w:val="1"/>
                <w:numId w:val="34"/>
              </w:numPr>
              <w:jc w:val="left"/>
              <w:rPr>
                <w:rFonts w:ascii="Arial" w:hAnsi="Arial" w:cs="Arial"/>
                <w:bCs/>
                <w:sz w:val="20"/>
                <w:szCs w:val="20"/>
              </w:rPr>
            </w:pPr>
            <w:r>
              <w:rPr>
                <w:rFonts w:ascii="Arial" w:hAnsi="Arial" w:cs="Arial"/>
                <w:bCs/>
                <w:sz w:val="20"/>
                <w:szCs w:val="20"/>
              </w:rPr>
              <w:t xml:space="preserve">The black mark on the side of the tubes indicates the 1mL fill volume. If the level of blood in any tube is not close to the indicator line, it is recommended to obtain another blood sample or to collect blood via a syringe as described below. Under or over-filling of the tubes outside of the 0.8mL to 1.2mL range may lead to erroneous results. </w:t>
            </w:r>
            <w:r w:rsidR="00223D6A">
              <w:rPr>
                <w:rFonts w:ascii="Arial" w:hAnsi="Arial" w:cs="Arial"/>
                <w:bCs/>
                <w:sz w:val="20"/>
                <w:szCs w:val="20"/>
              </w:rPr>
              <w:t>(</w:t>
            </w:r>
            <w:r>
              <w:rPr>
                <w:rFonts w:ascii="Arial" w:hAnsi="Arial" w:cs="Arial"/>
                <w:bCs/>
                <w:sz w:val="20"/>
                <w:szCs w:val="20"/>
              </w:rPr>
              <w:t xml:space="preserve">See fig. </w:t>
            </w:r>
            <w:r w:rsidR="00223D6A">
              <w:rPr>
                <w:rFonts w:ascii="Arial" w:hAnsi="Arial" w:cs="Arial"/>
                <w:bCs/>
                <w:sz w:val="20"/>
                <w:szCs w:val="20"/>
              </w:rPr>
              <w:t>2)</w:t>
            </w:r>
          </w:p>
          <w:p w:rsidR="002F1F4E" w:rsidRDefault="002F1F4E" w:rsidP="002F1F4E">
            <w:pPr>
              <w:numPr>
                <w:ilvl w:val="1"/>
                <w:numId w:val="34"/>
              </w:numPr>
              <w:jc w:val="left"/>
              <w:rPr>
                <w:rFonts w:ascii="Arial" w:hAnsi="Arial" w:cs="Arial"/>
                <w:bCs/>
                <w:sz w:val="20"/>
                <w:szCs w:val="20"/>
              </w:rPr>
            </w:pPr>
            <w:r>
              <w:rPr>
                <w:rFonts w:ascii="Arial" w:hAnsi="Arial" w:cs="Arial"/>
                <w:bCs/>
                <w:sz w:val="20"/>
                <w:szCs w:val="20"/>
              </w:rPr>
              <w:lastRenderedPageBreak/>
              <w:t xml:space="preserve">If low blood draw volume does occur, blood can be collected using a syringe and 1mL transferred to each of the </w:t>
            </w:r>
            <w:r w:rsidR="005075C6">
              <w:rPr>
                <w:rFonts w:ascii="Arial" w:hAnsi="Arial" w:cs="Arial"/>
                <w:bCs/>
                <w:sz w:val="20"/>
                <w:szCs w:val="20"/>
              </w:rPr>
              <w:t>four</w:t>
            </w:r>
            <w:r>
              <w:rPr>
                <w:rFonts w:ascii="Arial" w:hAnsi="Arial" w:cs="Arial"/>
                <w:bCs/>
                <w:sz w:val="20"/>
                <w:szCs w:val="20"/>
              </w:rPr>
              <w:t xml:space="preserve"> tubes. For safety reasons, this is best performed by removing the syringe needle and removing the caps from the three tubes and adding 1mL of blood to each (to the black mark on the side of the tube label). Replace the tube caps securely and mix as directed below.</w:t>
            </w:r>
          </w:p>
          <w:p w:rsidR="002F1F4E" w:rsidRDefault="002F1F4E" w:rsidP="002F1F4E">
            <w:pPr>
              <w:pStyle w:val="TableText"/>
              <w:numPr>
                <w:ilvl w:val="1"/>
                <w:numId w:val="34"/>
              </w:numPr>
              <w:autoSpaceDE/>
              <w:autoSpaceDN/>
              <w:rPr>
                <w:rFonts w:ascii="Arial" w:hAnsi="Arial" w:cs="Arial"/>
                <w:bCs/>
                <w:szCs w:val="20"/>
              </w:rPr>
            </w:pPr>
            <w:r>
              <w:rPr>
                <w:rFonts w:ascii="Arial" w:hAnsi="Arial" w:cs="Arial"/>
                <w:bCs/>
                <w:szCs w:val="20"/>
              </w:rPr>
              <w:t>If a butterfly needle is used, first collect other required tubes or use a “purge” tube to remove the air. Then proceed with collecting the QuantiFERON tubes.</w:t>
            </w:r>
          </w:p>
          <w:p w:rsidR="002F1F4E" w:rsidRDefault="002F1F4E" w:rsidP="002F1F4E">
            <w:pPr>
              <w:pStyle w:val="TableText"/>
              <w:numPr>
                <w:ilvl w:val="0"/>
                <w:numId w:val="34"/>
              </w:numPr>
              <w:autoSpaceDE/>
              <w:autoSpaceDN/>
              <w:rPr>
                <w:rFonts w:ascii="Arial" w:hAnsi="Arial" w:cs="Arial"/>
                <w:bCs/>
                <w:szCs w:val="20"/>
              </w:rPr>
            </w:pPr>
            <w:r w:rsidRPr="002F1F4E">
              <w:rPr>
                <w:rFonts w:ascii="Arial" w:hAnsi="Arial" w:cs="Arial"/>
                <w:b/>
                <w:bCs/>
                <w:szCs w:val="20"/>
              </w:rPr>
              <w:t>Shake tubes</w:t>
            </w:r>
            <w:r>
              <w:rPr>
                <w:rFonts w:ascii="Arial" w:hAnsi="Arial" w:cs="Arial"/>
                <w:bCs/>
                <w:szCs w:val="20"/>
              </w:rPr>
              <w:t xml:space="preserve"> - </w:t>
            </w:r>
            <w:r w:rsidRPr="002F1F4E">
              <w:rPr>
                <w:rFonts w:ascii="Arial" w:hAnsi="Arial" w:cs="Arial"/>
                <w:bCs/>
                <w:szCs w:val="20"/>
              </w:rPr>
              <w:t xml:space="preserve">Immediately after filling tubes, shake them ten (10) times; just firmly enough to </w:t>
            </w:r>
            <w:r w:rsidRPr="00223D6A">
              <w:rPr>
                <w:rFonts w:ascii="Arial" w:hAnsi="Arial" w:cs="Arial"/>
                <w:bCs/>
                <w:szCs w:val="20"/>
                <w:u w:val="single"/>
              </w:rPr>
              <w:t>ensure the entire inner surface of the tube is coated with blood</w:t>
            </w:r>
            <w:r w:rsidRPr="002F1F4E">
              <w:rPr>
                <w:rFonts w:ascii="Arial" w:hAnsi="Arial" w:cs="Arial"/>
                <w:bCs/>
                <w:szCs w:val="20"/>
              </w:rPr>
              <w:t>, to dissolve antigens on tube walls.</w:t>
            </w:r>
          </w:p>
          <w:p w:rsidR="002F1F4E" w:rsidRDefault="002F1F4E" w:rsidP="002F1F4E">
            <w:pPr>
              <w:pStyle w:val="TableText"/>
              <w:numPr>
                <w:ilvl w:val="1"/>
                <w:numId w:val="34"/>
              </w:numPr>
              <w:autoSpaceDE/>
              <w:autoSpaceDN/>
              <w:rPr>
                <w:rFonts w:ascii="Arial" w:hAnsi="Arial" w:cs="Arial"/>
                <w:bCs/>
                <w:szCs w:val="20"/>
              </w:rPr>
            </w:pPr>
            <w:r>
              <w:rPr>
                <w:rFonts w:ascii="Arial" w:hAnsi="Arial" w:cs="Arial"/>
                <w:bCs/>
                <w:szCs w:val="20"/>
              </w:rPr>
              <w:t>Overly vigorous shaking may cause gel disruption and could lead to aberrant results.</w:t>
            </w:r>
          </w:p>
          <w:p w:rsidR="002F1F4E" w:rsidRDefault="001245D8" w:rsidP="002F1F4E">
            <w:pPr>
              <w:pStyle w:val="TableText"/>
              <w:numPr>
                <w:ilvl w:val="0"/>
                <w:numId w:val="34"/>
              </w:numPr>
              <w:autoSpaceDE/>
              <w:autoSpaceDN/>
              <w:rPr>
                <w:rFonts w:ascii="Arial" w:hAnsi="Arial" w:cs="Arial"/>
                <w:bCs/>
                <w:szCs w:val="20"/>
              </w:rPr>
            </w:pPr>
            <w:r w:rsidRPr="001245D8">
              <w:rPr>
                <w:rFonts w:ascii="Arial" w:hAnsi="Arial" w:cs="Arial"/>
                <w:b/>
                <w:bCs/>
                <w:szCs w:val="20"/>
              </w:rPr>
              <w:t>Label tubes</w:t>
            </w:r>
            <w:r>
              <w:rPr>
                <w:rFonts w:ascii="Arial" w:hAnsi="Arial" w:cs="Arial"/>
                <w:bCs/>
                <w:szCs w:val="20"/>
              </w:rPr>
              <w:t xml:space="preserve"> - Label tubes appropriately according to Children's Hospitals &amp; Clinics of MN standards.</w:t>
            </w:r>
          </w:p>
          <w:p w:rsidR="001245D8" w:rsidRDefault="00F71BC8" w:rsidP="001245D8">
            <w:pPr>
              <w:pStyle w:val="TableText"/>
              <w:numPr>
                <w:ilvl w:val="0"/>
                <w:numId w:val="34"/>
              </w:numPr>
              <w:rPr>
                <w:rFonts w:ascii="Arial" w:hAnsi="Arial" w:cs="Arial"/>
                <w:bCs/>
                <w:szCs w:val="20"/>
              </w:rPr>
            </w:pPr>
            <w:r>
              <w:rPr>
                <w:rFonts w:ascii="Arial" w:hAnsi="Arial" w:cs="Arial"/>
                <w:b/>
                <w:bCs/>
                <w:szCs w:val="20"/>
              </w:rPr>
              <w:t>Transport to St. Paul</w:t>
            </w:r>
            <w:r w:rsidR="008F7963">
              <w:rPr>
                <w:rFonts w:ascii="Arial" w:hAnsi="Arial" w:cs="Arial"/>
                <w:b/>
                <w:bCs/>
                <w:szCs w:val="20"/>
              </w:rPr>
              <w:t xml:space="preserve"> Lab</w:t>
            </w:r>
            <w:r w:rsidR="001245D8">
              <w:rPr>
                <w:rFonts w:ascii="Arial" w:hAnsi="Arial" w:cs="Arial"/>
                <w:bCs/>
                <w:szCs w:val="20"/>
              </w:rPr>
              <w:t xml:space="preserve"> </w:t>
            </w:r>
            <w:r>
              <w:rPr>
                <w:rFonts w:ascii="Arial" w:hAnsi="Arial" w:cs="Arial"/>
                <w:bCs/>
                <w:szCs w:val="20"/>
              </w:rPr>
              <w:t>–</w:t>
            </w:r>
            <w:r w:rsidR="001245D8">
              <w:rPr>
                <w:rFonts w:ascii="Arial" w:hAnsi="Arial" w:cs="Arial"/>
                <w:bCs/>
                <w:szCs w:val="20"/>
              </w:rPr>
              <w:t xml:space="preserve"> </w:t>
            </w:r>
            <w:r>
              <w:rPr>
                <w:rFonts w:ascii="Arial" w:hAnsi="Arial" w:cs="Arial"/>
                <w:bCs/>
                <w:szCs w:val="20"/>
              </w:rPr>
              <w:t xml:space="preserve">Tubes must be transported to the St. Paul laboratory at room temperature and must arrive </w:t>
            </w:r>
            <w:r w:rsidR="008F7963">
              <w:rPr>
                <w:rFonts w:ascii="Arial" w:hAnsi="Arial" w:cs="Arial"/>
                <w:bCs/>
                <w:szCs w:val="20"/>
              </w:rPr>
              <w:t>to be incubated within</w:t>
            </w:r>
            <w:r>
              <w:rPr>
                <w:rFonts w:ascii="Arial" w:hAnsi="Arial" w:cs="Arial"/>
                <w:bCs/>
                <w:szCs w:val="20"/>
              </w:rPr>
              <w:t xml:space="preserve"> 16 hours of collection. </w:t>
            </w:r>
          </w:p>
          <w:p w:rsidR="001245D8" w:rsidRDefault="001245D8" w:rsidP="001245D8">
            <w:pPr>
              <w:pStyle w:val="TableText"/>
              <w:numPr>
                <w:ilvl w:val="1"/>
                <w:numId w:val="34"/>
              </w:numPr>
              <w:rPr>
                <w:rFonts w:ascii="Arial" w:hAnsi="Arial" w:cs="Arial"/>
                <w:bCs/>
                <w:szCs w:val="20"/>
              </w:rPr>
            </w:pPr>
            <w:r w:rsidRPr="001245D8">
              <w:rPr>
                <w:rFonts w:ascii="Arial" w:hAnsi="Arial" w:cs="Arial"/>
                <w:bCs/>
                <w:szCs w:val="20"/>
              </w:rPr>
              <w:t>Prior to incubation, maintain tubes at room temperature (22+/-5°C). Do not refrigerate or freeze the blood samples.</w:t>
            </w:r>
          </w:p>
          <w:p w:rsidR="001245D8" w:rsidRDefault="006265C8" w:rsidP="006265C8">
            <w:pPr>
              <w:pStyle w:val="TableText"/>
              <w:numPr>
                <w:ilvl w:val="1"/>
                <w:numId w:val="34"/>
              </w:numPr>
              <w:rPr>
                <w:rFonts w:ascii="Arial" w:hAnsi="Arial" w:cs="Arial"/>
                <w:bCs/>
                <w:szCs w:val="20"/>
              </w:rPr>
            </w:pPr>
            <w:r w:rsidRPr="005A0C5B">
              <w:rPr>
                <w:rFonts w:ascii="Arial" w:hAnsi="Arial" w:cs="Arial"/>
                <w:b/>
                <w:bCs/>
                <w:szCs w:val="20"/>
              </w:rPr>
              <w:t>Specimens collected in Minneapolis</w:t>
            </w:r>
            <w:r>
              <w:rPr>
                <w:rFonts w:ascii="Arial" w:hAnsi="Arial" w:cs="Arial"/>
                <w:bCs/>
                <w:szCs w:val="20"/>
              </w:rPr>
              <w:t xml:space="preserve">: Processing Staff will receive sample and immediately place in red cooler for transport to St. Paul </w:t>
            </w:r>
            <w:r w:rsidR="00AF0684">
              <w:rPr>
                <w:rFonts w:ascii="Arial" w:hAnsi="Arial" w:cs="Arial"/>
                <w:bCs/>
                <w:szCs w:val="20"/>
              </w:rPr>
              <w:t>l</w:t>
            </w:r>
            <w:r>
              <w:rPr>
                <w:rFonts w:ascii="Arial" w:hAnsi="Arial" w:cs="Arial"/>
                <w:bCs/>
                <w:szCs w:val="20"/>
              </w:rPr>
              <w:t>ab. V</w:t>
            </w:r>
            <w:r w:rsidR="008F7963" w:rsidRPr="006265C8">
              <w:rPr>
                <w:rFonts w:ascii="Arial" w:hAnsi="Arial" w:cs="Arial"/>
                <w:bCs/>
                <w:szCs w:val="20"/>
              </w:rPr>
              <w:t>erify courier transport will arrive in St. Paul within 16 hours</w:t>
            </w:r>
            <w:r w:rsidR="007203F8" w:rsidRPr="006265C8">
              <w:rPr>
                <w:rFonts w:ascii="Arial" w:hAnsi="Arial" w:cs="Arial"/>
                <w:bCs/>
                <w:szCs w:val="20"/>
              </w:rPr>
              <w:t xml:space="preserve"> of collection</w:t>
            </w:r>
            <w:r w:rsidR="000F7711">
              <w:rPr>
                <w:rFonts w:ascii="Arial" w:hAnsi="Arial" w:cs="Arial"/>
                <w:bCs/>
                <w:szCs w:val="20"/>
              </w:rPr>
              <w:t>, if not, then utilize STAT courier</w:t>
            </w:r>
            <w:r w:rsidR="008F7963" w:rsidRPr="006265C8">
              <w:rPr>
                <w:rFonts w:ascii="Arial" w:hAnsi="Arial" w:cs="Arial"/>
                <w:bCs/>
                <w:szCs w:val="20"/>
              </w:rPr>
              <w:t xml:space="preserve">. </w:t>
            </w:r>
          </w:p>
          <w:p w:rsidR="006265C8" w:rsidRPr="006265C8" w:rsidRDefault="006265C8" w:rsidP="006265C8">
            <w:pPr>
              <w:pStyle w:val="TableText"/>
              <w:numPr>
                <w:ilvl w:val="1"/>
                <w:numId w:val="34"/>
              </w:numPr>
              <w:rPr>
                <w:rFonts w:ascii="Arial" w:hAnsi="Arial" w:cs="Arial"/>
                <w:bCs/>
                <w:szCs w:val="20"/>
              </w:rPr>
            </w:pPr>
            <w:r w:rsidRPr="005A0C5B">
              <w:rPr>
                <w:rFonts w:ascii="Arial" w:hAnsi="Arial" w:cs="Arial"/>
                <w:b/>
                <w:bCs/>
                <w:szCs w:val="20"/>
              </w:rPr>
              <w:t>Specimens collected at the Children’s Business Campus</w:t>
            </w:r>
            <w:r>
              <w:rPr>
                <w:rFonts w:ascii="Arial" w:hAnsi="Arial" w:cs="Arial"/>
                <w:bCs/>
                <w:szCs w:val="20"/>
              </w:rPr>
              <w:t xml:space="preserve"> (EHS) </w:t>
            </w:r>
            <w:r w:rsidRPr="005A0C5B">
              <w:rPr>
                <w:rFonts w:ascii="Arial" w:hAnsi="Arial" w:cs="Arial"/>
                <w:b/>
                <w:bCs/>
                <w:szCs w:val="20"/>
              </w:rPr>
              <w:t>or Clinic sites</w:t>
            </w:r>
            <w:r>
              <w:rPr>
                <w:rFonts w:ascii="Arial" w:hAnsi="Arial" w:cs="Arial"/>
                <w:bCs/>
                <w:szCs w:val="20"/>
              </w:rPr>
              <w:t xml:space="preserve"> will be directly routed to St. Paul lab</w:t>
            </w:r>
            <w:r w:rsidR="005A0C5B">
              <w:rPr>
                <w:rFonts w:ascii="Arial" w:hAnsi="Arial" w:cs="Arial"/>
                <w:bCs/>
                <w:szCs w:val="20"/>
              </w:rPr>
              <w:t xml:space="preserve"> via routine courier</w:t>
            </w:r>
            <w:r>
              <w:rPr>
                <w:rFonts w:ascii="Arial" w:hAnsi="Arial" w:cs="Arial"/>
                <w:bCs/>
                <w:szCs w:val="20"/>
              </w:rPr>
              <w:t>.</w:t>
            </w:r>
          </w:p>
          <w:p w:rsidR="005518DE" w:rsidRDefault="00223D6A" w:rsidP="00223D6A">
            <w:pPr>
              <w:pStyle w:val="BodyText3"/>
            </w:pPr>
            <w:r>
              <w:rPr>
                <w:noProof/>
              </w:rPr>
              <w:drawing>
                <wp:inline distT="0" distB="0" distL="0" distR="0" wp14:anchorId="60B303BF" wp14:editId="4EA39D1D">
                  <wp:extent cx="2514600" cy="30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ction Tubes.jpg"/>
                          <pic:cNvPicPr/>
                        </pic:nvPicPr>
                        <pic:blipFill>
                          <a:blip r:embed="rId15">
                            <a:extLst>
                              <a:ext uri="{28A0092B-C50C-407E-A947-70E740481C1C}">
                                <a14:useLocalDpi xmlns:a14="http://schemas.microsoft.com/office/drawing/2010/main" val="0"/>
                              </a:ext>
                            </a:extLst>
                          </a:blip>
                          <a:stretch>
                            <a:fillRect/>
                          </a:stretch>
                        </pic:blipFill>
                        <pic:spPr>
                          <a:xfrm>
                            <a:off x="0" y="0"/>
                            <a:ext cx="2514600" cy="3048000"/>
                          </a:xfrm>
                          <a:prstGeom prst="rect">
                            <a:avLst/>
                          </a:prstGeom>
                        </pic:spPr>
                      </pic:pic>
                    </a:graphicData>
                  </a:graphic>
                </wp:inline>
              </w:drawing>
            </w:r>
            <w:r>
              <w:t xml:space="preserve">                              </w:t>
            </w:r>
            <w:r w:rsidR="002F1F4E">
              <w:rPr>
                <w:noProof/>
              </w:rPr>
              <w:drawing>
                <wp:inline distT="0" distB="0" distL="0" distR="0">
                  <wp:extent cx="1409700" cy="3048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ll line.jpg"/>
                          <pic:cNvPicPr/>
                        </pic:nvPicPr>
                        <pic:blipFill>
                          <a:blip r:embed="rId16">
                            <a:extLst>
                              <a:ext uri="{28A0092B-C50C-407E-A947-70E740481C1C}">
                                <a14:useLocalDpi xmlns:a14="http://schemas.microsoft.com/office/drawing/2010/main" val="0"/>
                              </a:ext>
                            </a:extLst>
                          </a:blip>
                          <a:stretch>
                            <a:fillRect/>
                          </a:stretch>
                        </pic:blipFill>
                        <pic:spPr>
                          <a:xfrm>
                            <a:off x="0" y="0"/>
                            <a:ext cx="1409700" cy="3048000"/>
                          </a:xfrm>
                          <a:prstGeom prst="rect">
                            <a:avLst/>
                          </a:prstGeom>
                        </pic:spPr>
                      </pic:pic>
                    </a:graphicData>
                  </a:graphic>
                </wp:inline>
              </w:drawing>
            </w:r>
            <w:r>
              <w:t xml:space="preserve">                          </w:t>
            </w:r>
          </w:p>
          <w:p w:rsidR="002F1F4E" w:rsidRPr="002F1F4E" w:rsidRDefault="002F1F4E" w:rsidP="00223D6A">
            <w:pPr>
              <w:pStyle w:val="BodyText3"/>
              <w:rPr>
                <w:rFonts w:ascii="Arial" w:hAnsi="Arial" w:cs="Arial"/>
                <w:b w:val="0"/>
                <w:color w:val="auto"/>
                <w:sz w:val="20"/>
                <w:szCs w:val="20"/>
              </w:rPr>
            </w:pPr>
            <w:r>
              <w:t xml:space="preserve">Fig. 1. </w:t>
            </w:r>
            <w:proofErr w:type="spellStart"/>
            <w:r w:rsidR="00223D6A">
              <w:rPr>
                <w:rFonts w:ascii="Arial" w:hAnsi="Arial" w:cs="Arial"/>
                <w:b w:val="0"/>
                <w:color w:val="auto"/>
                <w:sz w:val="20"/>
                <w:szCs w:val="20"/>
              </w:rPr>
              <w:t>QuantiFERON</w:t>
            </w:r>
            <w:proofErr w:type="spellEnd"/>
            <w:r w:rsidR="00223D6A">
              <w:rPr>
                <w:rFonts w:ascii="Arial" w:hAnsi="Arial" w:cs="Arial"/>
                <w:b w:val="0"/>
                <w:color w:val="auto"/>
                <w:sz w:val="20"/>
                <w:szCs w:val="20"/>
              </w:rPr>
              <w:t xml:space="preserve"> collection kit                                   </w:t>
            </w:r>
            <w:r w:rsidR="00223D6A">
              <w:t xml:space="preserve">Fig. 2. </w:t>
            </w:r>
            <w:r w:rsidR="00223D6A" w:rsidRPr="002F1F4E">
              <w:rPr>
                <w:rFonts w:ascii="Arial" w:hAnsi="Arial" w:cs="Arial"/>
                <w:b w:val="0"/>
                <w:color w:val="auto"/>
                <w:sz w:val="20"/>
                <w:szCs w:val="20"/>
              </w:rPr>
              <w:t>Fill tubes to black indicator line</w:t>
            </w:r>
          </w:p>
        </w:tc>
      </w:tr>
      <w:tr w:rsidR="00A66633" w:rsidRPr="0088269F" w:rsidTr="00E002AF">
        <w:tc>
          <w:tcPr>
            <w:tcW w:w="1798" w:type="dxa"/>
            <w:tcBorders>
              <w:top w:val="nil"/>
              <w:left w:val="nil"/>
              <w:bottom w:val="nil"/>
            </w:tcBorders>
          </w:tcPr>
          <w:p w:rsidR="00A66633" w:rsidRPr="0088269F" w:rsidRDefault="00A66633">
            <w:pPr>
              <w:rPr>
                <w:rFonts w:ascii="Arial" w:hAnsi="Arial" w:cs="Arial"/>
                <w:b/>
                <w:bCs/>
                <w:color w:val="0000FF"/>
                <w:sz w:val="20"/>
              </w:rPr>
            </w:pPr>
          </w:p>
          <w:p w:rsidR="00A66633" w:rsidRPr="0088269F" w:rsidRDefault="00F71BC8">
            <w:pPr>
              <w:jc w:val="left"/>
              <w:rPr>
                <w:rFonts w:ascii="Arial" w:hAnsi="Arial" w:cs="Arial"/>
                <w:b/>
                <w:bCs/>
                <w:color w:val="0000FF"/>
                <w:sz w:val="20"/>
              </w:rPr>
            </w:pPr>
            <w:r>
              <w:rPr>
                <w:rFonts w:ascii="Arial" w:hAnsi="Arial" w:cs="Arial"/>
                <w:b/>
                <w:bCs/>
                <w:color w:val="0000FF"/>
                <w:sz w:val="20"/>
              </w:rPr>
              <w:t>Sample Processing Procedure</w:t>
            </w:r>
          </w:p>
          <w:p w:rsidR="00A66633" w:rsidRPr="0088269F" w:rsidRDefault="00A66633">
            <w:pPr>
              <w:rPr>
                <w:rFonts w:ascii="Arial" w:hAnsi="Arial" w:cs="Arial"/>
                <w:b/>
                <w:bCs/>
                <w:color w:val="0000FF"/>
                <w:sz w:val="20"/>
              </w:rPr>
            </w:pPr>
          </w:p>
        </w:tc>
        <w:tc>
          <w:tcPr>
            <w:tcW w:w="9182" w:type="dxa"/>
            <w:gridSpan w:val="3"/>
            <w:tcBorders>
              <w:top w:val="single" w:sz="18" w:space="0" w:color="BFBFBF"/>
              <w:bottom w:val="single" w:sz="18" w:space="0" w:color="BFBFBF"/>
              <w:right w:val="nil"/>
            </w:tcBorders>
          </w:tcPr>
          <w:p w:rsidR="00A66633" w:rsidRPr="0088269F" w:rsidRDefault="00A66633">
            <w:pPr>
              <w:rPr>
                <w:rFonts w:ascii="Arial" w:hAnsi="Arial" w:cs="Arial"/>
                <w:sz w:val="20"/>
              </w:rPr>
            </w:pPr>
          </w:p>
          <w:p w:rsidR="00A66633" w:rsidRDefault="00F71BC8" w:rsidP="00F6757D">
            <w:pPr>
              <w:pStyle w:val="Header"/>
              <w:tabs>
                <w:tab w:val="clear" w:pos="4320"/>
                <w:tab w:val="clear" w:pos="8640"/>
              </w:tabs>
              <w:rPr>
                <w:rFonts w:ascii="Arial" w:hAnsi="Arial" w:cs="Arial"/>
                <w:sz w:val="20"/>
              </w:rPr>
            </w:pPr>
            <w:r>
              <w:rPr>
                <w:rFonts w:ascii="Arial" w:hAnsi="Arial" w:cs="Arial"/>
                <w:b/>
                <w:bCs/>
                <w:sz w:val="20"/>
              </w:rPr>
              <w:t>Sample Processing Procedure</w:t>
            </w:r>
            <w:r w:rsidR="00A66633" w:rsidRPr="0088269F">
              <w:rPr>
                <w:rFonts w:ascii="Arial" w:hAnsi="Arial" w:cs="Arial"/>
                <w:sz w:val="20"/>
              </w:rPr>
              <w:t xml:space="preserve"> </w:t>
            </w:r>
          </w:p>
          <w:p w:rsidR="00F71BC8" w:rsidRDefault="00F71BC8" w:rsidP="00F71BC8">
            <w:pPr>
              <w:pStyle w:val="Header"/>
              <w:tabs>
                <w:tab w:val="clear" w:pos="4320"/>
                <w:tab w:val="clear" w:pos="8640"/>
              </w:tabs>
              <w:ind w:left="720"/>
              <w:rPr>
                <w:rFonts w:ascii="Arial" w:hAnsi="Arial" w:cs="Arial"/>
                <w:sz w:val="20"/>
              </w:rPr>
            </w:pPr>
            <w:r w:rsidRPr="00F71BC8">
              <w:rPr>
                <w:rFonts w:ascii="Arial" w:hAnsi="Arial" w:cs="Arial"/>
                <w:b/>
                <w:sz w:val="20"/>
              </w:rPr>
              <w:t>N</w:t>
            </w:r>
            <w:r>
              <w:rPr>
                <w:rFonts w:ascii="Arial" w:hAnsi="Arial" w:cs="Arial"/>
                <w:b/>
                <w:sz w:val="20"/>
              </w:rPr>
              <w:t>OTE</w:t>
            </w:r>
            <w:r>
              <w:rPr>
                <w:rFonts w:ascii="Arial" w:hAnsi="Arial" w:cs="Arial"/>
                <w:sz w:val="20"/>
              </w:rPr>
              <w:t xml:space="preserve">: Tubes must be received at the St. Paul Lab </w:t>
            </w:r>
            <w:r w:rsidR="00223D6A">
              <w:rPr>
                <w:rFonts w:ascii="Arial" w:hAnsi="Arial" w:cs="Arial"/>
                <w:sz w:val="20"/>
              </w:rPr>
              <w:t>at room temperature</w:t>
            </w:r>
            <w:r>
              <w:rPr>
                <w:rFonts w:ascii="Arial" w:hAnsi="Arial" w:cs="Arial"/>
                <w:sz w:val="20"/>
              </w:rPr>
              <w:t>.</w:t>
            </w:r>
          </w:p>
          <w:p w:rsidR="008F7963" w:rsidRDefault="008F7963" w:rsidP="008F7963">
            <w:pPr>
              <w:pStyle w:val="Header"/>
              <w:numPr>
                <w:ilvl w:val="0"/>
                <w:numId w:val="37"/>
              </w:numPr>
              <w:tabs>
                <w:tab w:val="clear" w:pos="4320"/>
                <w:tab w:val="clear" w:pos="8640"/>
              </w:tabs>
              <w:rPr>
                <w:rFonts w:ascii="Arial" w:hAnsi="Arial" w:cs="Arial"/>
                <w:sz w:val="20"/>
              </w:rPr>
            </w:pPr>
            <w:r>
              <w:rPr>
                <w:rFonts w:ascii="Arial" w:hAnsi="Arial" w:cs="Arial"/>
                <w:sz w:val="20"/>
              </w:rPr>
              <w:t xml:space="preserve">Receipt in St. Paul Lab </w:t>
            </w:r>
            <w:r w:rsidR="00223D6A">
              <w:rPr>
                <w:rFonts w:ascii="Arial" w:hAnsi="Arial" w:cs="Arial"/>
                <w:sz w:val="20"/>
              </w:rPr>
              <w:t>and Incubation</w:t>
            </w:r>
            <w:r>
              <w:rPr>
                <w:rFonts w:ascii="Arial" w:hAnsi="Arial" w:cs="Arial"/>
                <w:sz w:val="20"/>
              </w:rPr>
              <w:t xml:space="preserve">– </w:t>
            </w:r>
          </w:p>
          <w:p w:rsidR="007203F8" w:rsidRDefault="007203F8" w:rsidP="008F7963">
            <w:pPr>
              <w:pStyle w:val="Header"/>
              <w:numPr>
                <w:ilvl w:val="1"/>
                <w:numId w:val="37"/>
              </w:numPr>
              <w:tabs>
                <w:tab w:val="clear" w:pos="4320"/>
                <w:tab w:val="clear" w:pos="8640"/>
              </w:tabs>
              <w:rPr>
                <w:rFonts w:ascii="Arial" w:hAnsi="Arial" w:cs="Arial"/>
                <w:sz w:val="20"/>
              </w:rPr>
            </w:pPr>
            <w:r>
              <w:rPr>
                <w:rFonts w:ascii="Arial" w:hAnsi="Arial" w:cs="Arial"/>
                <w:sz w:val="20"/>
              </w:rPr>
              <w:t>Follow normal specimen receipt process</w:t>
            </w:r>
          </w:p>
          <w:p w:rsidR="008F7963" w:rsidRDefault="007203F8" w:rsidP="008F7963">
            <w:pPr>
              <w:pStyle w:val="Header"/>
              <w:numPr>
                <w:ilvl w:val="1"/>
                <w:numId w:val="37"/>
              </w:numPr>
              <w:tabs>
                <w:tab w:val="clear" w:pos="4320"/>
                <w:tab w:val="clear" w:pos="8640"/>
              </w:tabs>
              <w:rPr>
                <w:rFonts w:ascii="Arial" w:hAnsi="Arial" w:cs="Arial"/>
                <w:sz w:val="20"/>
              </w:rPr>
            </w:pPr>
            <w:r>
              <w:rPr>
                <w:rFonts w:ascii="Arial" w:hAnsi="Arial" w:cs="Arial"/>
                <w:sz w:val="20"/>
              </w:rPr>
              <w:t xml:space="preserve">Verify samples meet minimum requirements (room temperature, fill volume, collected within last 16 hours) </w:t>
            </w:r>
          </w:p>
          <w:p w:rsidR="00223D6A" w:rsidRDefault="00223D6A" w:rsidP="00223D6A">
            <w:pPr>
              <w:pStyle w:val="Header"/>
              <w:numPr>
                <w:ilvl w:val="1"/>
                <w:numId w:val="37"/>
              </w:numPr>
              <w:tabs>
                <w:tab w:val="clear" w:pos="4320"/>
                <w:tab w:val="clear" w:pos="8640"/>
              </w:tabs>
              <w:rPr>
                <w:rFonts w:ascii="Arial" w:hAnsi="Arial" w:cs="Arial"/>
                <w:sz w:val="20"/>
              </w:rPr>
            </w:pPr>
            <w:r>
              <w:rPr>
                <w:rFonts w:ascii="Arial" w:hAnsi="Arial" w:cs="Arial"/>
                <w:sz w:val="20"/>
              </w:rPr>
              <w:t>Once received, re-mix all tubes by inverting 10 times before placing in the incubator.</w:t>
            </w:r>
          </w:p>
          <w:p w:rsidR="004C09FE" w:rsidRDefault="00223D6A" w:rsidP="008F7963">
            <w:pPr>
              <w:pStyle w:val="Header"/>
              <w:numPr>
                <w:ilvl w:val="1"/>
                <w:numId w:val="37"/>
              </w:numPr>
              <w:tabs>
                <w:tab w:val="clear" w:pos="4320"/>
                <w:tab w:val="clear" w:pos="8640"/>
              </w:tabs>
              <w:rPr>
                <w:rFonts w:ascii="Arial" w:hAnsi="Arial" w:cs="Arial"/>
                <w:sz w:val="20"/>
              </w:rPr>
            </w:pPr>
            <w:r>
              <w:rPr>
                <w:rFonts w:ascii="Arial" w:hAnsi="Arial" w:cs="Arial"/>
                <w:sz w:val="20"/>
              </w:rPr>
              <w:t xml:space="preserve">Place samples in </w:t>
            </w:r>
            <w:proofErr w:type="spellStart"/>
            <w:r>
              <w:rPr>
                <w:rFonts w:ascii="Arial" w:hAnsi="Arial" w:cs="Arial"/>
                <w:sz w:val="20"/>
              </w:rPr>
              <w:t>QuantiFERON</w:t>
            </w:r>
            <w:proofErr w:type="spellEnd"/>
            <w:r>
              <w:rPr>
                <w:rFonts w:ascii="Arial" w:hAnsi="Arial" w:cs="Arial"/>
                <w:sz w:val="20"/>
              </w:rPr>
              <w:t xml:space="preserve"> incubator </w:t>
            </w:r>
            <w:r w:rsidR="005075C6">
              <w:rPr>
                <w:rFonts w:ascii="Arial" w:hAnsi="Arial" w:cs="Arial"/>
                <w:sz w:val="20"/>
              </w:rPr>
              <w:t xml:space="preserve">(37C) </w:t>
            </w:r>
            <w:r>
              <w:rPr>
                <w:rFonts w:ascii="Arial" w:hAnsi="Arial" w:cs="Arial"/>
                <w:sz w:val="20"/>
              </w:rPr>
              <w:t>and document incubation start time on front of incubator.</w:t>
            </w:r>
          </w:p>
          <w:p w:rsidR="007203F8" w:rsidRDefault="00223D6A" w:rsidP="008F7963">
            <w:pPr>
              <w:pStyle w:val="Header"/>
              <w:numPr>
                <w:ilvl w:val="0"/>
                <w:numId w:val="37"/>
              </w:numPr>
              <w:tabs>
                <w:tab w:val="clear" w:pos="4320"/>
                <w:tab w:val="clear" w:pos="8640"/>
              </w:tabs>
              <w:rPr>
                <w:rFonts w:ascii="Arial" w:hAnsi="Arial" w:cs="Arial"/>
                <w:sz w:val="20"/>
              </w:rPr>
            </w:pPr>
            <w:r>
              <w:rPr>
                <w:rFonts w:ascii="Arial" w:hAnsi="Arial" w:cs="Arial"/>
                <w:sz w:val="20"/>
              </w:rPr>
              <w:t xml:space="preserve">Removal from </w:t>
            </w:r>
            <w:r w:rsidR="00F71BC8">
              <w:rPr>
                <w:rFonts w:ascii="Arial" w:hAnsi="Arial" w:cs="Arial"/>
                <w:sz w:val="20"/>
              </w:rPr>
              <w:t xml:space="preserve">Incubation </w:t>
            </w:r>
            <w:r w:rsidR="008F7963">
              <w:rPr>
                <w:rFonts w:ascii="Arial" w:hAnsi="Arial" w:cs="Arial"/>
                <w:sz w:val="20"/>
              </w:rPr>
              <w:t>–</w:t>
            </w:r>
            <w:r w:rsidR="00F71BC8">
              <w:rPr>
                <w:rFonts w:ascii="Arial" w:hAnsi="Arial" w:cs="Arial"/>
                <w:sz w:val="20"/>
              </w:rPr>
              <w:t xml:space="preserve"> </w:t>
            </w:r>
          </w:p>
          <w:p w:rsidR="00F6757D" w:rsidRDefault="00223D6A" w:rsidP="00F6757D">
            <w:pPr>
              <w:pStyle w:val="Header"/>
              <w:numPr>
                <w:ilvl w:val="1"/>
                <w:numId w:val="37"/>
              </w:numPr>
              <w:tabs>
                <w:tab w:val="clear" w:pos="4320"/>
                <w:tab w:val="clear" w:pos="8640"/>
              </w:tabs>
              <w:rPr>
                <w:rFonts w:ascii="Arial" w:hAnsi="Arial" w:cs="Arial"/>
                <w:sz w:val="20"/>
              </w:rPr>
            </w:pPr>
            <w:r>
              <w:rPr>
                <w:rFonts w:ascii="Arial" w:hAnsi="Arial" w:cs="Arial"/>
                <w:sz w:val="20"/>
              </w:rPr>
              <w:t xml:space="preserve">At the start of each shift, the </w:t>
            </w:r>
            <w:r w:rsidR="00A42E0F">
              <w:rPr>
                <w:rFonts w:ascii="Arial" w:hAnsi="Arial" w:cs="Arial"/>
                <w:sz w:val="20"/>
              </w:rPr>
              <w:t xml:space="preserve">Manual </w:t>
            </w:r>
            <w:r>
              <w:rPr>
                <w:rFonts w:ascii="Arial" w:hAnsi="Arial" w:cs="Arial"/>
                <w:sz w:val="20"/>
              </w:rPr>
              <w:t xml:space="preserve">Chemistry tech will check the </w:t>
            </w:r>
            <w:proofErr w:type="spellStart"/>
            <w:r>
              <w:rPr>
                <w:rFonts w:ascii="Arial" w:hAnsi="Arial" w:cs="Arial"/>
                <w:sz w:val="20"/>
              </w:rPr>
              <w:t>QuantiFERON</w:t>
            </w:r>
            <w:proofErr w:type="spellEnd"/>
            <w:r>
              <w:rPr>
                <w:rFonts w:ascii="Arial" w:hAnsi="Arial" w:cs="Arial"/>
                <w:sz w:val="20"/>
              </w:rPr>
              <w:t xml:space="preserve"> incubator for samples of between 16 and 24 hours of incubation.</w:t>
            </w:r>
          </w:p>
          <w:p w:rsidR="00223D6A" w:rsidRDefault="00223D6A" w:rsidP="00F6757D">
            <w:pPr>
              <w:pStyle w:val="Header"/>
              <w:numPr>
                <w:ilvl w:val="1"/>
                <w:numId w:val="37"/>
              </w:numPr>
              <w:tabs>
                <w:tab w:val="clear" w:pos="4320"/>
                <w:tab w:val="clear" w:pos="8640"/>
              </w:tabs>
              <w:rPr>
                <w:rFonts w:ascii="Arial" w:hAnsi="Arial" w:cs="Arial"/>
                <w:sz w:val="20"/>
              </w:rPr>
            </w:pPr>
            <w:r>
              <w:rPr>
                <w:rFonts w:ascii="Arial" w:hAnsi="Arial" w:cs="Arial"/>
                <w:sz w:val="20"/>
              </w:rPr>
              <w:t>Remove samples with 16 -</w:t>
            </w:r>
            <w:r w:rsidR="005075C6">
              <w:rPr>
                <w:rFonts w:ascii="Arial" w:hAnsi="Arial" w:cs="Arial"/>
                <w:sz w:val="20"/>
              </w:rPr>
              <w:t xml:space="preserve"> </w:t>
            </w:r>
            <w:r>
              <w:rPr>
                <w:rFonts w:ascii="Arial" w:hAnsi="Arial" w:cs="Arial"/>
                <w:sz w:val="20"/>
              </w:rPr>
              <w:t>24 hours of incubation move to next step.</w:t>
            </w:r>
          </w:p>
          <w:p w:rsidR="004C09FE" w:rsidRDefault="004C09FE" w:rsidP="004C09FE">
            <w:pPr>
              <w:pStyle w:val="Header"/>
              <w:numPr>
                <w:ilvl w:val="0"/>
                <w:numId w:val="37"/>
              </w:numPr>
              <w:tabs>
                <w:tab w:val="clear" w:pos="4320"/>
                <w:tab w:val="clear" w:pos="8640"/>
              </w:tabs>
              <w:rPr>
                <w:rFonts w:ascii="Arial" w:hAnsi="Arial" w:cs="Arial"/>
                <w:sz w:val="20"/>
              </w:rPr>
            </w:pPr>
            <w:r>
              <w:rPr>
                <w:rFonts w:ascii="Arial" w:hAnsi="Arial" w:cs="Arial"/>
                <w:sz w:val="20"/>
              </w:rPr>
              <w:t xml:space="preserve">Centrifugation and storage – </w:t>
            </w:r>
          </w:p>
          <w:p w:rsidR="004C09FE" w:rsidRDefault="00223D6A" w:rsidP="005075C6">
            <w:pPr>
              <w:pStyle w:val="Header"/>
              <w:numPr>
                <w:ilvl w:val="1"/>
                <w:numId w:val="37"/>
              </w:numPr>
              <w:tabs>
                <w:tab w:val="clear" w:pos="4320"/>
                <w:tab w:val="clear" w:pos="8640"/>
              </w:tabs>
              <w:rPr>
                <w:rFonts w:ascii="Arial" w:hAnsi="Arial" w:cs="Arial"/>
                <w:sz w:val="20"/>
              </w:rPr>
            </w:pPr>
            <w:r>
              <w:rPr>
                <w:rFonts w:ascii="Arial" w:hAnsi="Arial" w:cs="Arial"/>
                <w:sz w:val="20"/>
              </w:rPr>
              <w:lastRenderedPageBreak/>
              <w:t>C</w:t>
            </w:r>
            <w:r w:rsidR="004C09FE">
              <w:rPr>
                <w:rFonts w:ascii="Arial" w:hAnsi="Arial" w:cs="Arial"/>
                <w:sz w:val="20"/>
              </w:rPr>
              <w:t xml:space="preserve">entrifuge </w:t>
            </w:r>
            <w:r>
              <w:rPr>
                <w:rFonts w:ascii="Arial" w:hAnsi="Arial" w:cs="Arial"/>
                <w:sz w:val="20"/>
              </w:rPr>
              <w:t xml:space="preserve">tubes removed from incubation </w:t>
            </w:r>
            <w:r w:rsidR="004C09FE">
              <w:rPr>
                <w:rFonts w:ascii="Arial" w:hAnsi="Arial" w:cs="Arial"/>
                <w:sz w:val="20"/>
              </w:rPr>
              <w:t xml:space="preserve">for 15 minutes at 2000 – 3000 </w:t>
            </w:r>
            <w:proofErr w:type="gramStart"/>
            <w:r w:rsidR="004C09FE">
              <w:rPr>
                <w:rFonts w:ascii="Arial" w:hAnsi="Arial" w:cs="Arial"/>
                <w:sz w:val="20"/>
              </w:rPr>
              <w:t>RCF(</w:t>
            </w:r>
            <w:proofErr w:type="gramEnd"/>
            <w:r w:rsidR="004C09FE">
              <w:rPr>
                <w:rFonts w:ascii="Arial" w:hAnsi="Arial" w:cs="Arial"/>
                <w:sz w:val="20"/>
              </w:rPr>
              <w:t xml:space="preserve">g). </w:t>
            </w:r>
            <w:r w:rsidR="004C09FE" w:rsidRPr="004C09FE">
              <w:rPr>
                <w:rFonts w:ascii="Arial" w:hAnsi="Arial" w:cs="Arial"/>
                <w:sz w:val="20"/>
              </w:rPr>
              <w:t>The gel plug will separate the cells from the plasma. If this does not occur, the tubes should be centrifuged again at a higher speed.</w:t>
            </w:r>
          </w:p>
          <w:p w:rsidR="00A66633" w:rsidRDefault="004C09FE" w:rsidP="004C09FE">
            <w:pPr>
              <w:pStyle w:val="Header"/>
              <w:numPr>
                <w:ilvl w:val="1"/>
                <w:numId w:val="37"/>
              </w:numPr>
              <w:tabs>
                <w:tab w:val="clear" w:pos="4320"/>
                <w:tab w:val="clear" w:pos="8640"/>
              </w:tabs>
              <w:rPr>
                <w:rFonts w:ascii="Arial" w:hAnsi="Arial" w:cs="Arial"/>
                <w:sz w:val="20"/>
              </w:rPr>
            </w:pPr>
            <w:r>
              <w:rPr>
                <w:rFonts w:ascii="Arial" w:hAnsi="Arial" w:cs="Arial"/>
                <w:sz w:val="20"/>
              </w:rPr>
              <w:t xml:space="preserve">Place centrifuged tubes in the Liaison refrigerator in the </w:t>
            </w:r>
            <w:proofErr w:type="spellStart"/>
            <w:r>
              <w:rPr>
                <w:rFonts w:ascii="Arial" w:hAnsi="Arial" w:cs="Arial"/>
                <w:sz w:val="20"/>
              </w:rPr>
              <w:t>QuanitFERON</w:t>
            </w:r>
            <w:proofErr w:type="spellEnd"/>
            <w:r>
              <w:rPr>
                <w:rFonts w:ascii="Arial" w:hAnsi="Arial" w:cs="Arial"/>
                <w:sz w:val="20"/>
              </w:rPr>
              <w:t xml:space="preserve"> Rack. Tubes are stable up to 28 days at 2-8 C once incubated and centrifuged. </w:t>
            </w:r>
          </w:p>
          <w:p w:rsidR="008075C5" w:rsidRPr="004C09FE" w:rsidRDefault="008075C5" w:rsidP="008075C5">
            <w:pPr>
              <w:pStyle w:val="Header"/>
              <w:tabs>
                <w:tab w:val="clear" w:pos="4320"/>
                <w:tab w:val="clear" w:pos="8640"/>
              </w:tabs>
              <w:rPr>
                <w:rFonts w:ascii="Arial" w:hAnsi="Arial" w:cs="Arial"/>
                <w:sz w:val="20"/>
              </w:rPr>
            </w:pPr>
          </w:p>
        </w:tc>
      </w:tr>
    </w:tbl>
    <w:p w:rsidR="00A66633" w:rsidRPr="0088269F" w:rsidRDefault="00A66633">
      <w:pPr>
        <w:rPr>
          <w:rFonts w:ascii="Arial" w:hAnsi="Arial" w:cs="Arial"/>
          <w:b/>
          <w:bCs/>
          <w:color w:val="0000FF"/>
          <w:sz w:val="20"/>
        </w:rPr>
        <w:sectPr w:rsidR="00A66633" w:rsidRPr="0088269F">
          <w:headerReference w:type="default" r:id="rId17"/>
          <w:footerReference w:type="default" r:id="rId18"/>
          <w:type w:val="continuous"/>
          <w:pgSz w:w="12240" w:h="15840" w:code="1"/>
          <w:pgMar w:top="720" w:right="1800" w:bottom="720" w:left="1800" w:header="432" w:footer="432" w:gutter="0"/>
          <w:cols w:space="720" w:equalWidth="0">
            <w:col w:w="9360"/>
          </w:cols>
          <w:docGrid w:linePitch="360"/>
        </w:sect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1082"/>
        <w:gridCol w:w="2547"/>
        <w:gridCol w:w="513"/>
        <w:gridCol w:w="1620"/>
        <w:gridCol w:w="2438"/>
        <w:gridCol w:w="982"/>
      </w:tblGrid>
      <w:tr w:rsidR="00A66633" w:rsidRPr="0088269F" w:rsidTr="00E65C40">
        <w:trPr>
          <w:cantSplit/>
          <w:trHeight w:val="705"/>
        </w:trPr>
        <w:tc>
          <w:tcPr>
            <w:tcW w:w="1798" w:type="dxa"/>
            <w:tcBorders>
              <w:top w:val="nil"/>
              <w:left w:val="nil"/>
              <w:bottom w:val="nil"/>
              <w:right w:val="nil"/>
            </w:tcBorders>
          </w:tcPr>
          <w:p w:rsidR="00A66633" w:rsidRPr="0088269F" w:rsidRDefault="00A66633">
            <w:pPr>
              <w:rPr>
                <w:rFonts w:ascii="Arial" w:hAnsi="Arial" w:cs="Arial"/>
                <w:b/>
                <w:bCs/>
                <w:color w:val="0000FF"/>
                <w:sz w:val="20"/>
              </w:rPr>
            </w:pPr>
          </w:p>
          <w:p w:rsidR="00A66633" w:rsidRPr="0088269F" w:rsidRDefault="008075C5">
            <w:pPr>
              <w:jc w:val="left"/>
              <w:rPr>
                <w:rFonts w:ascii="Arial" w:hAnsi="Arial" w:cs="Arial"/>
                <w:b/>
                <w:bCs/>
                <w:color w:val="0000FF"/>
                <w:sz w:val="20"/>
              </w:rPr>
            </w:pPr>
            <w:r>
              <w:rPr>
                <w:rFonts w:ascii="Arial" w:hAnsi="Arial" w:cs="Arial"/>
                <w:b/>
                <w:bCs/>
                <w:color w:val="0000FF"/>
                <w:sz w:val="20"/>
              </w:rPr>
              <w:t>Procedural Notes</w:t>
            </w:r>
          </w:p>
        </w:tc>
        <w:tc>
          <w:tcPr>
            <w:tcW w:w="9182" w:type="dxa"/>
            <w:gridSpan w:val="6"/>
            <w:tcBorders>
              <w:top w:val="single" w:sz="18" w:space="0" w:color="BFBFBF"/>
              <w:left w:val="nil"/>
              <w:bottom w:val="single" w:sz="18" w:space="0" w:color="BFBFBF"/>
              <w:right w:val="nil"/>
            </w:tcBorders>
          </w:tcPr>
          <w:p w:rsidR="005075C6" w:rsidRDefault="005075C6">
            <w:pPr>
              <w:jc w:val="left"/>
              <w:rPr>
                <w:rFonts w:ascii="Arial" w:hAnsi="Arial" w:cs="Arial"/>
                <w:sz w:val="20"/>
              </w:rPr>
            </w:pPr>
          </w:p>
          <w:p w:rsidR="00A66633" w:rsidRPr="0088269F" w:rsidRDefault="005075C6" w:rsidP="005075C6">
            <w:pPr>
              <w:jc w:val="left"/>
              <w:rPr>
                <w:rFonts w:ascii="Arial" w:hAnsi="Arial" w:cs="Arial"/>
                <w:sz w:val="20"/>
              </w:rPr>
            </w:pPr>
            <w:r>
              <w:rPr>
                <w:rFonts w:ascii="Arial" w:hAnsi="Arial" w:cs="Arial"/>
                <w:sz w:val="20"/>
              </w:rPr>
              <w:t xml:space="preserve">Use worksheet LIAS for pending list </w:t>
            </w:r>
          </w:p>
        </w:tc>
      </w:tr>
      <w:tr w:rsidR="00A66633" w:rsidRPr="0088269F" w:rsidTr="00BB59B3">
        <w:tblPrEx>
          <w:tblBorders>
            <w:top w:val="none" w:sz="0" w:space="0" w:color="auto"/>
            <w:left w:val="none" w:sz="0" w:space="0" w:color="auto"/>
            <w:right w:val="none" w:sz="0" w:space="0" w:color="auto"/>
            <w:insideH w:val="none" w:sz="0" w:space="0" w:color="auto"/>
            <w:insideV w:val="none" w:sz="0" w:space="0" w:color="auto"/>
          </w:tblBorders>
        </w:tblPrEx>
        <w:tc>
          <w:tcPr>
            <w:tcW w:w="1798" w:type="dxa"/>
            <w:tcBorders>
              <w:left w:val="nil"/>
            </w:tcBorders>
          </w:tcPr>
          <w:p w:rsidR="00A66633" w:rsidRPr="0088269F" w:rsidRDefault="00A66633">
            <w:pPr>
              <w:rPr>
                <w:rFonts w:ascii="Arial" w:hAnsi="Arial" w:cs="Arial"/>
                <w:b/>
                <w:bCs/>
                <w:sz w:val="20"/>
              </w:rPr>
            </w:pPr>
          </w:p>
          <w:p w:rsidR="00A66633" w:rsidRPr="0088269F" w:rsidRDefault="00A66633">
            <w:pPr>
              <w:jc w:val="left"/>
              <w:rPr>
                <w:rFonts w:ascii="Arial" w:hAnsi="Arial" w:cs="Arial"/>
                <w:b/>
                <w:bCs/>
                <w:color w:val="0000FF"/>
                <w:sz w:val="20"/>
              </w:rPr>
            </w:pPr>
            <w:r w:rsidRPr="0088269F">
              <w:rPr>
                <w:rFonts w:ascii="Arial" w:hAnsi="Arial" w:cs="Arial"/>
                <w:b/>
                <w:bCs/>
                <w:color w:val="0000FF"/>
                <w:sz w:val="20"/>
              </w:rPr>
              <w:t>References</w:t>
            </w:r>
          </w:p>
        </w:tc>
        <w:tc>
          <w:tcPr>
            <w:tcW w:w="9182" w:type="dxa"/>
            <w:gridSpan w:val="6"/>
            <w:tcBorders>
              <w:top w:val="single" w:sz="18" w:space="0" w:color="BFBFBF"/>
              <w:bottom w:val="single" w:sz="18" w:space="0" w:color="BFBFBF"/>
              <w:right w:val="nil"/>
            </w:tcBorders>
          </w:tcPr>
          <w:p w:rsidR="00A66633" w:rsidRPr="0088269F" w:rsidRDefault="00A66633">
            <w:pPr>
              <w:jc w:val="left"/>
              <w:rPr>
                <w:rFonts w:ascii="Arial" w:hAnsi="Arial" w:cs="Arial"/>
                <w:iCs/>
                <w:sz w:val="20"/>
              </w:rPr>
            </w:pPr>
          </w:p>
          <w:p w:rsidR="00A66633" w:rsidRPr="00FE5D7E" w:rsidRDefault="009A0BDC" w:rsidP="009A0BDC">
            <w:pPr>
              <w:numPr>
                <w:ilvl w:val="0"/>
                <w:numId w:val="13"/>
              </w:numPr>
              <w:rPr>
                <w:rFonts w:ascii="Arial" w:hAnsi="Arial" w:cs="Arial"/>
                <w:iCs/>
                <w:sz w:val="20"/>
                <w:szCs w:val="20"/>
              </w:rPr>
            </w:pPr>
            <w:r w:rsidRPr="00FE5D7E">
              <w:rPr>
                <w:rFonts w:ascii="Arial" w:hAnsi="Arial" w:cs="Arial"/>
                <w:iCs/>
                <w:sz w:val="20"/>
                <w:szCs w:val="20"/>
              </w:rPr>
              <w:t>DiaSorin QuantiFERON Instructions for Use, LIAISON® QuantiFERON®-TB Gold Plus ([REF] 311020) 1 / 20 EN - 200/007-002, 01 - 2019-11</w:t>
            </w:r>
          </w:p>
          <w:p w:rsidR="006E35CD" w:rsidRPr="00D10087" w:rsidRDefault="006E35CD" w:rsidP="00D10087">
            <w:pPr>
              <w:numPr>
                <w:ilvl w:val="0"/>
                <w:numId w:val="13"/>
              </w:numPr>
              <w:rPr>
                <w:rFonts w:ascii="Arial" w:hAnsi="Arial" w:cs="Arial"/>
                <w:iCs/>
              </w:rPr>
            </w:pPr>
            <w:r w:rsidRPr="00FE5D7E">
              <w:rPr>
                <w:rFonts w:ascii="Arial" w:hAnsi="Arial" w:cs="Arial"/>
                <w:iCs/>
                <w:sz w:val="20"/>
                <w:szCs w:val="20"/>
              </w:rPr>
              <w:t>DiaSorin QuantiFERON Controls Instructions for Use, LIAISON® Control QuantiFERON®-TB Gold Plus ([REF] 311021), 18 / 20 EN - 200/007-002, 01 - 2019-11</w:t>
            </w:r>
          </w:p>
        </w:tc>
      </w:tr>
      <w:tr w:rsidR="00A66633" w:rsidRPr="0088269F" w:rsidTr="00E65C40">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798" w:type="dxa"/>
            <w:tcBorders>
              <w:left w:val="nil"/>
              <w:bottom w:val="nil"/>
              <w:right w:val="nil"/>
            </w:tcBorders>
          </w:tcPr>
          <w:p w:rsidR="00A66633" w:rsidRPr="0088269F" w:rsidRDefault="00A66633">
            <w:pPr>
              <w:rPr>
                <w:rFonts w:ascii="Arial" w:hAnsi="Arial" w:cs="Arial"/>
                <w:b/>
                <w:bCs/>
                <w:color w:val="0000FF"/>
                <w:sz w:val="20"/>
              </w:rPr>
            </w:pPr>
          </w:p>
        </w:tc>
        <w:tc>
          <w:tcPr>
            <w:tcW w:w="3629" w:type="dxa"/>
            <w:gridSpan w:val="2"/>
            <w:tcBorders>
              <w:top w:val="single" w:sz="18" w:space="0" w:color="BFBFBF"/>
              <w:left w:val="nil"/>
              <w:bottom w:val="single" w:sz="4" w:space="0" w:color="auto"/>
              <w:right w:val="nil"/>
            </w:tcBorders>
          </w:tcPr>
          <w:p w:rsidR="00A66633" w:rsidRPr="0088269F" w:rsidRDefault="00A66633">
            <w:pPr>
              <w:rPr>
                <w:rFonts w:ascii="Arial" w:hAnsi="Arial" w:cs="Arial"/>
                <w:iCs/>
                <w:sz w:val="20"/>
              </w:rPr>
            </w:pPr>
          </w:p>
        </w:tc>
        <w:tc>
          <w:tcPr>
            <w:tcW w:w="4571" w:type="dxa"/>
            <w:gridSpan w:val="3"/>
            <w:tcBorders>
              <w:top w:val="single" w:sz="18" w:space="0" w:color="BFBFBF"/>
              <w:left w:val="nil"/>
              <w:bottom w:val="single" w:sz="4" w:space="0" w:color="auto"/>
              <w:right w:val="nil"/>
            </w:tcBorders>
          </w:tcPr>
          <w:p w:rsidR="00A66633" w:rsidRPr="0088269F" w:rsidRDefault="00A66633">
            <w:pPr>
              <w:rPr>
                <w:rFonts w:ascii="Arial" w:hAnsi="Arial" w:cs="Arial"/>
                <w:iCs/>
                <w:sz w:val="20"/>
              </w:rPr>
            </w:pPr>
          </w:p>
        </w:tc>
        <w:tc>
          <w:tcPr>
            <w:tcW w:w="982" w:type="dxa"/>
            <w:tcBorders>
              <w:top w:val="single" w:sz="18" w:space="0" w:color="BFBFBF"/>
              <w:left w:val="nil"/>
              <w:bottom w:val="single" w:sz="4" w:space="0" w:color="auto"/>
              <w:right w:val="nil"/>
            </w:tcBorders>
          </w:tcPr>
          <w:p w:rsidR="00A66633" w:rsidRPr="0088269F" w:rsidRDefault="00A66633">
            <w:pPr>
              <w:rPr>
                <w:rFonts w:ascii="Arial" w:hAnsi="Arial" w:cs="Arial"/>
                <w:iCs/>
                <w:sz w:val="20"/>
              </w:rPr>
            </w:pPr>
          </w:p>
        </w:tc>
      </w:tr>
      <w:tr w:rsidR="00A66633" w:rsidRPr="0088269F">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8" w:type="dxa"/>
            <w:vMerge w:val="restart"/>
            <w:tcBorders>
              <w:left w:val="nil"/>
              <w:bottom w:val="nil"/>
              <w:right w:val="single" w:sz="4" w:space="0" w:color="auto"/>
            </w:tcBorders>
          </w:tcPr>
          <w:p w:rsidR="00A66633" w:rsidRPr="0088269F" w:rsidRDefault="00A66633">
            <w:pPr>
              <w:jc w:val="left"/>
              <w:rPr>
                <w:rFonts w:ascii="Arial" w:hAnsi="Arial" w:cs="Arial"/>
                <w:b/>
                <w:bCs/>
                <w:color w:val="3366FF"/>
                <w:sz w:val="20"/>
              </w:rPr>
            </w:pPr>
            <w:r w:rsidRPr="0088269F">
              <w:rPr>
                <w:rFonts w:ascii="Arial" w:hAnsi="Arial" w:cs="Arial"/>
                <w:b/>
                <w:bCs/>
                <w:color w:val="0000FF"/>
                <w:sz w:val="20"/>
              </w:rPr>
              <w:t>Historical Record</w:t>
            </w:r>
          </w:p>
        </w:tc>
        <w:tc>
          <w:tcPr>
            <w:tcW w:w="1082" w:type="dxa"/>
            <w:tcBorders>
              <w:top w:val="single" w:sz="4" w:space="0" w:color="auto"/>
              <w:left w:val="single" w:sz="4" w:space="0" w:color="auto"/>
              <w:bottom w:val="single" w:sz="4" w:space="0" w:color="auto"/>
              <w:right w:val="single" w:sz="4" w:space="0" w:color="auto"/>
            </w:tcBorders>
          </w:tcPr>
          <w:p w:rsidR="00A66633" w:rsidRPr="0088269F" w:rsidRDefault="00A66633">
            <w:pPr>
              <w:jc w:val="left"/>
              <w:rPr>
                <w:rFonts w:ascii="Arial" w:hAnsi="Arial" w:cs="Arial"/>
                <w:b/>
                <w:bCs/>
                <w:sz w:val="20"/>
              </w:rPr>
            </w:pPr>
            <w:r w:rsidRPr="0088269F">
              <w:rPr>
                <w:rFonts w:ascii="Arial" w:hAnsi="Arial" w:cs="Arial"/>
                <w:b/>
                <w:bCs/>
                <w:sz w:val="20"/>
              </w:rPr>
              <w:t>Version</w:t>
            </w:r>
          </w:p>
        </w:tc>
        <w:tc>
          <w:tcPr>
            <w:tcW w:w="3060" w:type="dxa"/>
            <w:gridSpan w:val="2"/>
            <w:tcBorders>
              <w:top w:val="single" w:sz="4" w:space="0" w:color="auto"/>
              <w:left w:val="single" w:sz="4" w:space="0" w:color="auto"/>
              <w:bottom w:val="single" w:sz="4" w:space="0" w:color="auto"/>
              <w:right w:val="single" w:sz="4" w:space="0" w:color="auto"/>
            </w:tcBorders>
          </w:tcPr>
          <w:p w:rsidR="00A66633" w:rsidRPr="0088269F" w:rsidRDefault="00A66633">
            <w:pPr>
              <w:rPr>
                <w:rFonts w:ascii="Arial" w:hAnsi="Arial" w:cs="Arial"/>
                <w:b/>
                <w:bCs/>
                <w:iCs/>
                <w:sz w:val="20"/>
              </w:rPr>
            </w:pPr>
            <w:r w:rsidRPr="0088269F">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A66633" w:rsidRPr="0088269F" w:rsidRDefault="00A66633">
            <w:pPr>
              <w:jc w:val="left"/>
              <w:rPr>
                <w:rFonts w:ascii="Arial" w:hAnsi="Arial" w:cs="Arial"/>
                <w:b/>
                <w:bCs/>
                <w:iCs/>
                <w:sz w:val="20"/>
              </w:rPr>
            </w:pPr>
            <w:r w:rsidRPr="0088269F">
              <w:rPr>
                <w:rFonts w:ascii="Arial" w:hAnsi="Arial" w:cs="Arial"/>
                <w:b/>
                <w:bCs/>
                <w:iCs/>
                <w:sz w:val="20"/>
              </w:rPr>
              <w:t>Effective Date:</w:t>
            </w:r>
          </w:p>
        </w:tc>
        <w:tc>
          <w:tcPr>
            <w:tcW w:w="3420" w:type="dxa"/>
            <w:gridSpan w:val="2"/>
            <w:tcBorders>
              <w:top w:val="single" w:sz="4" w:space="0" w:color="auto"/>
              <w:left w:val="single" w:sz="4" w:space="0" w:color="auto"/>
              <w:bottom w:val="single" w:sz="4" w:space="0" w:color="auto"/>
              <w:right w:val="single" w:sz="4" w:space="0" w:color="auto"/>
            </w:tcBorders>
          </w:tcPr>
          <w:p w:rsidR="00A66633" w:rsidRPr="0088269F" w:rsidRDefault="00A66633">
            <w:pPr>
              <w:jc w:val="left"/>
              <w:rPr>
                <w:rFonts w:ascii="Arial" w:hAnsi="Arial" w:cs="Arial"/>
                <w:b/>
                <w:bCs/>
                <w:iCs/>
                <w:sz w:val="20"/>
              </w:rPr>
            </w:pPr>
            <w:r w:rsidRPr="0088269F">
              <w:rPr>
                <w:rFonts w:ascii="Arial" w:hAnsi="Arial" w:cs="Arial"/>
                <w:b/>
                <w:bCs/>
                <w:iCs/>
                <w:sz w:val="20"/>
              </w:rPr>
              <w:t>Summary of Revisions</w:t>
            </w:r>
          </w:p>
        </w:tc>
      </w:tr>
      <w:tr w:rsidR="00A66633" w:rsidRPr="0088269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8" w:type="dxa"/>
            <w:vMerge/>
            <w:tcBorders>
              <w:left w:val="nil"/>
              <w:bottom w:val="nil"/>
              <w:right w:val="single" w:sz="4" w:space="0" w:color="auto"/>
            </w:tcBorders>
          </w:tcPr>
          <w:p w:rsidR="00A66633" w:rsidRPr="0088269F" w:rsidRDefault="00A66633">
            <w:pPr>
              <w:rPr>
                <w:rFonts w:ascii="Arial" w:hAnsi="Arial" w:cs="Arial"/>
                <w:b/>
                <w:bCs/>
                <w:color w:val="3366FF"/>
                <w:sz w:val="20"/>
              </w:rPr>
            </w:pPr>
          </w:p>
        </w:tc>
        <w:tc>
          <w:tcPr>
            <w:tcW w:w="1082" w:type="dxa"/>
            <w:tcBorders>
              <w:top w:val="single" w:sz="4" w:space="0" w:color="auto"/>
              <w:left w:val="single" w:sz="4" w:space="0" w:color="auto"/>
              <w:bottom w:val="single" w:sz="4" w:space="0" w:color="auto"/>
              <w:right w:val="single" w:sz="4" w:space="0" w:color="auto"/>
            </w:tcBorders>
          </w:tcPr>
          <w:p w:rsidR="00A66633" w:rsidRPr="0088269F" w:rsidRDefault="00A66633" w:rsidP="00760C6F">
            <w:pPr>
              <w:pStyle w:val="TableText"/>
              <w:numPr>
                <w:ilvl w:val="0"/>
                <w:numId w:val="15"/>
              </w:numPr>
              <w:autoSpaceDE/>
              <w:autoSpaceDN/>
              <w:rPr>
                <w:rFonts w:ascii="Arial" w:hAnsi="Arial" w:cs="Arial"/>
              </w:rPr>
            </w:pPr>
          </w:p>
        </w:tc>
        <w:tc>
          <w:tcPr>
            <w:tcW w:w="3060" w:type="dxa"/>
            <w:gridSpan w:val="2"/>
            <w:tcBorders>
              <w:top w:val="single" w:sz="4" w:space="0" w:color="auto"/>
              <w:left w:val="single" w:sz="4" w:space="0" w:color="auto"/>
              <w:bottom w:val="single" w:sz="4" w:space="0" w:color="auto"/>
              <w:right w:val="single" w:sz="4" w:space="0" w:color="auto"/>
            </w:tcBorders>
          </w:tcPr>
          <w:p w:rsidR="00A66633" w:rsidRPr="0088269F" w:rsidRDefault="009A0BDC">
            <w:pPr>
              <w:jc w:val="left"/>
              <w:rPr>
                <w:rFonts w:ascii="Arial" w:hAnsi="Arial" w:cs="Arial"/>
                <w:iCs/>
                <w:sz w:val="20"/>
              </w:rPr>
            </w:pPr>
            <w:r>
              <w:rPr>
                <w:rFonts w:ascii="Arial" w:hAnsi="Arial" w:cs="Arial"/>
                <w:iCs/>
                <w:sz w:val="20"/>
              </w:rPr>
              <w:t>Matt Johnson</w:t>
            </w:r>
          </w:p>
        </w:tc>
        <w:tc>
          <w:tcPr>
            <w:tcW w:w="1620" w:type="dxa"/>
            <w:tcBorders>
              <w:top w:val="single" w:sz="4" w:space="0" w:color="auto"/>
              <w:left w:val="single" w:sz="4" w:space="0" w:color="auto"/>
              <w:bottom w:val="single" w:sz="4" w:space="0" w:color="auto"/>
              <w:right w:val="single" w:sz="4" w:space="0" w:color="auto"/>
            </w:tcBorders>
          </w:tcPr>
          <w:p w:rsidR="00A66633" w:rsidRPr="0088269F" w:rsidRDefault="00D10087" w:rsidP="0092531A">
            <w:pPr>
              <w:jc w:val="left"/>
              <w:rPr>
                <w:rFonts w:ascii="Arial" w:hAnsi="Arial" w:cs="Arial"/>
                <w:iCs/>
                <w:sz w:val="20"/>
              </w:rPr>
            </w:pPr>
            <w:r>
              <w:rPr>
                <w:rFonts w:ascii="Arial" w:hAnsi="Arial" w:cs="Arial"/>
                <w:iCs/>
                <w:sz w:val="20"/>
              </w:rPr>
              <w:t>8/</w:t>
            </w:r>
            <w:r w:rsidR="0092531A">
              <w:rPr>
                <w:rFonts w:ascii="Arial" w:hAnsi="Arial" w:cs="Arial"/>
                <w:iCs/>
                <w:sz w:val="20"/>
              </w:rPr>
              <w:t>30</w:t>
            </w:r>
            <w:r>
              <w:rPr>
                <w:rFonts w:ascii="Arial" w:hAnsi="Arial" w:cs="Arial"/>
                <w:iCs/>
                <w:sz w:val="20"/>
              </w:rPr>
              <w:t>/2022</w:t>
            </w:r>
          </w:p>
        </w:tc>
        <w:tc>
          <w:tcPr>
            <w:tcW w:w="3420" w:type="dxa"/>
            <w:gridSpan w:val="2"/>
            <w:tcBorders>
              <w:top w:val="single" w:sz="4" w:space="0" w:color="auto"/>
              <w:left w:val="single" w:sz="4" w:space="0" w:color="auto"/>
              <w:bottom w:val="single" w:sz="4" w:space="0" w:color="auto"/>
              <w:right w:val="single" w:sz="4" w:space="0" w:color="auto"/>
            </w:tcBorders>
          </w:tcPr>
          <w:p w:rsidR="00A66633" w:rsidRPr="0088269F" w:rsidRDefault="00D90C94">
            <w:pPr>
              <w:jc w:val="left"/>
              <w:rPr>
                <w:rFonts w:ascii="Arial" w:hAnsi="Arial" w:cs="Arial"/>
                <w:iCs/>
                <w:sz w:val="20"/>
              </w:rPr>
            </w:pPr>
            <w:r>
              <w:rPr>
                <w:rFonts w:ascii="Arial" w:hAnsi="Arial" w:cs="Arial"/>
                <w:iCs/>
                <w:sz w:val="20"/>
              </w:rPr>
              <w:t>Initial Version</w:t>
            </w:r>
          </w:p>
        </w:tc>
      </w:tr>
      <w:tr w:rsidR="00A66633" w:rsidRPr="0088269F">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8" w:type="dxa"/>
            <w:vMerge/>
            <w:tcBorders>
              <w:left w:val="nil"/>
              <w:bottom w:val="nil"/>
              <w:right w:val="single" w:sz="4" w:space="0" w:color="auto"/>
            </w:tcBorders>
          </w:tcPr>
          <w:p w:rsidR="00A66633" w:rsidRPr="0088269F" w:rsidRDefault="00A66633">
            <w:pPr>
              <w:rPr>
                <w:rFonts w:ascii="Arial" w:hAnsi="Arial" w:cs="Arial"/>
                <w:b/>
                <w:bCs/>
                <w:color w:val="3366FF"/>
                <w:sz w:val="20"/>
              </w:rPr>
            </w:pPr>
          </w:p>
        </w:tc>
        <w:tc>
          <w:tcPr>
            <w:tcW w:w="1082" w:type="dxa"/>
            <w:tcBorders>
              <w:top w:val="single" w:sz="4" w:space="0" w:color="auto"/>
              <w:left w:val="single" w:sz="4" w:space="0" w:color="auto"/>
              <w:bottom w:val="single" w:sz="4" w:space="0" w:color="auto"/>
              <w:right w:val="single" w:sz="4" w:space="0" w:color="auto"/>
            </w:tcBorders>
          </w:tcPr>
          <w:p w:rsidR="00A66633" w:rsidRPr="0088269F" w:rsidRDefault="00A66633" w:rsidP="00760C6F">
            <w:pPr>
              <w:pStyle w:val="TableText"/>
              <w:numPr>
                <w:ilvl w:val="0"/>
                <w:numId w:val="15"/>
              </w:numPr>
              <w:autoSpaceDE/>
              <w:autoSpaceDN/>
              <w:rPr>
                <w:rFonts w:ascii="Arial" w:hAnsi="Arial" w:cs="Arial"/>
                <w:iCs/>
              </w:rPr>
            </w:pPr>
          </w:p>
        </w:tc>
        <w:tc>
          <w:tcPr>
            <w:tcW w:w="3060" w:type="dxa"/>
            <w:gridSpan w:val="2"/>
            <w:tcBorders>
              <w:top w:val="single" w:sz="4" w:space="0" w:color="auto"/>
              <w:left w:val="single" w:sz="4" w:space="0" w:color="auto"/>
              <w:bottom w:val="single" w:sz="4" w:space="0" w:color="auto"/>
              <w:right w:val="single" w:sz="4" w:space="0" w:color="auto"/>
            </w:tcBorders>
          </w:tcPr>
          <w:p w:rsidR="00A66633" w:rsidRPr="0088269F" w:rsidRDefault="00A66633">
            <w:pPr>
              <w:jc w:val="left"/>
              <w:rPr>
                <w:rFonts w:ascii="Arial" w:hAnsi="Arial" w:cs="Arial"/>
                <w:iCs/>
                <w:sz w:val="20"/>
              </w:rPr>
            </w:pPr>
          </w:p>
        </w:tc>
        <w:tc>
          <w:tcPr>
            <w:tcW w:w="1620" w:type="dxa"/>
            <w:tcBorders>
              <w:top w:val="single" w:sz="4" w:space="0" w:color="auto"/>
              <w:left w:val="single" w:sz="4" w:space="0" w:color="auto"/>
              <w:bottom w:val="single" w:sz="4" w:space="0" w:color="auto"/>
              <w:right w:val="single" w:sz="4" w:space="0" w:color="auto"/>
            </w:tcBorders>
          </w:tcPr>
          <w:p w:rsidR="00A66633" w:rsidRPr="0088269F" w:rsidRDefault="00A66633">
            <w:pPr>
              <w:jc w:val="left"/>
              <w:rPr>
                <w:rFonts w:ascii="Arial" w:hAnsi="Arial" w:cs="Arial"/>
                <w:iCs/>
                <w:sz w:val="20"/>
              </w:rPr>
            </w:pPr>
          </w:p>
        </w:tc>
        <w:tc>
          <w:tcPr>
            <w:tcW w:w="3420" w:type="dxa"/>
            <w:gridSpan w:val="2"/>
            <w:tcBorders>
              <w:top w:val="single" w:sz="4" w:space="0" w:color="auto"/>
              <w:left w:val="single" w:sz="4" w:space="0" w:color="auto"/>
              <w:bottom w:val="single" w:sz="4" w:space="0" w:color="auto"/>
              <w:right w:val="single" w:sz="4" w:space="0" w:color="auto"/>
            </w:tcBorders>
          </w:tcPr>
          <w:p w:rsidR="00A66633" w:rsidRPr="0088269F" w:rsidRDefault="00A66633">
            <w:pPr>
              <w:jc w:val="left"/>
              <w:rPr>
                <w:rFonts w:ascii="Arial" w:hAnsi="Arial" w:cs="Arial"/>
                <w:iCs/>
                <w:sz w:val="20"/>
              </w:rPr>
            </w:pPr>
          </w:p>
        </w:tc>
      </w:tr>
      <w:tr w:rsidR="00A66633" w:rsidRPr="0088269F" w:rsidTr="00BB59B3">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8" w:type="dxa"/>
            <w:tcBorders>
              <w:left w:val="nil"/>
              <w:bottom w:val="nil"/>
              <w:right w:val="nil"/>
            </w:tcBorders>
          </w:tcPr>
          <w:p w:rsidR="00A66633" w:rsidRPr="0088269F" w:rsidRDefault="00A66633">
            <w:pPr>
              <w:rPr>
                <w:rFonts w:ascii="Arial" w:hAnsi="Arial" w:cs="Arial"/>
                <w:b/>
                <w:bCs/>
                <w:color w:val="3366FF"/>
                <w:sz w:val="20"/>
              </w:rPr>
            </w:pPr>
          </w:p>
        </w:tc>
        <w:tc>
          <w:tcPr>
            <w:tcW w:w="9182" w:type="dxa"/>
            <w:gridSpan w:val="6"/>
            <w:tcBorders>
              <w:top w:val="single" w:sz="4" w:space="0" w:color="auto"/>
              <w:left w:val="nil"/>
              <w:bottom w:val="single" w:sz="18" w:space="0" w:color="BFBFBF"/>
              <w:right w:val="nil"/>
            </w:tcBorders>
          </w:tcPr>
          <w:p w:rsidR="00A66633" w:rsidRPr="0088269F" w:rsidRDefault="00A66633">
            <w:pPr>
              <w:jc w:val="left"/>
              <w:rPr>
                <w:rFonts w:ascii="Arial" w:hAnsi="Arial" w:cs="Arial"/>
                <w:iCs/>
                <w:sz w:val="20"/>
              </w:rPr>
            </w:pPr>
          </w:p>
        </w:tc>
      </w:tr>
    </w:tbl>
    <w:p w:rsidR="00A66633" w:rsidRPr="0088269F" w:rsidRDefault="00A66633">
      <w:pPr>
        <w:rPr>
          <w:rFonts w:ascii="Arial" w:hAnsi="Arial" w:cs="Arial"/>
          <w:sz w:val="20"/>
        </w:rPr>
      </w:pPr>
    </w:p>
    <w:sectPr w:rsidR="00A66633" w:rsidRPr="0088269F">
      <w:type w:val="continuous"/>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BEC" w:rsidRDefault="00666BEC">
      <w:r>
        <w:separator/>
      </w:r>
    </w:p>
  </w:endnote>
  <w:endnote w:type="continuationSeparator" w:id="0">
    <w:p w:rsidR="00666BEC" w:rsidRDefault="00666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139" w:rsidRDefault="00A95139" w:rsidP="00A66633">
    <w:pPr>
      <w:ind w:left="-1260" w:right="-1260"/>
      <w:rPr>
        <w:rFonts w:ascii="Arial" w:hAnsi="Arial" w:cs="Arial"/>
        <w:sz w:val="16"/>
      </w:rPr>
    </w:pPr>
    <w:r>
      <w:rPr>
        <w:rFonts w:ascii="Arial" w:hAnsi="Arial" w:cs="Arial"/>
        <w:sz w:val="16"/>
      </w:rPr>
      <w:t>Laboratory, Chil</w:t>
    </w:r>
    <w:r w:rsidR="00F00283">
      <w:rPr>
        <w:rFonts w:ascii="Arial" w:hAnsi="Arial" w:cs="Arial"/>
        <w:sz w:val="16"/>
      </w:rPr>
      <w:t xml:space="preserve">dren’s Minnesota, </w:t>
    </w:r>
    <w:r>
      <w:rPr>
        <w:rFonts w:ascii="Arial" w:hAnsi="Arial" w:cs="Arial"/>
        <w:sz w:val="16"/>
      </w:rPr>
      <w:t>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F579B2">
      <w:rPr>
        <w:rFonts w:ascii="Arial" w:hAnsi="Arial" w:cs="Arial"/>
        <w:noProof/>
        <w:sz w:val="16"/>
      </w:rPr>
      <w:t>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F579B2">
      <w:rPr>
        <w:rFonts w:ascii="Arial" w:hAnsi="Arial" w:cs="Arial"/>
        <w:noProof/>
        <w:sz w:val="16"/>
      </w:rPr>
      <w:t>4</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BEC" w:rsidRDefault="00666BEC">
      <w:r>
        <w:separator/>
      </w:r>
    </w:p>
  </w:footnote>
  <w:footnote w:type="continuationSeparator" w:id="0">
    <w:p w:rsidR="00666BEC" w:rsidRDefault="00666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139" w:rsidRDefault="00D83718">
    <w:pPr>
      <w:ind w:left="-1260" w:right="-1260"/>
      <w:rPr>
        <w:rFonts w:ascii="Arial" w:hAnsi="Arial" w:cs="Arial"/>
        <w:sz w:val="18"/>
      </w:rPr>
    </w:pPr>
    <w:r>
      <w:rPr>
        <w:noProof/>
      </w:rPr>
      <w:drawing>
        <wp:anchor distT="0" distB="0" distL="114300" distR="114300" simplePos="0" relativeHeight="251660288" behindDoc="0" locked="0" layoutInCell="1" allowOverlap="1">
          <wp:simplePos x="0" y="0"/>
          <wp:positionH relativeFrom="column">
            <wp:posOffset>4638040</wp:posOffset>
          </wp:positionH>
          <wp:positionV relativeFrom="paragraph">
            <wp:posOffset>-115570</wp:posOffset>
          </wp:positionV>
          <wp:extent cx="1752600" cy="561975"/>
          <wp:effectExtent l="0" t="0" r="0" b="9525"/>
          <wp:wrapSquare wrapText="bothSides"/>
          <wp:docPr id="5"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61975"/>
                  </a:xfrm>
                  <a:prstGeom prst="rect">
                    <a:avLst/>
                  </a:prstGeom>
                  <a:noFill/>
                </pic:spPr>
              </pic:pic>
            </a:graphicData>
          </a:graphic>
          <wp14:sizeRelH relativeFrom="page">
            <wp14:pctWidth>0</wp14:pctWidth>
          </wp14:sizeRelH>
          <wp14:sizeRelV relativeFrom="page">
            <wp14:pctHeight>0</wp14:pctHeight>
          </wp14:sizeRelV>
        </wp:anchor>
      </w:drawing>
    </w:r>
    <w:r w:rsidR="00A95139">
      <w:rPr>
        <w:rFonts w:ascii="Arial" w:hAnsi="Arial" w:cs="Arial"/>
        <w:sz w:val="18"/>
      </w:rPr>
      <w:t xml:space="preserve">CH </w:t>
    </w:r>
    <w:r w:rsidR="00F579B2">
      <w:rPr>
        <w:rFonts w:ascii="Arial" w:hAnsi="Arial" w:cs="Arial"/>
        <w:sz w:val="18"/>
      </w:rPr>
      <w:t xml:space="preserve">4.09 </w:t>
    </w:r>
    <w:proofErr w:type="spellStart"/>
    <w:r w:rsidR="00921E4E">
      <w:rPr>
        <w:rFonts w:ascii="Arial" w:hAnsi="Arial" w:cs="Arial"/>
        <w:sz w:val="18"/>
      </w:rPr>
      <w:t>Quantiferon</w:t>
    </w:r>
    <w:proofErr w:type="spellEnd"/>
    <w:r w:rsidR="00B719AB">
      <w:rPr>
        <w:rFonts w:ascii="Arial" w:hAnsi="Arial" w:cs="Arial"/>
        <w:sz w:val="18"/>
      </w:rPr>
      <w:t xml:space="preserve"> Collection and Processing</w:t>
    </w:r>
  </w:p>
  <w:p w:rsidR="00A95139" w:rsidRDefault="006F6837">
    <w:pPr>
      <w:ind w:left="-1260" w:right="-1260"/>
      <w:rPr>
        <w:rFonts w:ascii="Arial" w:hAnsi="Arial" w:cs="Arial"/>
        <w:sz w:val="18"/>
      </w:rPr>
    </w:pPr>
    <w:r>
      <w:rPr>
        <w:rFonts w:ascii="Arial" w:hAnsi="Arial" w:cs="Arial"/>
        <w:sz w:val="18"/>
      </w:rPr>
      <w:t>Version 1</w:t>
    </w:r>
  </w:p>
  <w:p w:rsidR="00A95139" w:rsidRDefault="00F00283">
    <w:pPr>
      <w:ind w:left="-1260" w:right="-1260"/>
      <w:rPr>
        <w:rFonts w:ascii="Arial" w:hAnsi="Arial" w:cs="Arial"/>
        <w:sz w:val="18"/>
      </w:rPr>
    </w:pPr>
    <w:r>
      <w:rPr>
        <w:rFonts w:ascii="Arial" w:hAnsi="Arial" w:cs="Arial"/>
        <w:sz w:val="18"/>
      </w:rPr>
      <w:t xml:space="preserve">Effective Date: </w:t>
    </w:r>
    <w:r w:rsidR="009179E9">
      <w:rPr>
        <w:rFonts w:ascii="Arial" w:hAnsi="Arial" w:cs="Arial"/>
        <w:sz w:val="18"/>
      </w:rPr>
      <w:t xml:space="preserve">August </w:t>
    </w:r>
    <w:r w:rsidR="005075C6">
      <w:rPr>
        <w:rFonts w:ascii="Arial" w:hAnsi="Arial" w:cs="Arial"/>
        <w:sz w:val="18"/>
      </w:rPr>
      <w:t>30</w:t>
    </w:r>
    <w:r>
      <w:rPr>
        <w:rFonts w:ascii="Arial" w:hAnsi="Arial" w:cs="Arial"/>
        <w:sz w:val="18"/>
      </w:rPr>
      <w:t xml:space="preserve">, </w:t>
    </w:r>
    <w:r w:rsidR="009179E9">
      <w:rPr>
        <w:rFonts w:ascii="Arial" w:hAnsi="Arial" w:cs="Arial"/>
        <w:sz w:val="18"/>
      </w:rPr>
      <w:t>2022</w:t>
    </w:r>
  </w:p>
  <w:p w:rsidR="00A95139" w:rsidRDefault="00A95139">
    <w:pPr>
      <w:pStyle w:val="Header"/>
      <w:tabs>
        <w:tab w:val="clear" w:pos="8640"/>
        <w:tab w:val="right" w:pos="9900"/>
      </w:tabs>
      <w:ind w:left="-1260"/>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5F60"/>
    <w:multiLevelType w:val="hybridMultilevel"/>
    <w:tmpl w:val="F934DC00"/>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2A103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573F06"/>
    <w:multiLevelType w:val="hybridMultilevel"/>
    <w:tmpl w:val="EF08B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D0857"/>
    <w:multiLevelType w:val="hybridMultilevel"/>
    <w:tmpl w:val="2C9A6FDE"/>
    <w:lvl w:ilvl="0" w:tplc="23783E1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F10A6"/>
    <w:multiLevelType w:val="hybridMultilevel"/>
    <w:tmpl w:val="E5D0F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B7429"/>
    <w:multiLevelType w:val="hybridMultilevel"/>
    <w:tmpl w:val="27789D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022049"/>
    <w:multiLevelType w:val="hybridMultilevel"/>
    <w:tmpl w:val="750CC91A"/>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244BA1"/>
    <w:multiLevelType w:val="hybridMultilevel"/>
    <w:tmpl w:val="2CB2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4D2FF6"/>
    <w:multiLevelType w:val="hybridMultilevel"/>
    <w:tmpl w:val="4C3049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76DF4"/>
    <w:multiLevelType w:val="hybridMultilevel"/>
    <w:tmpl w:val="1084002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303A32"/>
    <w:multiLevelType w:val="hybridMultilevel"/>
    <w:tmpl w:val="B7D882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BE6E49"/>
    <w:multiLevelType w:val="hybridMultilevel"/>
    <w:tmpl w:val="85C2E1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53463FB"/>
    <w:multiLevelType w:val="hybridMultilevel"/>
    <w:tmpl w:val="E11C6C5C"/>
    <w:lvl w:ilvl="0" w:tplc="DA02FA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180F30"/>
    <w:multiLevelType w:val="hybridMultilevel"/>
    <w:tmpl w:val="B3541B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A3C7288"/>
    <w:multiLevelType w:val="hybridMultilevel"/>
    <w:tmpl w:val="4D8ED74C"/>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22775D"/>
    <w:multiLevelType w:val="hybridMultilevel"/>
    <w:tmpl w:val="118CAB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56C7F"/>
    <w:multiLevelType w:val="hybridMultilevel"/>
    <w:tmpl w:val="06F07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190622"/>
    <w:multiLevelType w:val="hybridMultilevel"/>
    <w:tmpl w:val="16E263A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6163766"/>
    <w:multiLevelType w:val="hybridMultilevel"/>
    <w:tmpl w:val="2AC66F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E86D40"/>
    <w:multiLevelType w:val="hybridMultilevel"/>
    <w:tmpl w:val="DAA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DD6073"/>
    <w:multiLevelType w:val="hybridMultilevel"/>
    <w:tmpl w:val="F13E59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14326"/>
    <w:multiLevelType w:val="hybridMultilevel"/>
    <w:tmpl w:val="A594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E74A1"/>
    <w:multiLevelType w:val="hybridMultilevel"/>
    <w:tmpl w:val="2CE84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6E5C19"/>
    <w:multiLevelType w:val="hybridMultilevel"/>
    <w:tmpl w:val="E8546B24"/>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D793D"/>
    <w:multiLevelType w:val="hybridMultilevel"/>
    <w:tmpl w:val="F806B412"/>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905C4D"/>
    <w:multiLevelType w:val="hybridMultilevel"/>
    <w:tmpl w:val="6D68C010"/>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786E06"/>
    <w:multiLevelType w:val="hybridMultilevel"/>
    <w:tmpl w:val="70DC443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AF02182"/>
    <w:multiLevelType w:val="hybridMultilevel"/>
    <w:tmpl w:val="5E5C62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5630A2"/>
    <w:multiLevelType w:val="hybridMultilevel"/>
    <w:tmpl w:val="C4625F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8271AB"/>
    <w:multiLevelType w:val="hybridMultilevel"/>
    <w:tmpl w:val="F934DC00"/>
    <w:lvl w:ilvl="0" w:tplc="04090005">
      <w:start w:val="1"/>
      <w:numFmt w:val="bullet"/>
      <w:lvlText w:val=""/>
      <w:lvlJc w:val="left"/>
      <w:pPr>
        <w:tabs>
          <w:tab w:val="num" w:pos="720"/>
        </w:tabs>
        <w:ind w:left="720" w:hanging="360"/>
      </w:pPr>
      <w:rPr>
        <w:rFonts w:ascii="Wingdings" w:hAnsi="Wingdings" w:hint="default"/>
      </w:rPr>
    </w:lvl>
    <w:lvl w:ilvl="1" w:tplc="3620C63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A63917"/>
    <w:multiLevelType w:val="hybridMultilevel"/>
    <w:tmpl w:val="CBA02D4C"/>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BF4655"/>
    <w:multiLevelType w:val="hybridMultilevel"/>
    <w:tmpl w:val="E4286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1617A5"/>
    <w:multiLevelType w:val="hybridMultilevel"/>
    <w:tmpl w:val="9F0C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AC409F"/>
    <w:multiLevelType w:val="hybridMultilevel"/>
    <w:tmpl w:val="A20C3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A2604B"/>
    <w:multiLevelType w:val="hybridMultilevel"/>
    <w:tmpl w:val="BA1A0A3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6F3380C"/>
    <w:multiLevelType w:val="hybridMultilevel"/>
    <w:tmpl w:val="C0307F00"/>
    <w:lvl w:ilvl="0" w:tplc="1D884B2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D21FBD"/>
    <w:multiLevelType w:val="hybridMultilevel"/>
    <w:tmpl w:val="41247BF8"/>
    <w:lvl w:ilvl="0" w:tplc="23783E1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431FDE"/>
    <w:multiLevelType w:val="hybridMultilevel"/>
    <w:tmpl w:val="59EABF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B34B49"/>
    <w:multiLevelType w:val="hybridMultilevel"/>
    <w:tmpl w:val="0ECE5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0"/>
  </w:num>
  <w:num w:numId="4">
    <w:abstractNumId w:val="13"/>
  </w:num>
  <w:num w:numId="5">
    <w:abstractNumId w:val="7"/>
  </w:num>
  <w:num w:numId="6">
    <w:abstractNumId w:val="26"/>
  </w:num>
  <w:num w:numId="7">
    <w:abstractNumId w:val="36"/>
  </w:num>
  <w:num w:numId="8">
    <w:abstractNumId w:val="0"/>
  </w:num>
  <w:num w:numId="9">
    <w:abstractNumId w:val="31"/>
  </w:num>
  <w:num w:numId="10">
    <w:abstractNumId w:val="11"/>
  </w:num>
  <w:num w:numId="11">
    <w:abstractNumId w:val="25"/>
  </w:num>
  <w:num w:numId="12">
    <w:abstractNumId w:val="37"/>
  </w:num>
  <w:num w:numId="13">
    <w:abstractNumId w:val="4"/>
  </w:num>
  <w:num w:numId="14">
    <w:abstractNumId w:val="6"/>
  </w:num>
  <w:num w:numId="15">
    <w:abstractNumId w:val="28"/>
  </w:num>
  <w:num w:numId="16">
    <w:abstractNumId w:val="22"/>
  </w:num>
  <w:num w:numId="17">
    <w:abstractNumId w:val="24"/>
  </w:num>
  <w:num w:numId="18">
    <w:abstractNumId w:val="18"/>
  </w:num>
  <w:num w:numId="19">
    <w:abstractNumId w:val="39"/>
  </w:num>
  <w:num w:numId="20">
    <w:abstractNumId w:val="23"/>
  </w:num>
  <w:num w:numId="21">
    <w:abstractNumId w:val="3"/>
  </w:num>
  <w:num w:numId="22">
    <w:abstractNumId w:val="16"/>
  </w:num>
  <w:num w:numId="23">
    <w:abstractNumId w:val="8"/>
  </w:num>
  <w:num w:numId="24">
    <w:abstractNumId w:val="33"/>
  </w:num>
  <w:num w:numId="25">
    <w:abstractNumId w:val="20"/>
  </w:num>
  <w:num w:numId="26">
    <w:abstractNumId w:val="29"/>
  </w:num>
  <w:num w:numId="27">
    <w:abstractNumId w:val="5"/>
  </w:num>
  <w:num w:numId="28">
    <w:abstractNumId w:val="9"/>
  </w:num>
  <w:num w:numId="29">
    <w:abstractNumId w:val="1"/>
  </w:num>
  <w:num w:numId="30">
    <w:abstractNumId w:val="21"/>
  </w:num>
  <w:num w:numId="31">
    <w:abstractNumId w:val="15"/>
  </w:num>
  <w:num w:numId="32">
    <w:abstractNumId w:val="17"/>
  </w:num>
  <w:num w:numId="33">
    <w:abstractNumId w:val="19"/>
  </w:num>
  <w:num w:numId="34">
    <w:abstractNumId w:val="32"/>
  </w:num>
  <w:num w:numId="35">
    <w:abstractNumId w:val="10"/>
  </w:num>
  <w:num w:numId="36">
    <w:abstractNumId w:val="34"/>
  </w:num>
  <w:num w:numId="37">
    <w:abstractNumId w:val="38"/>
  </w:num>
  <w:num w:numId="38">
    <w:abstractNumId w:val="35"/>
  </w:num>
  <w:num w:numId="39">
    <w:abstractNumId w:val="12"/>
  </w:num>
  <w:num w:numId="40">
    <w:abstractNumId w:val="27"/>
  </w:num>
  <w:num w:numId="4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33"/>
    <w:rsid w:val="00052DD9"/>
    <w:rsid w:val="000A2840"/>
    <w:rsid w:val="000C09EB"/>
    <w:rsid w:val="000D74B0"/>
    <w:rsid w:val="000F4684"/>
    <w:rsid w:val="000F7711"/>
    <w:rsid w:val="001245D8"/>
    <w:rsid w:val="00175747"/>
    <w:rsid w:val="00187D35"/>
    <w:rsid w:val="001A0101"/>
    <w:rsid w:val="00223D6A"/>
    <w:rsid w:val="00264FE4"/>
    <w:rsid w:val="00284784"/>
    <w:rsid w:val="002A2689"/>
    <w:rsid w:val="002C245D"/>
    <w:rsid w:val="002C3759"/>
    <w:rsid w:val="002D09EA"/>
    <w:rsid w:val="002E3408"/>
    <w:rsid w:val="002F1D6E"/>
    <w:rsid w:val="002F1F4E"/>
    <w:rsid w:val="00335190"/>
    <w:rsid w:val="00383572"/>
    <w:rsid w:val="003F4CD6"/>
    <w:rsid w:val="00417994"/>
    <w:rsid w:val="00417CAE"/>
    <w:rsid w:val="0045054F"/>
    <w:rsid w:val="0047417D"/>
    <w:rsid w:val="00480E69"/>
    <w:rsid w:val="004B6ED3"/>
    <w:rsid w:val="004C09FE"/>
    <w:rsid w:val="004C6BA5"/>
    <w:rsid w:val="004E2350"/>
    <w:rsid w:val="004F4090"/>
    <w:rsid w:val="005075C6"/>
    <w:rsid w:val="005518DE"/>
    <w:rsid w:val="00554A95"/>
    <w:rsid w:val="00571A41"/>
    <w:rsid w:val="00595D12"/>
    <w:rsid w:val="005A0C5B"/>
    <w:rsid w:val="005C7783"/>
    <w:rsid w:val="005E0FCA"/>
    <w:rsid w:val="006265C8"/>
    <w:rsid w:val="00666BEC"/>
    <w:rsid w:val="006900BD"/>
    <w:rsid w:val="006A4ABF"/>
    <w:rsid w:val="006B6ECE"/>
    <w:rsid w:val="006C60E6"/>
    <w:rsid w:val="006E35CD"/>
    <w:rsid w:val="006F32DF"/>
    <w:rsid w:val="006F6837"/>
    <w:rsid w:val="00703F97"/>
    <w:rsid w:val="007203F8"/>
    <w:rsid w:val="007260AB"/>
    <w:rsid w:val="00760C6F"/>
    <w:rsid w:val="007C4240"/>
    <w:rsid w:val="007D3D55"/>
    <w:rsid w:val="007D4F97"/>
    <w:rsid w:val="007E47C8"/>
    <w:rsid w:val="00802B19"/>
    <w:rsid w:val="00803809"/>
    <w:rsid w:val="008075C5"/>
    <w:rsid w:val="00857186"/>
    <w:rsid w:val="0088269F"/>
    <w:rsid w:val="008F7963"/>
    <w:rsid w:val="009179E9"/>
    <w:rsid w:val="00921E4E"/>
    <w:rsid w:val="0092531A"/>
    <w:rsid w:val="00926ACD"/>
    <w:rsid w:val="00956894"/>
    <w:rsid w:val="009925DB"/>
    <w:rsid w:val="009A0BDC"/>
    <w:rsid w:val="009B72B1"/>
    <w:rsid w:val="00A02216"/>
    <w:rsid w:val="00A42B23"/>
    <w:rsid w:val="00A42E0F"/>
    <w:rsid w:val="00A455B9"/>
    <w:rsid w:val="00A54476"/>
    <w:rsid w:val="00A66633"/>
    <w:rsid w:val="00A7050D"/>
    <w:rsid w:val="00A77F20"/>
    <w:rsid w:val="00A95139"/>
    <w:rsid w:val="00AA3E65"/>
    <w:rsid w:val="00AB68E0"/>
    <w:rsid w:val="00AC6DD7"/>
    <w:rsid w:val="00AF0684"/>
    <w:rsid w:val="00B1082F"/>
    <w:rsid w:val="00B4430D"/>
    <w:rsid w:val="00B46134"/>
    <w:rsid w:val="00B570BE"/>
    <w:rsid w:val="00B63B75"/>
    <w:rsid w:val="00B719AB"/>
    <w:rsid w:val="00B74C70"/>
    <w:rsid w:val="00BA477B"/>
    <w:rsid w:val="00BA4887"/>
    <w:rsid w:val="00BB59B3"/>
    <w:rsid w:val="00BD2C2C"/>
    <w:rsid w:val="00C208FD"/>
    <w:rsid w:val="00C20ADB"/>
    <w:rsid w:val="00C92A72"/>
    <w:rsid w:val="00CC58D9"/>
    <w:rsid w:val="00CE229D"/>
    <w:rsid w:val="00CE42B1"/>
    <w:rsid w:val="00D10087"/>
    <w:rsid w:val="00D15A21"/>
    <w:rsid w:val="00D2386E"/>
    <w:rsid w:val="00D26528"/>
    <w:rsid w:val="00D60D4B"/>
    <w:rsid w:val="00D646E3"/>
    <w:rsid w:val="00D83718"/>
    <w:rsid w:val="00D87697"/>
    <w:rsid w:val="00D90C94"/>
    <w:rsid w:val="00DB4E5C"/>
    <w:rsid w:val="00E002AF"/>
    <w:rsid w:val="00E01603"/>
    <w:rsid w:val="00E21E87"/>
    <w:rsid w:val="00E26400"/>
    <w:rsid w:val="00E4507A"/>
    <w:rsid w:val="00E50B6C"/>
    <w:rsid w:val="00E65C40"/>
    <w:rsid w:val="00E7793A"/>
    <w:rsid w:val="00E81BB6"/>
    <w:rsid w:val="00EB0796"/>
    <w:rsid w:val="00EC0360"/>
    <w:rsid w:val="00ED2116"/>
    <w:rsid w:val="00ED49A6"/>
    <w:rsid w:val="00EE7BD7"/>
    <w:rsid w:val="00F00283"/>
    <w:rsid w:val="00F1241A"/>
    <w:rsid w:val="00F20EA8"/>
    <w:rsid w:val="00F40271"/>
    <w:rsid w:val="00F50B4B"/>
    <w:rsid w:val="00F579B2"/>
    <w:rsid w:val="00F6757D"/>
    <w:rsid w:val="00F71BC8"/>
    <w:rsid w:val="00F757E6"/>
    <w:rsid w:val="00FB6718"/>
    <w:rsid w:val="00FE5D7E"/>
    <w:rsid w:val="00FF095D"/>
    <w:rsid w:val="00FF7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588AFB42-E682-4EFB-94CD-32AB432E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link w:val="HeaderChar"/>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tabs>
        <w:tab w:val="left" w:pos="3348"/>
        <w:tab w:val="left" w:pos="9918"/>
      </w:tabs>
      <w:ind w:left="378"/>
    </w:pPr>
    <w:rPr>
      <w:rFonts w:ascii="Arial" w:hAnsi="Arial" w:cs="Arial"/>
      <w:sz w:val="18"/>
    </w:rPr>
  </w:style>
  <w:style w:type="paragraph" w:customStyle="1" w:styleId="Pa19">
    <w:name w:val="Pa19"/>
    <w:basedOn w:val="Normal"/>
    <w:next w:val="Normal"/>
    <w:pPr>
      <w:autoSpaceDE w:val="0"/>
      <w:autoSpaceDN w:val="0"/>
      <w:adjustRightInd w:val="0"/>
      <w:spacing w:line="151" w:lineRule="atLeast"/>
      <w:jc w:val="left"/>
    </w:pPr>
    <w:rPr>
      <w:rFonts w:ascii="Helen Pro Cond" w:hAnsi="Helen Pro Cond"/>
      <w:sz w:val="24"/>
    </w:rPr>
  </w:style>
  <w:style w:type="paragraph" w:customStyle="1" w:styleId="IndentedSubheading">
    <w:name w:val="Indented Subheading"/>
    <w:basedOn w:val="Normal"/>
    <w:pPr>
      <w:overflowPunct w:val="0"/>
      <w:autoSpaceDE w:val="0"/>
      <w:autoSpaceDN w:val="0"/>
      <w:adjustRightInd w:val="0"/>
      <w:spacing w:before="160" w:line="240" w:lineRule="atLeast"/>
      <w:ind w:left="160"/>
      <w:jc w:val="left"/>
      <w:textAlignment w:val="baseline"/>
    </w:pPr>
    <w:rPr>
      <w:rFonts w:ascii="Bookman" w:hAnsi="Bookman"/>
      <w:b/>
      <w:sz w:val="24"/>
      <w:szCs w:val="20"/>
    </w:rPr>
  </w:style>
  <w:style w:type="character" w:styleId="Strong">
    <w:name w:val="Strong"/>
    <w:basedOn w:val="DefaultParagraphFont"/>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customStyle="1" w:styleId="Note">
    <w:name w:val="Note"/>
    <w:rsid w:val="00335190"/>
    <w:pPr>
      <w:spacing w:before="120"/>
    </w:pPr>
    <w:rPr>
      <w:rFonts w:ascii="Arial" w:eastAsia="Arial" w:hAnsi="Arial" w:cs="Arial"/>
      <w:i/>
    </w:rPr>
  </w:style>
  <w:style w:type="paragraph" w:customStyle="1" w:styleId="Questiontext">
    <w:name w:val="Question_text"/>
    <w:rsid w:val="00335190"/>
    <w:pPr>
      <w:spacing w:before="120" w:after="120"/>
    </w:pPr>
    <w:rPr>
      <w:rFonts w:ascii="Arial" w:eastAsia="Arial" w:hAnsi="Arial" w:cs="Arial"/>
      <w:b/>
      <w:color w:val="003893"/>
    </w:rPr>
  </w:style>
  <w:style w:type="paragraph" w:customStyle="1" w:styleId="BodyTX">
    <w:name w:val="Body TX"/>
    <w:basedOn w:val="Default"/>
    <w:next w:val="Default"/>
    <w:uiPriority w:val="99"/>
    <w:rsid w:val="00595D12"/>
    <w:rPr>
      <w:color w:val="auto"/>
    </w:rPr>
  </w:style>
  <w:style w:type="paragraph" w:styleId="ListParagraph">
    <w:name w:val="List Paragraph"/>
    <w:basedOn w:val="Normal"/>
    <w:uiPriority w:val="34"/>
    <w:qFormat/>
    <w:rsid w:val="00A02216"/>
    <w:pPr>
      <w:ind w:left="720"/>
      <w:contextualSpacing/>
      <w:jc w:val="left"/>
    </w:pPr>
    <w:rPr>
      <w:rFonts w:ascii="Arial" w:hAnsi="Arial"/>
      <w:sz w:val="20"/>
    </w:rPr>
  </w:style>
  <w:style w:type="table" w:styleId="TableGrid">
    <w:name w:val="Table Grid"/>
    <w:basedOn w:val="TableNormal"/>
    <w:uiPriority w:val="59"/>
    <w:rsid w:val="00284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semiHidden/>
    <w:rsid w:val="00703F97"/>
    <w:rPr>
      <w:sz w:val="22"/>
      <w:szCs w:val="24"/>
    </w:rPr>
  </w:style>
  <w:style w:type="paragraph" w:styleId="BalloonText">
    <w:name w:val="Balloon Text"/>
    <w:basedOn w:val="Normal"/>
    <w:link w:val="BalloonTextChar"/>
    <w:uiPriority w:val="99"/>
    <w:semiHidden/>
    <w:unhideWhenUsed/>
    <w:rsid w:val="00480E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E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gen/safety/sa/sa10.01-standard-precaut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gen/safety/sa/sa10.82-tuberculosis-exposure-control-pl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2021-08-01T05:00:00+00:00</Renewal_x0020_Date>
    <Related_x0020_Documents xmlns="199f0838-75a6-4f0c-9be1-f2c07140bccc" xsi:nil="true"/>
    <Legacy_x0020_Name xmlns="199f0838-75a6-4f0c-9be1-f2c07140bccc" xsi:nil="true"/>
    <Legacy_x0020_Document_x0020_ID xmlns="199f0838-75a6-4f0c-9be1-f2c07140bccc" xsi:nil="true"/>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F6TN54CWY5RS-50183619-32416</_dlc_DocId>
    <_Version xmlns="http://schemas.microsoft.com/sharepoint/v3/fields" xsi:nil="true"/>
    <Meta_x0020_Tag_x0020_Keywords xmlns="199f0838-75a6-4f0c-9be1-f2c07140bccc" xsi:nil="true"/>
    <Publishing_x0020_Destination xmlns="199f0838-75a6-4f0c-9be1-f2c07140bccc">Default</Publishing_x0020_Destination>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CH 6.97 Borrelia (Lyme)</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 xsi:nil="true"/>
    <Owner xmlns="http://schemas.microsoft.com/sharepoint/v3">CHEM</Owner>
    <Content_x0020_Release_x0020_Date xmlns="199f0838-75a6-4f0c-9be1-f2c07140bccc">2019-08-13T05:00:00+00:00</Content_x0020_Release_x0020_Date>
    <Summary xmlns="199f0838-75a6-4f0c-9be1-f2c07140bccc" xsi:nil="true"/>
    <SubTitle xmlns="199f0838-75a6-4f0c-9be1-f2c07140bccc" xsi:nil="true"/>
    <_dlc_DocIdUrl xmlns="199f0838-75a6-4f0c-9be1-f2c07140bccc">
      <Url>https://vcpsharepoint4.childrenshc.org/references/_layouts/15/DocIdRedir.aspx?ID=F6TN54CWY5RS-50183619-32416</Url>
      <Description>F6TN54CWY5RS-50183619-32416</Description>
    </_dlc_DocIdUrl>
    <Study_x0020_Status xmlns="c1848e11-9cf6-4ce4-877e-6837d2c2fa23" xsi:nil="true"/>
    <Meta_x0020_Page_x0020_Description xmlns="199f0838-75a6-4f0c-9be1-f2c07140bc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901AC-AEAF-4050-811B-3E8502EA4F92}">
  <ds:schemaRefs>
    <ds:schemaRef ds:uri="http://schemas.microsoft.com/sharepoint/events"/>
  </ds:schemaRefs>
</ds:datastoreItem>
</file>

<file path=customXml/itemProps2.xml><?xml version="1.0" encoding="utf-8"?>
<ds:datastoreItem xmlns:ds="http://schemas.openxmlformats.org/officeDocument/2006/customXml" ds:itemID="{26ACC47D-4961-41D3-BBFF-705663354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AE3C6-03AA-4D6D-8CAF-398F06B75A1A}">
  <ds:schemaRefs>
    <ds:schemaRef ds:uri="http://schemas.microsoft.com/office/2006/documentManagement/types"/>
    <ds:schemaRef ds:uri="http://schemas.microsoft.com/office/infopath/2007/PartnerControls"/>
    <ds:schemaRef ds:uri="199f0838-75a6-4f0c-9be1-f2c07140bccc"/>
    <ds:schemaRef ds:uri="http://purl.org/dc/elements/1.1/"/>
    <ds:schemaRef ds:uri="http://schemas.microsoft.com/office/2006/metadata/properties"/>
    <ds:schemaRef ds:uri="http://schemas.openxmlformats.org/package/2006/metadata/core-properties"/>
    <ds:schemaRef ds:uri="c1848e11-9cf6-4ce4-877e-6837d2c2fa23"/>
    <ds:schemaRef ds:uri="http://schemas.microsoft.com/sharepoint/v3"/>
    <ds:schemaRef ds:uri="http://purl.org/dc/terms/"/>
    <ds:schemaRef ds:uri="http://schemas.microsoft.com/sharepoint.v3"/>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9D338ECC-68BC-47DE-AFD5-415A6F0117EC}">
  <ds:schemaRefs>
    <ds:schemaRef ds:uri="http://schemas.microsoft.com/sharepoint/v3/contenttype/forms"/>
  </ds:schemaRefs>
</ds:datastoreItem>
</file>

<file path=customXml/itemProps5.xml><?xml version="1.0" encoding="utf-8"?>
<ds:datastoreItem xmlns:ds="http://schemas.openxmlformats.org/officeDocument/2006/customXml" ds:itemID="{D10F7D5A-8453-44D5-BFEC-B5ED0CA8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3952</TotalTime>
  <Pages>4</Pages>
  <Words>1367</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CH 6.97 Borrelia (Lyme)</vt:lpstr>
    </vt:vector>
  </TitlesOfParts>
  <Company>Children's Hospitals and Clinics of MN</Company>
  <LinksUpToDate>false</LinksUpToDate>
  <CharactersWithSpaces>8990</CharactersWithSpaces>
  <SharedDoc>false</SharedDoc>
  <HLinks>
    <vt:vector size="12" baseType="variant">
      <vt:variant>
        <vt:i4>5111885</vt:i4>
      </vt:variant>
      <vt:variant>
        <vt:i4>3</vt:i4>
      </vt:variant>
      <vt:variant>
        <vt:i4>0</vt:i4>
      </vt:variant>
      <vt:variant>
        <vt:i4>5</vt:i4>
      </vt:variant>
      <vt:variant>
        <vt:lpwstr>http://khan.childrensmn.org/Manuals/Lab/SOP/Chem/Procedure/201786.pdf</vt:lpwstr>
      </vt:variant>
      <vt:variant>
        <vt:lpwstr/>
      </vt:variant>
      <vt:variant>
        <vt:i4>5111885</vt:i4>
      </vt:variant>
      <vt:variant>
        <vt:i4>0</vt:i4>
      </vt:variant>
      <vt:variant>
        <vt:i4>0</vt:i4>
      </vt:variant>
      <vt:variant>
        <vt:i4>5</vt:i4>
      </vt:variant>
      <vt:variant>
        <vt:lpwstr>http://khan.childrensmn.org/Manuals/Lab/SOP/Chem/Procedure/201786.pdf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6.97 Borrelia (Lyme)</dc:title>
  <dc:creator>Stephen Gripentrog</dc:creator>
  <dc:description>New Procedure for XL.  ERB 8/1/2019</dc:description>
  <cp:lastModifiedBy>Matthew Johnson</cp:lastModifiedBy>
  <cp:revision>29</cp:revision>
  <cp:lastPrinted>2022-08-12T18:12:00Z</cp:lastPrinted>
  <dcterms:created xsi:type="dcterms:W3CDTF">2021-08-28T04:31:00Z</dcterms:created>
  <dcterms:modified xsi:type="dcterms:W3CDTF">2022-08-12T18:20:00Z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69befa3c-5794-4435-a734-0dab2e2d8910</vt:lpwstr>
  </property>
  <property fmtid="{D5CDD505-2E9C-101B-9397-08002B2CF9AE}" pid="4" name="WorkflowChangePath">
    <vt:lpwstr>85493ae8-44a3-4172-9f61-0b2d9e19d9ef,11;</vt:lpwstr>
  </property>
</Properties>
</file>