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9"/>
        <w:gridCol w:w="1079"/>
        <w:gridCol w:w="359"/>
        <w:gridCol w:w="1620"/>
        <w:gridCol w:w="903"/>
        <w:gridCol w:w="177"/>
        <w:gridCol w:w="1620"/>
        <w:gridCol w:w="1260"/>
        <w:gridCol w:w="903"/>
        <w:gridCol w:w="1440"/>
      </w:tblGrid>
      <w:tr w:rsidR="002F23F8" w14:paraId="61E9661F" w14:textId="77777777" w:rsidTr="00882131">
        <w:trPr>
          <w:cantSplit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E9661D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DDI D-Dimer Testing in Plasma</w:t>
            </w:r>
          </w:p>
          <w:p w14:paraId="61E9661E" w14:textId="77777777" w:rsidR="002F23F8" w:rsidRDefault="002F23F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2F23F8" w14:paraId="61E96625" w14:textId="77777777" w:rsidTr="00882131">
        <w:trPr>
          <w:cantSplit/>
          <w:trHeight w:val="26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620" w14:textId="77777777" w:rsidR="002F23F8" w:rsidRDefault="002F23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61E96621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96622" w14:textId="77777777" w:rsidR="002F23F8" w:rsidRDefault="002F23F8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61E96623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performing Quantitative D-Dimer Testing in plasma.</w:t>
            </w:r>
          </w:p>
          <w:p w14:paraId="61E96624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632" w14:textId="77777777" w:rsidTr="00882131">
        <w:trPr>
          <w:cantSplit/>
          <w:trHeight w:val="44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626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1E96627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Clinical Significance/</w:t>
            </w:r>
          </w:p>
          <w:p w14:paraId="61E96628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14:paraId="61E96629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9662A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1E9662B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Coagulation activation results in the cleavage of Fibrinogen to fibrin monomer. The fibrin monomers spontaneously aggregate to fibrin and are cross-linked by Factor XIII, producing a fibrin clot. In response to the coagulation process the fibrinolytic system is activated resulting in the conversion of plasminogen to plasmin, which cleaves fibrin (and fibrinogen) into the fragments D and E. Due to the cross-linkages between the D-domains in the fibrin clot, the action of plasmin releases fibrin degradation products with cross-linked D-domains. The smallest unit is the D-Dimer. Detection of D-Dimers, which specifies cross-linked fibrin degradation products generated by reactive fibrinolysis is an indicator of coagulation activity.</w:t>
            </w:r>
          </w:p>
          <w:p w14:paraId="61E9662C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Elevated D-Dimer levels are observed in all diseases and conditions with coagulation activation, e.g. thromboembolic disease, disseminated intravascular coagulation (DIC), Acute aortic dissection, myocardial infarction, malignant diseases, 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obstetrical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 xml:space="preserve"> complications, third trimester of pregnancy, surgery or poly</w:t>
            </w:r>
            <w:r w:rsidR="00F95B30"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>trauma.</w:t>
            </w:r>
          </w:p>
          <w:p w14:paraId="61E9662D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relevance of the D-Dimer assay is as an aid in the diagnosis of thromboembolic events. Elevated concentrations of D-Dimer are indicative of the presence of a clot and have been reported in deep vein thrombosis, pulmonary embolism, and disseminated intravascular coagulation (DIC).</w:t>
            </w:r>
          </w:p>
          <w:p w14:paraId="61E9662E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Polystyrene particles covalently coated with monoclonal antibody are aggregated when mixed with samples containing D-Dimer. D-Dimer cross-linkage region has a stereo</w:t>
            </w:r>
            <w:r w:rsidR="00F95B30"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</w:rPr>
              <w:t xml:space="preserve">symmetrical structure, i.e. the epitope for the monoclonal antibody occurs twice. Consequently, one antibody suffices in order to trigger an aggregation reaction, which is then detected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turbidametrically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via an increase in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turbibity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.</w:t>
            </w:r>
          </w:p>
          <w:p w14:paraId="61E9662F" w14:textId="77777777" w:rsidR="002F23F8" w:rsidRDefault="00342B73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2F23F8">
                <w:rPr>
                  <w:rStyle w:val="Hyperlink"/>
                  <w:rFonts w:ascii="Arial" w:hAnsi="Arial" w:cs="Arial"/>
                  <w:iCs/>
                  <w:sz w:val="20"/>
                </w:rPr>
                <w:t>Document U - Diagram of D-Dimer Formation</w:t>
              </w:r>
            </w:hyperlink>
          </w:p>
          <w:p w14:paraId="61E96630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1E96631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F23F8" w14:paraId="61E96637" w14:textId="77777777" w:rsidTr="00882131">
        <w:trPr>
          <w:cantSplit/>
          <w:trHeight w:val="692"/>
        </w:trPr>
        <w:tc>
          <w:tcPr>
            <w:tcW w:w="1799" w:type="dxa"/>
            <w:tcBorders>
              <w:top w:val="nil"/>
              <w:left w:val="nil"/>
              <w:right w:val="nil"/>
            </w:tcBorders>
          </w:tcPr>
          <w:p w14:paraId="61E96633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1E96634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Test Code</w:t>
            </w:r>
          </w:p>
        </w:tc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96635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1E96636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DDI</w:t>
            </w:r>
          </w:p>
        </w:tc>
      </w:tr>
      <w:tr w:rsidR="002F23F8" w14:paraId="61E9663D" w14:textId="77777777" w:rsidTr="00882131">
        <w:trPr>
          <w:cantSplit/>
          <w:trHeight w:val="330"/>
        </w:trPr>
        <w:tc>
          <w:tcPr>
            <w:tcW w:w="1799" w:type="dxa"/>
            <w:vMerge w:val="restart"/>
            <w:tcBorders>
              <w:top w:val="nil"/>
              <w:left w:val="nil"/>
              <w:right w:val="nil"/>
            </w:tcBorders>
          </w:tcPr>
          <w:p w14:paraId="61E96638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1E96639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9663A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61E9663B" w14:textId="77777777" w:rsidR="002F23F8" w:rsidRDefault="002F23F8" w:rsidP="002F23F8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all clinical laboratory scientists performing coagulation tests, section supervisor and section pathologist.</w:t>
            </w:r>
          </w:p>
          <w:p w14:paraId="61E9663C" w14:textId="77777777" w:rsidR="002F23F8" w:rsidRDefault="002F23F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F23F8" w14:paraId="61E96640" w14:textId="77777777" w:rsidTr="00882131">
        <w:trPr>
          <w:cantSplit/>
          <w:trHeight w:val="197"/>
        </w:trPr>
        <w:tc>
          <w:tcPr>
            <w:tcW w:w="1799" w:type="dxa"/>
            <w:vMerge/>
            <w:tcBorders>
              <w:left w:val="nil"/>
              <w:bottom w:val="nil"/>
              <w:right w:val="nil"/>
            </w:tcBorders>
          </w:tcPr>
          <w:p w14:paraId="61E9663E" w14:textId="77777777" w:rsidR="002F23F8" w:rsidRDefault="002F23F8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9663F" w14:textId="77777777" w:rsidR="002F23F8" w:rsidRDefault="002F23F8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F23F8" w14:paraId="61E96646" w14:textId="77777777" w:rsidTr="008821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9" w:type="dxa"/>
            <w:tcBorders>
              <w:left w:val="nil"/>
              <w:right w:val="single" w:sz="6" w:space="0" w:color="auto"/>
            </w:tcBorders>
          </w:tcPr>
          <w:p w14:paraId="61E96641" w14:textId="77777777" w:rsidR="002F23F8" w:rsidRDefault="002F23F8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6642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  <w:p w14:paraId="61E96643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6644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96645" w14:textId="77777777" w:rsidR="002F23F8" w:rsidRDefault="002F23F8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2F23F8" w14:paraId="61E9668C" w14:textId="77777777" w:rsidTr="008821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9" w:type="dxa"/>
            <w:tcBorders>
              <w:left w:val="nil"/>
              <w:right w:val="single" w:sz="6" w:space="0" w:color="auto"/>
            </w:tcBorders>
          </w:tcPr>
          <w:p w14:paraId="61E96647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5CBEB" w14:textId="77777777" w:rsidR="009D1E87" w:rsidRDefault="009D1E87" w:rsidP="009D1E8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D1E87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proofErr w:type="spellStart"/>
            <w:r w:rsidR="00027AA6"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 w:rsidR="00027AA6">
              <w:rPr>
                <w:rFonts w:ascii="Arial" w:hAnsi="Arial"/>
                <w:sz w:val="20"/>
                <w:szCs w:val="20"/>
              </w:rPr>
              <w:t xml:space="preserve"> CS-25</w:t>
            </w:r>
            <w:r w:rsidR="00413C6A">
              <w:rPr>
                <w:rFonts w:ascii="Arial" w:hAnsi="Arial"/>
                <w:sz w:val="20"/>
                <w:szCs w:val="20"/>
              </w:rPr>
              <w:t xml:space="preserve">00 System: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00F51BF4" w14:textId="77777777" w:rsidR="009D1E87" w:rsidRDefault="009D1E87" w:rsidP="009D1E8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sz w:val="20"/>
                <w:szCs w:val="20"/>
              </w:rPr>
              <w:t xml:space="preserve">analyzer, personal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7D9EDF8F" w14:textId="77777777" w:rsidR="009D1E87" w:rsidRDefault="009D1E87" w:rsidP="009D1E8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sz w:val="20"/>
                <w:szCs w:val="20"/>
              </w:rPr>
              <w:t xml:space="preserve">computer, printer and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1A38B1D" w14:textId="77777777" w:rsidR="009D1E87" w:rsidRDefault="009D1E87" w:rsidP="009D1E8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sz w:val="20"/>
                <w:szCs w:val="20"/>
              </w:rPr>
              <w:t xml:space="preserve">associated non-disposable </w:t>
            </w:r>
          </w:p>
          <w:p w14:paraId="61E9664A" w14:textId="202C8C1D" w:rsidR="00413C6A" w:rsidRDefault="009D1E87" w:rsidP="009D1E8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parts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80805C1" w14:textId="77777777" w:rsidR="009D1E87" w:rsidRDefault="009D1E87" w:rsidP="009D1E8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64B" w14:textId="77777777" w:rsidR="00413C6A" w:rsidRDefault="00413C6A" w:rsidP="00413C6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Reaction Tubes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CS </w:t>
            </w:r>
          </w:p>
          <w:p w14:paraId="61E9664C" w14:textId="77777777" w:rsidR="00413C6A" w:rsidRDefault="00413C6A" w:rsidP="00413C6A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PN 10488059</w:t>
            </w:r>
          </w:p>
          <w:p w14:paraId="61E9664D" w14:textId="77777777" w:rsidR="00413C6A" w:rsidRDefault="00413C6A" w:rsidP="00413C6A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64E" w14:textId="77777777" w:rsidR="00413C6A" w:rsidRDefault="00413C6A" w:rsidP="00413C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Plastic transfer </w:t>
            </w:r>
          </w:p>
          <w:p w14:paraId="61E9664F" w14:textId="77777777" w:rsidR="00413C6A" w:rsidRDefault="00413C6A" w:rsidP="00413C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pipettes</w:t>
            </w:r>
          </w:p>
          <w:p w14:paraId="61E96650" w14:textId="77777777" w:rsidR="00413C6A" w:rsidRDefault="00413C6A" w:rsidP="00413C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51" w14:textId="77777777" w:rsidR="00413C6A" w:rsidRDefault="00413C6A" w:rsidP="00413C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4ml sample cups</w:t>
            </w:r>
          </w:p>
          <w:p w14:paraId="61E96653" w14:textId="16D1B96C" w:rsidR="00413C6A" w:rsidRDefault="00413C6A" w:rsidP="00413C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PN 10446526</w:t>
            </w:r>
          </w:p>
          <w:p w14:paraId="06C324D4" w14:textId="77777777" w:rsidR="009D1E87" w:rsidRDefault="009D1E87" w:rsidP="00413C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54" w14:textId="77777777" w:rsidR="00413C6A" w:rsidRDefault="00413C6A" w:rsidP="00413C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7C33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SLD Mini Cups</w:t>
            </w:r>
          </w:p>
          <w:p w14:paraId="61E96655" w14:textId="77777777" w:rsidR="00413C6A" w:rsidRPr="000B7C33" w:rsidRDefault="00413C6A" w:rsidP="00413C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PN 10709524</w:t>
            </w:r>
          </w:p>
          <w:p w14:paraId="61E96656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57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96658" w14:textId="77777777" w:rsidR="002F23F8" w:rsidRDefault="00A668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683A">
              <w:rPr>
                <w:rFonts w:ascii="Arial" w:hAnsi="Arial" w:cs="Arial"/>
                <w:sz w:val="28"/>
                <w:szCs w:val="28"/>
              </w:rPr>
              <w:lastRenderedPageBreak/>
              <w:t>•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D-Dimer Kit, PN 10445981</w:t>
            </w:r>
          </w:p>
          <w:p w14:paraId="61E96659" w14:textId="77777777" w:rsidR="00A6683A" w:rsidRDefault="00A668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Containing;</w:t>
            </w:r>
          </w:p>
          <w:p w14:paraId="61E9665A" w14:textId="77777777" w:rsidR="00A6683A" w:rsidRPr="00A6683A" w:rsidRDefault="00A668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5B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●      </w:t>
            </w:r>
            <w:proofErr w:type="spellStart"/>
            <w:r>
              <w:rPr>
                <w:rFonts w:ascii="Arial" w:hAnsi="Arial" w:cs="Arial"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D-Dimer Reagent:</w:t>
            </w:r>
          </w:p>
          <w:p w14:paraId="61E9665C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Dissolve with 4.0 ml water. Invert 3</w:t>
            </w:r>
          </w:p>
          <w:p w14:paraId="61E9665D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Times. Let sit for 15 minutes at room</w:t>
            </w:r>
          </w:p>
          <w:p w14:paraId="61E9665E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temperature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14:paraId="61E9665F" w14:textId="77777777" w:rsidR="00B76ECD" w:rsidRDefault="00B76ECD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660" w14:textId="77777777" w:rsidR="00413C6A" w:rsidRPr="00B76ECD" w:rsidRDefault="002F23F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B76ECD">
              <w:rPr>
                <w:rFonts w:ascii="Arial" w:hAnsi="Arial" w:cs="Arial"/>
                <w:bCs/>
                <w:sz w:val="20"/>
              </w:rPr>
              <w:t xml:space="preserve">Stability: </w:t>
            </w:r>
          </w:p>
          <w:p w14:paraId="61E96661" w14:textId="77777777" w:rsidR="00413C6A" w:rsidRPr="00B76ECD" w:rsidRDefault="00413C6A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On board analyzer 48</w:t>
            </w:r>
            <w:r w:rsidR="00B76ECD" w:rsidRPr="00B76ECD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B76ECD">
              <w:rPr>
                <w:rFonts w:ascii="Arial" w:hAnsi="Arial" w:cs="Arial"/>
                <w:bCs/>
                <w:sz w:val="20"/>
              </w:rPr>
              <w:t>hrs</w:t>
            </w:r>
            <w:proofErr w:type="spellEnd"/>
            <w:r w:rsidRPr="00B76ECD">
              <w:rPr>
                <w:rFonts w:ascii="Arial" w:hAnsi="Arial" w:cs="Arial"/>
                <w:bCs/>
                <w:sz w:val="20"/>
              </w:rPr>
              <w:t xml:space="preserve">              </w:t>
            </w:r>
          </w:p>
          <w:p w14:paraId="61E96662" w14:textId="77777777" w:rsidR="002F23F8" w:rsidRPr="00B76ECD" w:rsidRDefault="00B76ECD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</w:t>
            </w:r>
            <w:r w:rsidR="002F23F8" w:rsidRPr="00B76ECD">
              <w:rPr>
                <w:rFonts w:ascii="Arial" w:hAnsi="Arial" w:cs="Arial"/>
                <w:bCs/>
                <w:sz w:val="20"/>
              </w:rPr>
              <w:t>2-8°C          4 weeks</w:t>
            </w:r>
          </w:p>
          <w:p w14:paraId="61E96663" w14:textId="77777777" w:rsidR="002F23F8" w:rsidRPr="00B76ECD" w:rsidRDefault="00B76ECD">
            <w:pPr>
              <w:pStyle w:val="TableText"/>
              <w:autoSpaceDE/>
              <w:autoSpaceDN/>
              <w:rPr>
                <w:rFonts w:ascii="Arial" w:hAnsi="Arial" w:cs="Arial"/>
                <w:bCs/>
              </w:rPr>
            </w:pPr>
            <w:r w:rsidRPr="00B76ECD">
              <w:rPr>
                <w:rFonts w:ascii="Arial" w:hAnsi="Arial" w:cs="Arial"/>
                <w:bCs/>
              </w:rPr>
              <w:t xml:space="preserve">       </w:t>
            </w:r>
            <w:r w:rsidR="002F23F8" w:rsidRPr="00B76ECD">
              <w:rPr>
                <w:rFonts w:ascii="Arial" w:hAnsi="Arial" w:cs="Arial"/>
                <w:bCs/>
              </w:rPr>
              <w:t xml:space="preserve">&lt;/= -18°C    4 weeks      </w:t>
            </w:r>
          </w:p>
          <w:p w14:paraId="61E96664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665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●      </w:t>
            </w:r>
            <w:proofErr w:type="spellStart"/>
            <w:r>
              <w:rPr>
                <w:rFonts w:ascii="Arial" w:hAnsi="Arial" w:cs="Arial"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D-Dimer  Buffer/</w:t>
            </w:r>
          </w:p>
          <w:p w14:paraId="61E96666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Supplement/Diluent:</w:t>
            </w:r>
          </w:p>
          <w:p w14:paraId="61E96667" w14:textId="77777777" w:rsidR="00B76ECD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Ready to use. </w:t>
            </w:r>
          </w:p>
          <w:p w14:paraId="61E96668" w14:textId="77777777" w:rsidR="00B76ECD" w:rsidRDefault="00B76ECD">
            <w:pPr>
              <w:jc w:val="left"/>
              <w:rPr>
                <w:rFonts w:ascii="Arial" w:hAnsi="Arial" w:cs="Arial"/>
                <w:sz w:val="20"/>
              </w:rPr>
            </w:pPr>
          </w:p>
          <w:p w14:paraId="461C040C" w14:textId="77777777" w:rsidR="008D4B7D" w:rsidRDefault="008D4B7D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669" w14:textId="77777777" w:rsidR="00B76ECD" w:rsidRPr="00B76ECD" w:rsidRDefault="002F23F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      </w:t>
            </w:r>
            <w:r w:rsidRPr="00B76ECD">
              <w:rPr>
                <w:rFonts w:ascii="Arial" w:hAnsi="Arial" w:cs="Arial"/>
                <w:bCs/>
                <w:sz w:val="20"/>
              </w:rPr>
              <w:t xml:space="preserve">Stability: </w:t>
            </w:r>
          </w:p>
          <w:p w14:paraId="61E9666A" w14:textId="77777777" w:rsidR="00B76ECD" w:rsidRPr="00B76ECD" w:rsidRDefault="00B76ECD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On board analyzer 48 </w:t>
            </w:r>
            <w:proofErr w:type="spellStart"/>
            <w:r w:rsidRPr="00B76ECD">
              <w:rPr>
                <w:rFonts w:ascii="Arial" w:hAnsi="Arial" w:cs="Arial"/>
                <w:bCs/>
                <w:sz w:val="20"/>
              </w:rPr>
              <w:t>hrs</w:t>
            </w:r>
            <w:proofErr w:type="spellEnd"/>
          </w:p>
          <w:p w14:paraId="61E9666B" w14:textId="77777777" w:rsidR="002F23F8" w:rsidRPr="00B76ECD" w:rsidRDefault="00B76ECD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</w:t>
            </w:r>
            <w:r w:rsidR="002F23F8" w:rsidRPr="00B76ECD">
              <w:rPr>
                <w:rFonts w:ascii="Arial" w:hAnsi="Arial" w:cs="Arial"/>
                <w:bCs/>
                <w:sz w:val="20"/>
              </w:rPr>
              <w:t>2-8°C          4 weeks</w:t>
            </w:r>
          </w:p>
          <w:p w14:paraId="61E9666C" w14:textId="77777777" w:rsidR="002F23F8" w:rsidRPr="00EC6B76" w:rsidRDefault="00B76ECD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</w:t>
            </w:r>
            <w:r w:rsidR="002F23F8" w:rsidRPr="00B76ECD">
              <w:rPr>
                <w:rFonts w:ascii="Arial" w:hAnsi="Arial" w:cs="Arial"/>
                <w:bCs/>
                <w:sz w:val="20"/>
              </w:rPr>
              <w:t>&lt;/= -18°C    4 weeks</w:t>
            </w:r>
          </w:p>
          <w:p w14:paraId="61E9666D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66E" w14:textId="77777777" w:rsidR="00A6683A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●      </w:t>
            </w:r>
            <w:r w:rsidR="00A6683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D-Dimer Controls</w:t>
            </w:r>
            <w:r w:rsidR="00A6683A">
              <w:rPr>
                <w:rFonts w:ascii="Arial" w:hAnsi="Arial" w:cs="Arial"/>
                <w:sz w:val="20"/>
              </w:rPr>
              <w:t xml:space="preserve"> </w:t>
            </w:r>
          </w:p>
          <w:p w14:paraId="61E9666F" w14:textId="77777777" w:rsidR="00A6683A" w:rsidRDefault="00A6683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PN 10446006 / </w:t>
            </w:r>
            <w:r w:rsidR="002F23F8">
              <w:rPr>
                <w:rFonts w:ascii="Arial" w:hAnsi="Arial" w:cs="Arial"/>
                <w:sz w:val="20"/>
              </w:rPr>
              <w:t>Calibrator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1E96670" w14:textId="77777777" w:rsidR="002F23F8" w:rsidRDefault="00A6683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(included in kit)</w:t>
            </w:r>
          </w:p>
          <w:p w14:paraId="61E96671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Dissolve with 1.0ml water. Mix </w:t>
            </w:r>
          </w:p>
          <w:p w14:paraId="61E96672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carefully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without foam formation.</w:t>
            </w:r>
          </w:p>
          <w:p w14:paraId="61E96673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Let sit for 15 minutes at room </w:t>
            </w:r>
          </w:p>
          <w:p w14:paraId="61E96674" w14:textId="77777777" w:rsidR="002F23F8" w:rsidRDefault="002F23F8" w:rsidP="00B76EC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</w:rPr>
              <w:t>temperature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14:paraId="61E96675" w14:textId="77777777" w:rsidR="00B76ECD" w:rsidRDefault="00B76ECD" w:rsidP="00B76ECD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676" w14:textId="77777777" w:rsidR="002F23F8" w:rsidRPr="00B76ECD" w:rsidRDefault="002F23F8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B76ECD">
              <w:rPr>
                <w:rFonts w:ascii="Arial" w:hAnsi="Arial" w:cs="Arial"/>
                <w:bCs/>
                <w:sz w:val="20"/>
              </w:rPr>
              <w:t xml:space="preserve">Stability: </w:t>
            </w:r>
          </w:p>
          <w:p w14:paraId="61E96677" w14:textId="77777777" w:rsidR="002F23F8" w:rsidRPr="00B76ECD" w:rsidRDefault="002F23F8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Calibrator:   4 hours room </w:t>
            </w:r>
            <w:r w:rsidR="00B76ECD" w:rsidRPr="00B76ECD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1E96678" w14:textId="77777777" w:rsidR="00B76ECD" w:rsidRPr="00B76ECD" w:rsidRDefault="00B76ECD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</w:t>
            </w:r>
            <w:r w:rsidR="00576E24" w:rsidRPr="00B76ECD">
              <w:rPr>
                <w:rFonts w:ascii="Arial" w:hAnsi="Arial" w:cs="Arial"/>
                <w:bCs/>
                <w:sz w:val="20"/>
              </w:rPr>
              <w:t>T</w:t>
            </w:r>
            <w:r w:rsidRPr="00B76ECD">
              <w:rPr>
                <w:rFonts w:ascii="Arial" w:hAnsi="Arial" w:cs="Arial"/>
                <w:bCs/>
                <w:sz w:val="20"/>
              </w:rPr>
              <w:t>emperature</w:t>
            </w:r>
            <w:r w:rsidR="00576E24">
              <w:rPr>
                <w:rFonts w:ascii="Arial" w:hAnsi="Arial" w:cs="Arial"/>
                <w:bCs/>
                <w:sz w:val="20"/>
              </w:rPr>
              <w:t>.</w:t>
            </w:r>
          </w:p>
          <w:p w14:paraId="61E96679" w14:textId="77777777" w:rsidR="00576E24" w:rsidRPr="00B76ECD" w:rsidRDefault="002F23F8" w:rsidP="00576E24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</w:t>
            </w:r>
            <w:r w:rsidR="00576E24">
              <w:rPr>
                <w:rFonts w:ascii="Arial" w:hAnsi="Arial" w:cs="Arial"/>
                <w:bCs/>
                <w:sz w:val="20"/>
              </w:rPr>
              <w:t xml:space="preserve">     Controls: </w:t>
            </w:r>
            <w:r w:rsidR="00576E24" w:rsidRPr="00B76ECD">
              <w:rPr>
                <w:rFonts w:ascii="Arial" w:hAnsi="Arial" w:cs="Arial"/>
                <w:bCs/>
                <w:sz w:val="20"/>
              </w:rPr>
              <w:t xml:space="preserve">On </w:t>
            </w:r>
            <w:r w:rsidR="00576E24">
              <w:rPr>
                <w:rFonts w:ascii="Arial" w:hAnsi="Arial" w:cs="Arial"/>
                <w:bCs/>
                <w:sz w:val="20"/>
              </w:rPr>
              <w:t>board analyzer 24</w:t>
            </w:r>
            <w:r w:rsidR="00576E24" w:rsidRPr="00B76ECD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576E24" w:rsidRPr="00B76ECD">
              <w:rPr>
                <w:rFonts w:ascii="Arial" w:hAnsi="Arial" w:cs="Arial"/>
                <w:bCs/>
                <w:sz w:val="20"/>
              </w:rPr>
              <w:t>hrs</w:t>
            </w:r>
            <w:proofErr w:type="spellEnd"/>
          </w:p>
          <w:p w14:paraId="61E9667A" w14:textId="77777777" w:rsidR="00576E24" w:rsidRPr="00B76ECD" w:rsidRDefault="00576E24" w:rsidP="00576E24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2-8°C          4 weeks</w:t>
            </w:r>
          </w:p>
          <w:p w14:paraId="61E9667B" w14:textId="77777777" w:rsidR="00576E24" w:rsidRPr="00EC6B76" w:rsidRDefault="00576E24" w:rsidP="00576E24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     &lt;/= -18°C    4 weeks</w:t>
            </w:r>
          </w:p>
          <w:p w14:paraId="61E9667C" w14:textId="77777777" w:rsidR="002F23F8" w:rsidRPr="00B76ECD" w:rsidRDefault="00B76ECD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B76ECD">
              <w:rPr>
                <w:rFonts w:ascii="Arial" w:hAnsi="Arial" w:cs="Arial"/>
                <w:bCs/>
                <w:sz w:val="20"/>
              </w:rPr>
              <w:t xml:space="preserve">  </w:t>
            </w:r>
          </w:p>
          <w:p w14:paraId="61E9667D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</w:p>
          <w:p w14:paraId="61E9667E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Reagents that have been aliquoted and frozen must be thawed at 37°C within a maximum of 10 minutes, and must be used within 4 hours of thawing.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1E9667F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Reagents that are frozen should be in their original containers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 not refreeze after thawing.</w:t>
            </w:r>
          </w:p>
        </w:tc>
        <w:tc>
          <w:tcPr>
            <w:tcW w:w="2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E96680" w14:textId="77777777" w:rsidR="0030174A" w:rsidRDefault="0030174A" w:rsidP="0030174A">
            <w:pPr>
              <w:ind w:left="7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96681" w14:textId="77777777" w:rsidR="00EC6B76" w:rsidRDefault="002F23F8" w:rsidP="00EC6B76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B76" w:rsidRPr="00881502">
              <w:rPr>
                <w:rFonts w:ascii="Arial" w:hAnsi="Arial" w:cs="Arial"/>
                <w:sz w:val="20"/>
                <w:szCs w:val="20"/>
              </w:rPr>
              <w:t>Type I deionized water,</w:t>
            </w:r>
            <w:r w:rsidR="00EC6B76">
              <w:rPr>
                <w:rFonts w:ascii="Arial" w:hAnsi="Arial" w:cs="Arial"/>
                <w:sz w:val="20"/>
                <w:szCs w:val="20"/>
              </w:rPr>
              <w:t xml:space="preserve"> available in canisters used to collect Type I water from the Millipore system.</w:t>
            </w:r>
          </w:p>
          <w:p w14:paraId="61E96682" w14:textId="77777777" w:rsidR="00EC6B76" w:rsidRDefault="00EC6B76" w:rsidP="00EC6B76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7 days.</w:t>
            </w:r>
          </w:p>
          <w:p w14:paraId="61E96683" w14:textId="77777777" w:rsidR="00EC6B76" w:rsidRDefault="00EC6B76" w:rsidP="00EC6B76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84" w14:textId="77777777" w:rsidR="00EC6B76" w:rsidRDefault="00EC6B76" w:rsidP="00EC6B76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t>CA Clean 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PN 10445689,</w:t>
            </w:r>
          </w:p>
          <w:p w14:paraId="61E96685" w14:textId="77777777" w:rsidR="00EC6B76" w:rsidRDefault="00EC6B76" w:rsidP="00EC6B76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(50ml)</w:t>
            </w:r>
          </w:p>
          <w:p w14:paraId="61E96686" w14:textId="77777777" w:rsidR="00EC6B76" w:rsidRPr="00F304D3" w:rsidRDefault="00EC6B76" w:rsidP="00EC6B76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Stabilty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5 days on board analyzer, 1 month 2-8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61E96687" w14:textId="77777777" w:rsidR="00EC6B76" w:rsidRDefault="00EC6B76" w:rsidP="00EC6B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88" w14:textId="77777777" w:rsidR="00EC6B76" w:rsidRDefault="00EC6B76" w:rsidP="00EC6B76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81502">
              <w:rPr>
                <w:rFonts w:ascii="Arial" w:hAnsi="Arial" w:cs="Arial"/>
                <w:sz w:val="20"/>
                <w:szCs w:val="20"/>
              </w:rPr>
              <w:t>CA Clean II</w:t>
            </w:r>
            <w:r>
              <w:rPr>
                <w:rFonts w:ascii="Arial" w:hAnsi="Arial" w:cs="Arial"/>
                <w:sz w:val="20"/>
                <w:szCs w:val="20"/>
              </w:rPr>
              <w:t xml:space="preserve"> PN 10708787, (45ml) or CA Clean II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PN10445688 (500ml)</w:t>
            </w:r>
          </w:p>
          <w:p w14:paraId="61E96689" w14:textId="77777777" w:rsidR="00EC6B76" w:rsidRPr="00881502" w:rsidRDefault="00EC6B76" w:rsidP="00EC6B76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5 days on board analyzer, 2 months 5-35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61E9668A" w14:textId="77777777" w:rsidR="00EC6B76" w:rsidRDefault="00EC6B76" w:rsidP="00EC6B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Ready to use.</w:t>
            </w:r>
          </w:p>
          <w:p w14:paraId="61E9668B" w14:textId="77777777" w:rsidR="002F23F8" w:rsidRDefault="002F23F8" w:rsidP="0030174A">
            <w:pPr>
              <w:ind w:left="7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3F8" w14:paraId="61E966C3" w14:textId="77777777" w:rsidTr="008821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</w:tcBorders>
          </w:tcPr>
          <w:p w14:paraId="61E9668D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61E9668E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14:paraId="61E9668F" w14:textId="77777777" w:rsidR="002F23F8" w:rsidRDefault="002F23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61E96690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91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92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blood from a clean venipuncture; avoid foaming.</w:t>
            </w:r>
          </w:p>
          <w:p w14:paraId="61E96693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94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nine parts of freshly collected blood with one part 3.2% (0.105 M) sodium citrate:</w:t>
            </w:r>
          </w:p>
          <w:p w14:paraId="61E96695" w14:textId="77777777" w:rsidR="002F23F8" w:rsidRDefault="002F23F8" w:rsidP="002F23F8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1.8 mL whole blood to 0.2 mL 3.2% sodium citrate (blue-top vacutainer tube)</w:t>
            </w:r>
          </w:p>
          <w:p w14:paraId="61E96696" w14:textId="77777777" w:rsidR="002F23F8" w:rsidRDefault="002F23F8">
            <w:pPr>
              <w:ind w:left="4320"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61E96697" w14:textId="77777777" w:rsidR="002F23F8" w:rsidRDefault="002F23F8" w:rsidP="002F23F8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2.7 mL whole blood to 0.3 mL 3.2% sodium citrate (blue-top vacutainer tube)</w:t>
            </w:r>
          </w:p>
          <w:p w14:paraId="61E96698" w14:textId="77777777" w:rsidR="002F23F8" w:rsidRDefault="002F23F8">
            <w:pPr>
              <w:ind w:left="50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61E96699" w14:textId="77777777" w:rsidR="002F23F8" w:rsidRDefault="002F23F8" w:rsidP="002F23F8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tubes must be prepared for patients whose hematocrit is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55%. See procedure entitled </w:t>
            </w:r>
            <w:r>
              <w:rPr>
                <w:rFonts w:ascii="Arial" w:hAnsi="Arial" w:cs="Arial"/>
                <w:i/>
                <w:sz w:val="20"/>
                <w:szCs w:val="20"/>
              </w:rPr>
              <w:t>Citrate Concentration Adjustments.</w:t>
            </w:r>
          </w:p>
          <w:p w14:paraId="61E9669A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9B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to mix well; transport to lab at room temperature.</w:t>
            </w:r>
          </w:p>
          <w:p w14:paraId="61E9669C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9D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sample for clots with applicator sticks.</w:t>
            </w:r>
          </w:p>
          <w:p w14:paraId="61E9669E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9F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 in Stat Spin for five minutes – or - 10 minutes at 3,000 rpm at room temperature.</w:t>
            </w:r>
          </w:p>
          <w:p w14:paraId="61E966A0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A1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plasma, place in 4 mL plastic cup, centrifuge again.</w:t>
            </w:r>
          </w:p>
          <w:p w14:paraId="61E966A2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A5" w14:textId="4C595E4D" w:rsidR="000E46A3" w:rsidRPr="00AF0DD8" w:rsidRDefault="002F23F8" w:rsidP="00AF0DD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Sample for testing: Remove plasma and place in a 4 mL plastic cup; allow for 100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l of dead space.</w:t>
            </w:r>
          </w:p>
          <w:p w14:paraId="61E966A6" w14:textId="77777777" w:rsidR="000E46A3" w:rsidRDefault="000E46A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A7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Stability:</w:t>
            </w:r>
          </w:p>
          <w:p w14:paraId="61E966A8" w14:textId="77777777" w:rsidR="000E46A3" w:rsidRDefault="000E46A3" w:rsidP="000E46A3">
            <w:p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A9" w14:textId="77777777" w:rsidR="002F23F8" w:rsidRPr="000E46A3" w:rsidRDefault="000E46A3" w:rsidP="000E46A3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3F8" w:rsidRPr="000E46A3">
              <w:rPr>
                <w:rFonts w:ascii="Arial" w:hAnsi="Arial" w:cs="Arial"/>
                <w:sz w:val="20"/>
                <w:szCs w:val="20"/>
              </w:rPr>
              <w:t>Four (4) hours when stored as plasma remaining in the capped tube above the packed cells 18 to 24</w:t>
            </w:r>
            <w:r w:rsidR="002F23F8">
              <w:sym w:font="Symbol" w:char="F0B0"/>
            </w:r>
            <w:r w:rsidR="002F23F8" w:rsidRPr="000E46A3"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61E966AA" w14:textId="77777777" w:rsidR="002F23F8" w:rsidRDefault="002F23F8" w:rsidP="002F23F8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hours as plasma that has been separated from cells by centrifugation when stored 2 to 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or 18 to 24°C.</w:t>
            </w:r>
          </w:p>
          <w:p w14:paraId="61E966AB" w14:textId="77777777" w:rsidR="002F23F8" w:rsidRDefault="002F23F8" w:rsidP="002F23F8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(2) weeks when stored -20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61E966AC" w14:textId="77777777" w:rsidR="002F23F8" w:rsidRDefault="002F23F8" w:rsidP="002F23F8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Six (6) months when stored -70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(rapidly frozen).</w:t>
            </w:r>
          </w:p>
          <w:p w14:paraId="61E966AD" w14:textId="77777777" w:rsidR="002F23F8" w:rsidRDefault="002F23F8" w:rsidP="002F23F8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must be frozen if testing cannot be completed within four (4) hours.</w:t>
            </w:r>
          </w:p>
          <w:p w14:paraId="61E966AE" w14:textId="77777777" w:rsidR="002F23F8" w:rsidRDefault="002F23F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AF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Thaw frozen plasmas at 37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for three (3) minutes, test immediately.</w:t>
            </w:r>
          </w:p>
          <w:p w14:paraId="61E966B0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B1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there is a delay in sample transport:</w:t>
            </w:r>
          </w:p>
          <w:p w14:paraId="61E966B2" w14:textId="77777777" w:rsidR="002F23F8" w:rsidRDefault="002F23F8" w:rsidP="002F23F8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supervisor or pathologist</w:t>
            </w:r>
          </w:p>
          <w:p w14:paraId="61E966B3" w14:textId="77777777" w:rsidR="002F23F8" w:rsidRDefault="002F23F8" w:rsidP="002F23F8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approval is given to run test, append one of the following to the result:</w:t>
            </w:r>
          </w:p>
          <w:p w14:paraId="61E966B4" w14:textId="77777777" w:rsidR="002F23F8" w:rsidRDefault="002F23F8" w:rsidP="002F23F8">
            <w:pPr>
              <w:numPr>
                <w:ilvl w:val="0"/>
                <w:numId w:val="5"/>
              </w:numPr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“-DELA” (transport delayed)</w:t>
            </w:r>
          </w:p>
          <w:p w14:paraId="61E966B5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B6" w14:textId="77777777" w:rsidR="002F23F8" w:rsidRDefault="002F23F8" w:rsidP="002F23F8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 specimen if:</w:t>
            </w:r>
          </w:p>
          <w:p w14:paraId="61E966B7" w14:textId="77777777" w:rsidR="002F23F8" w:rsidRDefault="002F23F8" w:rsidP="002F23F8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</w:t>
            </w:r>
          </w:p>
          <w:p w14:paraId="61E966B8" w14:textId="77777777" w:rsidR="002F23F8" w:rsidRDefault="002F23F8" w:rsidP="002F23F8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insufficiently filled (t</w:t>
            </w:r>
            <w:r w:rsidR="00A24708">
              <w:rPr>
                <w:rFonts w:ascii="Arial" w:hAnsi="Arial" w:cs="Arial"/>
                <w:sz w:val="20"/>
                <w:szCs w:val="20"/>
              </w:rPr>
              <w:t xml:space="preserve">ubes may vary by no more than </w:t>
            </w:r>
            <w:r>
              <w:rPr>
                <w:rFonts w:ascii="Arial" w:hAnsi="Arial" w:cs="Arial"/>
                <w:sz w:val="20"/>
                <w:szCs w:val="20"/>
              </w:rPr>
              <w:t>10%, see comparison tubes by centrifuge).</w:t>
            </w:r>
          </w:p>
          <w:p w14:paraId="61E966B9" w14:textId="77777777" w:rsidR="002F23F8" w:rsidRDefault="002F23F8" w:rsidP="002F23F8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Incorrect ratio of anticoagulant to blood.</w:t>
            </w:r>
          </w:p>
          <w:p w14:paraId="61E966BA" w14:textId="77777777" w:rsidR="002F23F8" w:rsidRDefault="002F23F8" w:rsidP="002F23F8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Reject grossly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specimens unless a new specimen cannot be drawn without causing the patient trauma or a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sample is unobtainable (post-op heart, ECMO, etc.).</w:t>
            </w:r>
          </w:p>
          <w:p w14:paraId="61E966BB" w14:textId="77777777" w:rsidR="002F23F8" w:rsidRDefault="002F23F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BC" w14:textId="77777777" w:rsidR="002F23F8" w:rsidRDefault="002F23F8">
            <w:pPr>
              <w:pStyle w:val="BodyTextInden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hemolyzed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sample is tested, add one of the following comments to the result depending on the amount of hemolysis:</w:t>
            </w:r>
          </w:p>
          <w:p w14:paraId="61E966BD" w14:textId="77777777" w:rsidR="002F23F8" w:rsidRDefault="002F23F8" w:rsidP="002F23F8">
            <w:pPr>
              <w:numPr>
                <w:ilvl w:val="0"/>
                <w:numId w:val="6"/>
              </w:numPr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“-HP” (hemolysis present may affect results)</w:t>
            </w:r>
          </w:p>
          <w:p w14:paraId="61E966BE" w14:textId="77777777" w:rsidR="002F23F8" w:rsidRDefault="002F23F8" w:rsidP="002F23F8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– </w:t>
            </w:r>
          </w:p>
          <w:p w14:paraId="61E966BF" w14:textId="77777777" w:rsidR="002F23F8" w:rsidRDefault="002F23F8" w:rsidP="002F23F8">
            <w:pPr>
              <w:numPr>
                <w:ilvl w:val="0"/>
                <w:numId w:val="11"/>
              </w:numPr>
              <w:tabs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“GRH” (gross hemolysis may interfere with testing)</w:t>
            </w:r>
          </w:p>
          <w:p w14:paraId="61E966C0" w14:textId="77777777" w:rsidR="002F23F8" w:rsidRDefault="002F23F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C1" w14:textId="77777777" w:rsidR="002F23F8" w:rsidRPr="00316996" w:rsidRDefault="002F23F8" w:rsidP="00316996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unit or physician of unacceptable specimens; enter </w:t>
            </w:r>
            <w:r w:rsidR="00316996">
              <w:rPr>
                <w:rFonts w:ascii="Arial" w:hAnsi="Arial" w:cs="Arial"/>
                <w:sz w:val="20"/>
                <w:szCs w:val="20"/>
              </w:rPr>
              <w:t>appropriate comment in computer.</w:t>
            </w:r>
          </w:p>
          <w:p w14:paraId="61E966C2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3F8" w14:paraId="61E966DF" w14:textId="77777777" w:rsidTr="008821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9" w:type="dxa"/>
            <w:tcBorders>
              <w:top w:val="nil"/>
              <w:left w:val="nil"/>
              <w:bottom w:val="nil"/>
            </w:tcBorders>
          </w:tcPr>
          <w:p w14:paraId="61E966C4" w14:textId="77777777" w:rsidR="002F23F8" w:rsidRDefault="002F23F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1E966C5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14:paraId="61E966C6" w14:textId="77777777" w:rsidR="002F23F8" w:rsidRDefault="002F23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9"/>
            <w:tcBorders>
              <w:bottom w:val="single" w:sz="6" w:space="0" w:color="auto"/>
              <w:right w:val="nil"/>
            </w:tcBorders>
          </w:tcPr>
          <w:p w14:paraId="61E966C7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1E966C8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D-Dimer Control 1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D-Dimer Control 2 are assayed normal and pathological level, intra laboratory quality controls for assessment of precision and analytical bias in the quantitative determination of D-Dimer on Siemens Systems.</w:t>
            </w:r>
          </w:p>
          <w:p w14:paraId="61E966C9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CA" w14:textId="77777777" w:rsidR="002F23F8" w:rsidRDefault="002F23F8" w:rsidP="002F23F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D-Dimer Control 1 (DDIL) and D-Dimer Control 2 (DDIH) are run:</w:t>
            </w:r>
          </w:p>
          <w:p w14:paraId="61E966CB" w14:textId="77777777" w:rsidR="002F23F8" w:rsidRDefault="002F23F8" w:rsidP="002F23F8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a patient sample is run up to once per eight hour shift.</w:t>
            </w:r>
          </w:p>
          <w:p w14:paraId="61E966CC" w14:textId="77777777" w:rsidR="002F23F8" w:rsidRDefault="002F23F8" w:rsidP="002F23F8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a reagent is changed.</w:t>
            </w:r>
          </w:p>
          <w:p w14:paraId="61E966CD" w14:textId="77777777" w:rsidR="002F23F8" w:rsidRDefault="002F23F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CE" w14:textId="77777777" w:rsidR="002F23F8" w:rsidRDefault="002F23F8" w:rsidP="002F23F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results cannot be reported unless control values are within expected tolerance limits.</w:t>
            </w:r>
          </w:p>
          <w:p w14:paraId="61E966CF" w14:textId="77777777" w:rsidR="002F23F8" w:rsidRDefault="002F23F8" w:rsidP="002F23F8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values do not fall within the expected range, test new controls then new reagents.</w:t>
            </w:r>
          </w:p>
          <w:p w14:paraId="61E966D0" w14:textId="77777777" w:rsidR="002F23F8" w:rsidRDefault="002F23F8" w:rsidP="002F23F8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QC is still out of range, notify the supervisor.</w:t>
            </w:r>
          </w:p>
          <w:p w14:paraId="61E966D1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D2" w14:textId="77777777" w:rsidR="002F23F8" w:rsidRDefault="002F23F8" w:rsidP="002F23F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values are recorded each day they are performed.</w:t>
            </w:r>
          </w:p>
          <w:p w14:paraId="61E966D3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D4" w14:textId="77777777" w:rsidR="002F23F8" w:rsidRDefault="002F23F8" w:rsidP="002F23F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control values must be entered into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(method </w:t>
            </w:r>
            <w:r w:rsidR="00B76B07">
              <w:rPr>
                <w:rFonts w:ascii="Arial" w:hAnsi="Arial" w:cs="Arial"/>
                <w:sz w:val="20"/>
                <w:szCs w:val="20"/>
              </w:rPr>
              <w:t xml:space="preserve">code CS5M1 or CS5M2) </w:t>
            </w:r>
            <w:r>
              <w:rPr>
                <w:rFonts w:ascii="Arial" w:hAnsi="Arial" w:cs="Arial"/>
                <w:sz w:val="20"/>
                <w:szCs w:val="20"/>
              </w:rPr>
              <w:t xml:space="preserve">whether in or out of control range. </w:t>
            </w:r>
          </w:p>
          <w:p w14:paraId="61E966D5" w14:textId="77777777" w:rsidR="002F23F8" w:rsidRDefault="002F23F8" w:rsidP="002F23F8">
            <w:pPr>
              <w:numPr>
                <w:ilvl w:val="0"/>
                <w:numId w:val="14"/>
              </w:numPr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 of control values must have an appropriate modifier appended.</w:t>
            </w:r>
          </w:p>
          <w:p w14:paraId="61E966D6" w14:textId="77777777" w:rsidR="002F23F8" w:rsidRDefault="002F23F8">
            <w:pPr>
              <w:ind w:firstLine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D7" w14:textId="77777777" w:rsidR="002F23F8" w:rsidRDefault="002F23F8" w:rsidP="002F23F8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QC data is entered, it is reviewed using Westgard rules.</w:t>
            </w:r>
          </w:p>
          <w:p w14:paraId="61E966D8" w14:textId="77777777" w:rsidR="002F23F8" w:rsidRDefault="002F23F8" w:rsidP="002F23F8">
            <w:pPr>
              <w:numPr>
                <w:ilvl w:val="0"/>
                <w:numId w:val="15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Westgard rule fails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the computer displays the result’s standard deviation from the mean.</w:t>
            </w:r>
          </w:p>
          <w:p w14:paraId="61E966D9" w14:textId="77777777" w:rsidR="002F23F8" w:rsidRDefault="002F23F8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DA" w14:textId="77777777" w:rsidR="002F23F8" w:rsidRDefault="002F23F8" w:rsidP="002F23F8">
            <w:pPr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action is taken to get a control value in range, enter an appropriate comment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</w:t>
            </w:r>
          </w:p>
          <w:p w14:paraId="61E966DB" w14:textId="77777777" w:rsidR="002F23F8" w:rsidRDefault="002F23F8">
            <w:p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Table P - Exclusion Codes</w:t>
              </w:r>
            </w:hyperlink>
          </w:p>
          <w:p w14:paraId="61E966DC" w14:textId="77777777" w:rsidR="00B76B07" w:rsidRDefault="00B76B07">
            <w:p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1E966DD" w14:textId="77777777" w:rsidR="00B76B07" w:rsidRDefault="00B76B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838CF6" w14:textId="77777777" w:rsidR="00AF0DD8" w:rsidRDefault="00AF0DD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0C37CCE" w14:textId="77777777" w:rsidR="00AF0DD8" w:rsidRDefault="00AF0DD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DE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F23F8" w14:paraId="61E96707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6E0" w14:textId="77777777" w:rsidR="002F23F8" w:rsidRDefault="002F23F8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Calibration</w:t>
            </w:r>
          </w:p>
        </w:tc>
        <w:tc>
          <w:tcPr>
            <w:tcW w:w="9361" w:type="dxa"/>
            <w:gridSpan w:val="9"/>
            <w:tcBorders>
              <w:left w:val="nil"/>
              <w:bottom w:val="nil"/>
              <w:right w:val="nil"/>
            </w:tcBorders>
          </w:tcPr>
          <w:p w14:paraId="61E966E1" w14:textId="77777777" w:rsidR="002F23F8" w:rsidRDefault="002F23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Calibration is done using D-Dimer calibrator included in test kit, one vial per calibration. </w:t>
            </w:r>
          </w:p>
          <w:p w14:paraId="61E966E2" w14:textId="77777777" w:rsidR="00316996" w:rsidRDefault="00316996" w:rsidP="00316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E3" w14:textId="77777777" w:rsidR="00316996" w:rsidRDefault="00316996" w:rsidP="00316996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calibration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be done every time a new lot of reagents is opened. Dilute and prepare reagents according to directions.</w:t>
            </w:r>
          </w:p>
          <w:p w14:paraId="61E966E4" w14:textId="77777777" w:rsidR="00316996" w:rsidRDefault="00316996" w:rsidP="00316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E5" w14:textId="77777777" w:rsidR="00316996" w:rsidRPr="000B07B9" w:rsidRDefault="00316996" w:rsidP="003169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>Enter reagent and calibrator lot information in the Reagent Lot Master.</w:t>
            </w:r>
          </w:p>
          <w:p w14:paraId="61E966E6" w14:textId="77777777" w:rsidR="00316996" w:rsidRDefault="00316996" w:rsidP="00316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E7" w14:textId="77777777" w:rsidR="00316996" w:rsidRDefault="00316996" w:rsidP="00316996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reagents. Slowly dispense the entire volume of the calibrator into a SLD Mini cup.</w:t>
            </w:r>
          </w:p>
          <w:p w14:paraId="61E966E8" w14:textId="77777777" w:rsidR="00316996" w:rsidRDefault="00316996" w:rsidP="00316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E9" w14:textId="77777777" w:rsidR="00316996" w:rsidRDefault="00316996" w:rsidP="00316996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vial into a C-Rack and place back into the reagent Table.</w:t>
            </w:r>
          </w:p>
          <w:p w14:paraId="61E966EA" w14:textId="77777777" w:rsidR="00316996" w:rsidRDefault="00316996" w:rsidP="00316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EB" w14:textId="77777777" w:rsidR="00316996" w:rsidRDefault="00316996" w:rsidP="00316996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the cover and press O.K. to read the barcode.</w:t>
            </w:r>
          </w:p>
          <w:p w14:paraId="61E966EC" w14:textId="77777777" w:rsidR="00316996" w:rsidRDefault="00316996" w:rsidP="00316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ED" w14:textId="77777777" w:rsidR="00316996" w:rsidRPr="004D21E0" w:rsidRDefault="00316996" w:rsidP="003169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hAnsi="Arial" w:cs="Arial"/>
                <w:sz w:val="20"/>
                <w:szCs w:val="20"/>
              </w:rPr>
              <w:t xml:space="preserve">On the Reagent </w:t>
            </w:r>
            <w:r>
              <w:rPr>
                <w:rFonts w:ascii="Arial" w:hAnsi="Arial" w:cs="Arial"/>
                <w:sz w:val="20"/>
                <w:szCs w:val="20"/>
              </w:rPr>
              <w:t>screen, high</w:t>
            </w:r>
            <w:r w:rsidRPr="005150C0">
              <w:rPr>
                <w:rFonts w:ascii="Arial" w:hAnsi="Arial" w:cs="Arial"/>
                <w:sz w:val="20"/>
                <w:szCs w:val="20"/>
              </w:rPr>
              <w:t xml:space="preserve">light the vial just loaded and press Change to update the date and time. </w:t>
            </w:r>
          </w:p>
          <w:p w14:paraId="61E966EE" w14:textId="77777777" w:rsidR="00316996" w:rsidRPr="004D21E0" w:rsidRDefault="00316996" w:rsidP="00316996">
            <w:pPr>
              <w:pStyle w:val="ListParagraph"/>
              <w:rPr>
                <w:rFonts w:ascii="Arial" w:eastAsia="CIDFont+F1" w:hAnsi="Arial" w:cs="Arial"/>
                <w:sz w:val="20"/>
                <w:szCs w:val="20"/>
              </w:rPr>
            </w:pPr>
          </w:p>
          <w:p w14:paraId="61E966EF" w14:textId="77777777" w:rsidR="00316996" w:rsidRPr="005150C0" w:rsidRDefault="00316996" w:rsidP="00316996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eastAsia="CIDFont+F1" w:hAnsi="Arial" w:cs="Arial"/>
                <w:sz w:val="20"/>
                <w:szCs w:val="20"/>
              </w:rPr>
              <w:t xml:space="preserve">Refer to the Supply and Reagent Management section of the System Training    </w:t>
            </w:r>
          </w:p>
          <w:p w14:paraId="61E966F0" w14:textId="43205CB8" w:rsidR="00316996" w:rsidRDefault="00316996" w:rsidP="0031699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Workbook</w:t>
            </w:r>
            <w:r w:rsidR="00861449">
              <w:rPr>
                <w:rFonts w:ascii="Arial" w:eastAsia="CIDFont+F1" w:hAnsi="Arial" w:cs="Arial"/>
                <w:sz w:val="20"/>
                <w:szCs w:val="20"/>
              </w:rPr>
              <w:t xml:space="preserve"> pages 15</w:t>
            </w:r>
            <w:r w:rsidR="002B7352">
              <w:rPr>
                <w:rFonts w:ascii="Arial" w:eastAsia="CIDFont+F1" w:hAnsi="Arial" w:cs="Arial"/>
                <w:sz w:val="20"/>
                <w:szCs w:val="20"/>
              </w:rPr>
              <w:t>-23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for more details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on steps 2-6. </w:t>
            </w:r>
          </w:p>
          <w:p w14:paraId="61E966F1" w14:textId="251D105C" w:rsidR="00316996" w:rsidRDefault="00316996" w:rsidP="0031699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IDFont+F1" w:hAnsi="Arial" w:cs="Arial"/>
                <w:sz w:val="20"/>
                <w:szCs w:val="20"/>
              </w:rPr>
              <w:t xml:space="preserve">       </w:t>
            </w:r>
            <w:hyperlink r:id="rId13" w:history="1">
              <w:proofErr w:type="spellStart"/>
              <w:r w:rsidR="002B7352"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="002B7352"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61E966F2" w14:textId="77777777" w:rsidR="00316996" w:rsidRPr="00211750" w:rsidRDefault="00316996" w:rsidP="0031699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</w:p>
          <w:p w14:paraId="61E966F3" w14:textId="77777777" w:rsidR="00316996" w:rsidRDefault="00316996" w:rsidP="00316996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Order the calibration curve. </w:t>
            </w:r>
          </w:p>
          <w:p w14:paraId="61E966F4" w14:textId="77777777" w:rsidR="00316996" w:rsidRDefault="00316996" w:rsidP="00316996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AA9">
              <w:rPr>
                <w:rFonts w:ascii="Arial" w:hAnsi="Arial" w:cs="Arial"/>
                <w:b/>
                <w:sz w:val="20"/>
                <w:szCs w:val="20"/>
              </w:rPr>
              <w:t xml:space="preserve">Press Order / Switch Order / Holder </w:t>
            </w:r>
            <w:proofErr w:type="spellStart"/>
            <w:r w:rsidRPr="009B7AA9">
              <w:rPr>
                <w:rFonts w:ascii="Arial" w:hAnsi="Arial" w:cs="Arial"/>
                <w:b/>
                <w:sz w:val="20"/>
                <w:szCs w:val="20"/>
              </w:rPr>
              <w:t>Calib</w:t>
            </w:r>
            <w:proofErr w:type="spellEnd"/>
            <w:r w:rsidRPr="009B7AA9">
              <w:rPr>
                <w:rFonts w:ascii="Arial" w:hAnsi="Arial" w:cs="Arial"/>
                <w:b/>
                <w:sz w:val="20"/>
                <w:szCs w:val="20"/>
              </w:rPr>
              <w:t xml:space="preserve"> Curve Order / Select the desired assay to be calibrated / Press Change / Press O.K. / Select Calibrator / Press O.K. / Press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AA9">
              <w:rPr>
                <w:rFonts w:ascii="Arial" w:hAnsi="Arial" w:cs="Arial"/>
                <w:b/>
                <w:sz w:val="20"/>
                <w:szCs w:val="20"/>
              </w:rPr>
              <w:t>Start / to view calibration status press job list.</w:t>
            </w:r>
          </w:p>
          <w:p w14:paraId="61E966F5" w14:textId="77777777" w:rsidR="00316996" w:rsidRDefault="00316996" w:rsidP="00316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F6" w14:textId="77777777" w:rsidR="00316996" w:rsidRDefault="00316996" w:rsidP="00316996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calibration is complete view the new calibration curve.</w:t>
            </w:r>
          </w:p>
          <w:p w14:paraId="61E966F7" w14:textId="77777777" w:rsidR="00316996" w:rsidRPr="009B7AA9" w:rsidRDefault="00316996" w:rsidP="00316996">
            <w:pPr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B7AA9">
              <w:rPr>
                <w:rFonts w:ascii="Arial" w:hAnsi="Arial" w:cs="Arial"/>
                <w:b/>
                <w:sz w:val="20"/>
                <w:szCs w:val="20"/>
              </w:rPr>
              <w:t xml:space="preserve">Press </w:t>
            </w:r>
            <w:proofErr w:type="spellStart"/>
            <w:r w:rsidRPr="009B7AA9">
              <w:rPr>
                <w:rFonts w:ascii="Arial" w:hAnsi="Arial" w:cs="Arial"/>
                <w:b/>
                <w:sz w:val="20"/>
                <w:szCs w:val="20"/>
              </w:rPr>
              <w:t>Calib</w:t>
            </w:r>
            <w:proofErr w:type="spellEnd"/>
            <w:r w:rsidRPr="009B7AA9">
              <w:rPr>
                <w:rFonts w:ascii="Arial" w:hAnsi="Arial" w:cs="Arial"/>
                <w:b/>
                <w:sz w:val="20"/>
                <w:szCs w:val="20"/>
              </w:rPr>
              <w:t>. Curve / Press Change / Select correct assay / Select lot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1E966F8" w14:textId="77777777" w:rsidR="00316996" w:rsidRDefault="00316996" w:rsidP="003169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6F9" w14:textId="77777777" w:rsidR="00316996" w:rsidRDefault="00316996" w:rsidP="00316996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 compare new versus current calibration curve.</w:t>
            </w:r>
          </w:p>
          <w:p w14:paraId="61E966FA" w14:textId="77777777" w:rsidR="00316996" w:rsidRDefault="00316996" w:rsidP="0031699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40614">
              <w:rPr>
                <w:rFonts w:ascii="Arial" w:hAnsi="Arial" w:cs="Arial"/>
                <w:b/>
                <w:sz w:val="20"/>
                <w:szCs w:val="20"/>
              </w:rPr>
              <w:t xml:space="preserve">Press </w:t>
            </w:r>
            <w:proofErr w:type="spellStart"/>
            <w:r w:rsidRPr="00F40614">
              <w:rPr>
                <w:rFonts w:ascii="Arial" w:hAnsi="Arial" w:cs="Arial"/>
                <w:b/>
                <w:sz w:val="20"/>
                <w:szCs w:val="20"/>
              </w:rPr>
              <w:t>Calib</w:t>
            </w:r>
            <w:proofErr w:type="spellEnd"/>
            <w:r w:rsidRPr="00F40614">
              <w:rPr>
                <w:rFonts w:ascii="Arial" w:hAnsi="Arial" w:cs="Arial"/>
                <w:b/>
                <w:sz w:val="20"/>
                <w:szCs w:val="20"/>
              </w:rPr>
              <w:t xml:space="preserve">. Curve / Press Detailed Display on the Operation Panel / Press </w:t>
            </w:r>
            <w:proofErr w:type="spellStart"/>
            <w:r w:rsidRPr="00F40614">
              <w:rPr>
                <w:rFonts w:ascii="Arial" w:hAnsi="Arial" w:cs="Arial"/>
                <w:b/>
                <w:sz w:val="20"/>
                <w:szCs w:val="20"/>
              </w:rPr>
              <w:t>selct</w:t>
            </w:r>
            <w:proofErr w:type="spellEnd"/>
            <w:r w:rsidRPr="00F40614">
              <w:rPr>
                <w:rFonts w:ascii="Arial" w:hAnsi="Arial" w:cs="Arial"/>
                <w:b/>
                <w:sz w:val="20"/>
                <w:szCs w:val="20"/>
              </w:rPr>
              <w:t xml:space="preserve"> Compared </w:t>
            </w:r>
            <w:proofErr w:type="spellStart"/>
            <w:r w:rsidRPr="00F40614">
              <w:rPr>
                <w:rFonts w:ascii="Arial" w:hAnsi="Arial" w:cs="Arial"/>
                <w:b/>
                <w:sz w:val="20"/>
                <w:szCs w:val="20"/>
              </w:rPr>
              <w:t>Calib</w:t>
            </w:r>
            <w:proofErr w:type="spellEnd"/>
            <w:r w:rsidRPr="00F40614">
              <w:rPr>
                <w:rFonts w:ascii="Arial" w:hAnsi="Arial" w:cs="Arial"/>
                <w:b/>
                <w:sz w:val="20"/>
                <w:szCs w:val="20"/>
              </w:rPr>
              <w:t>. Curve / Select a curve to compare, press Load / Compare curves / Press Close.</w:t>
            </w:r>
          </w:p>
          <w:p w14:paraId="61E966FB" w14:textId="77777777" w:rsidR="00316996" w:rsidRDefault="00316996" w:rsidP="0031699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966FC" w14:textId="77777777" w:rsidR="00316996" w:rsidRDefault="00316996" w:rsidP="00316996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Validate or Delete the new Calibration Curve.</w:t>
            </w:r>
          </w:p>
          <w:p w14:paraId="61E966FD" w14:textId="77777777" w:rsidR="00316996" w:rsidRPr="004637EB" w:rsidRDefault="00316996" w:rsidP="0031699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37EB">
              <w:rPr>
                <w:rFonts w:ascii="Arial" w:hAnsi="Arial" w:cs="Arial"/>
                <w:b/>
                <w:sz w:val="20"/>
                <w:szCs w:val="20"/>
              </w:rPr>
              <w:t xml:space="preserve">Display the desired calibration curve / Press Validate to validate the curve or Delete to delete the curve / Press O.K. / Press Print </w:t>
            </w:r>
          </w:p>
          <w:p w14:paraId="61E966FE" w14:textId="77777777" w:rsidR="00316996" w:rsidRDefault="00316996" w:rsidP="00316996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Validate the new calibration curve by performing QC.</w:t>
            </w:r>
          </w:p>
          <w:p w14:paraId="61E966FF" w14:textId="77777777" w:rsidR="00316996" w:rsidRDefault="00316996" w:rsidP="00316996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700" w14:textId="77777777" w:rsidR="00316996" w:rsidRDefault="00316996" w:rsidP="00316996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Restoring old Calibration Curves.</w:t>
            </w:r>
          </w:p>
          <w:p w14:paraId="61E96701" w14:textId="77777777" w:rsidR="00316996" w:rsidRDefault="00316996" w:rsidP="0031699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37EB">
              <w:rPr>
                <w:rFonts w:ascii="Arial" w:hAnsi="Arial" w:cs="Arial"/>
                <w:b/>
                <w:sz w:val="20"/>
                <w:szCs w:val="20"/>
              </w:rPr>
              <w:t>Display the calibration curve / Press restore on the Operation Panel, if Restore is not displayed, press More / Select the desired curve to restore / Press O.K. / Press Validate.</w:t>
            </w:r>
          </w:p>
          <w:p w14:paraId="61E96702" w14:textId="77777777" w:rsidR="00316996" w:rsidRDefault="00316996" w:rsidP="0031699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96703" w14:textId="77777777" w:rsidR="00316996" w:rsidRPr="005150C0" w:rsidRDefault="00316996" w:rsidP="00316996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eastAsia="CIDFont+F1" w:hAnsi="Arial" w:cs="Arial"/>
                <w:sz w:val="20"/>
                <w:szCs w:val="20"/>
              </w:rPr>
              <w:t>Refer to th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e Calibration </w:t>
            </w:r>
            <w:r w:rsidRPr="005150C0">
              <w:rPr>
                <w:rFonts w:ascii="Arial" w:eastAsia="CIDFont+F1" w:hAnsi="Arial" w:cs="Arial"/>
                <w:sz w:val="20"/>
                <w:szCs w:val="20"/>
              </w:rPr>
              <w:t xml:space="preserve">section of the System Training    </w:t>
            </w:r>
          </w:p>
          <w:p w14:paraId="61E96704" w14:textId="50AFA365" w:rsidR="00316996" w:rsidRDefault="00316996" w:rsidP="0031699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Workbook</w:t>
            </w:r>
            <w:r w:rsidR="00327E25">
              <w:rPr>
                <w:rFonts w:ascii="Arial" w:eastAsia="CIDFont+F1" w:hAnsi="Arial" w:cs="Arial"/>
                <w:sz w:val="20"/>
                <w:szCs w:val="20"/>
              </w:rPr>
              <w:t xml:space="preserve"> pages 43</w:t>
            </w:r>
            <w:r w:rsidR="007A2D88">
              <w:rPr>
                <w:rFonts w:ascii="Arial" w:eastAsia="CIDFont+F1" w:hAnsi="Arial" w:cs="Arial"/>
                <w:sz w:val="20"/>
                <w:szCs w:val="20"/>
              </w:rPr>
              <w:t>-48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for more details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on steps 7-11. </w:t>
            </w:r>
          </w:p>
          <w:p w14:paraId="61E96705" w14:textId="59505313" w:rsidR="00316996" w:rsidRDefault="007A2D88" w:rsidP="0031699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IDFont+F1" w:hAnsi="Arial" w:cs="Arial"/>
                <w:sz w:val="20"/>
                <w:szCs w:val="20"/>
              </w:rPr>
              <w:t xml:space="preserve">       </w:t>
            </w:r>
            <w:hyperlink r:id="rId14" w:history="1">
              <w:proofErr w:type="spellStart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61E96706" w14:textId="77777777" w:rsidR="002F23F8" w:rsidRDefault="002F23F8" w:rsidP="00316996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70C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08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9"/>
            <w:tcBorders>
              <w:left w:val="nil"/>
              <w:bottom w:val="nil"/>
              <w:right w:val="nil"/>
            </w:tcBorders>
          </w:tcPr>
          <w:p w14:paraId="61E96709" w14:textId="77777777" w:rsidR="006F6267" w:rsidRDefault="006F6267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0A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PERFORMING DDI TESTING.</w:t>
            </w:r>
          </w:p>
          <w:p w14:paraId="61E9670B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711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0D" w14:textId="77777777" w:rsidR="002F23F8" w:rsidRDefault="006F626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E9670E" w14:textId="77777777" w:rsidR="002F23F8" w:rsidRDefault="002F23F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842" w:type="dxa"/>
            <w:gridSpan w:val="7"/>
            <w:tcBorders>
              <w:top w:val="single" w:sz="4" w:space="0" w:color="auto"/>
            </w:tcBorders>
          </w:tcPr>
          <w:p w14:paraId="61E9670F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1E96710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2F23F8" w14:paraId="61E9671A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12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14:paraId="61E96713" w14:textId="77777777" w:rsidR="002F23F8" w:rsidRDefault="002F23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842" w:type="dxa"/>
            <w:gridSpan w:val="7"/>
          </w:tcPr>
          <w:p w14:paraId="61E96714" w14:textId="609C3D51" w:rsidR="00316996" w:rsidRPr="00316996" w:rsidRDefault="00861449" w:rsidP="0031699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Load reagent vials on CS-25</w:t>
            </w:r>
            <w:r w:rsidR="00316996" w:rsidRPr="00F71A09">
              <w:rPr>
                <w:rFonts w:ascii="Arial" w:hAnsi="Arial"/>
                <w:sz w:val="20"/>
                <w:szCs w:val="20"/>
              </w:rPr>
              <w:t xml:space="preserve">00. </w:t>
            </w:r>
            <w:r w:rsidR="00316996">
              <w:rPr>
                <w:rFonts w:ascii="Arial" w:hAnsi="Arial"/>
                <w:sz w:val="20"/>
                <w:szCs w:val="20"/>
              </w:rPr>
              <w:t>Load</w:t>
            </w:r>
            <w:r w:rsidR="003169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16996">
              <w:rPr>
                <w:rFonts w:ascii="Arial" w:hAnsi="Arial" w:cs="Arial"/>
                <w:sz w:val="20"/>
              </w:rPr>
              <w:t>Innovance</w:t>
            </w:r>
            <w:proofErr w:type="spellEnd"/>
            <w:r w:rsidR="00316996">
              <w:rPr>
                <w:rFonts w:ascii="Arial" w:hAnsi="Arial" w:cs="Arial"/>
                <w:sz w:val="20"/>
              </w:rPr>
              <w:t xml:space="preserve"> D-Dimer Reagent</w:t>
            </w:r>
            <w:r w:rsidR="00316996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="00316996">
              <w:rPr>
                <w:rFonts w:ascii="Arial" w:hAnsi="Arial" w:cs="Arial"/>
                <w:sz w:val="20"/>
              </w:rPr>
              <w:t>Innovance</w:t>
            </w:r>
            <w:proofErr w:type="spellEnd"/>
            <w:r w:rsidR="00316996">
              <w:rPr>
                <w:rFonts w:ascii="Arial" w:hAnsi="Arial" w:cs="Arial"/>
                <w:sz w:val="20"/>
              </w:rPr>
              <w:t xml:space="preserve"> D-Dimer Buffer/ Supplement</w:t>
            </w:r>
            <w:r w:rsidR="00316996" w:rsidRPr="00F71A09">
              <w:rPr>
                <w:sz w:val="20"/>
                <w:szCs w:val="20"/>
              </w:rPr>
              <w:t xml:space="preserve"> </w:t>
            </w:r>
            <w:r w:rsidR="00316996" w:rsidRPr="00F71A09">
              <w:rPr>
                <w:rFonts w:ascii="Arial" w:hAnsi="Arial"/>
                <w:sz w:val="20"/>
                <w:szCs w:val="20"/>
              </w:rPr>
              <w:t>in any reagent rack.</w:t>
            </w:r>
            <w:r w:rsidR="00316996">
              <w:rPr>
                <w:rFonts w:ascii="Arial" w:hAnsi="Arial"/>
                <w:sz w:val="20"/>
                <w:szCs w:val="20"/>
              </w:rPr>
              <w:t xml:space="preserve"> Load D-Dimer Diluent </w:t>
            </w:r>
            <w:r w:rsidR="00FE70A1">
              <w:rPr>
                <w:rFonts w:ascii="Arial" w:hAnsi="Arial"/>
                <w:sz w:val="20"/>
                <w:szCs w:val="20"/>
              </w:rPr>
              <w:t>o</w:t>
            </w:r>
            <w:r w:rsidR="00316996">
              <w:rPr>
                <w:rFonts w:ascii="Arial" w:hAnsi="Arial"/>
                <w:sz w:val="20"/>
                <w:szCs w:val="20"/>
              </w:rPr>
              <w:t>n the Buffer Table.</w:t>
            </w:r>
          </w:p>
          <w:p w14:paraId="61E96715" w14:textId="77777777" w:rsidR="00316996" w:rsidRDefault="00316996" w:rsidP="003169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16" w14:textId="77777777" w:rsidR="00316996" w:rsidRPr="00F71A09" w:rsidRDefault="00316996" w:rsidP="00316996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F71A09">
              <w:rPr>
                <w:rFonts w:ascii="Arial" w:hAnsi="Arial"/>
                <w:sz w:val="20"/>
                <w:szCs w:val="20"/>
              </w:rPr>
              <w:t>Place controls and into a C-Rack using SLD Mini cups.</w:t>
            </w:r>
          </w:p>
          <w:p w14:paraId="61E96717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61E96718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19" w14:textId="44E5CC1D" w:rsidR="002F23F8" w:rsidRDefault="002F23F8" w:rsidP="0086144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724" w14:textId="77777777" w:rsidTr="00882131">
        <w:trPr>
          <w:cantSplit/>
        </w:trPr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671B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9671C" w14:textId="77777777" w:rsidR="002F23F8" w:rsidRDefault="002F23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8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1E9671D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load patients, follow the procedural step below that matches the situation:</w:t>
            </w:r>
          </w:p>
          <w:p w14:paraId="61E9671E" w14:textId="77777777" w:rsidR="00316996" w:rsidRDefault="00316996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1F" w14:textId="77777777" w:rsidR="00316996" w:rsidRDefault="00316996">
            <w:pPr>
              <w:jc w:val="left"/>
              <w:rPr>
                <w:rFonts w:ascii="Arial" w:hAnsi="Arial" w:cs="Arial"/>
                <w:sz w:val="20"/>
              </w:rPr>
            </w:pPr>
          </w:p>
          <w:p w14:paraId="64E94356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3C91E32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359849D8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2E55A99A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27585363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0283B9A9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127640D2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5DA16326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136595C1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3B2EC4A3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0C3A6B8C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383C9487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071AE181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2D49B8E7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004741C0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48B20F55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72030CA4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7A08D2DB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3F8E0F53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47EEAF0E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2ABE8600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6A2786A3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096516DA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062A5170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2082D78F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21" w14:textId="77777777" w:rsidR="00861449" w:rsidRDefault="0086144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1E96722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23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72A" w14:textId="77777777" w:rsidTr="00882131">
        <w:trPr>
          <w:cantSplit/>
        </w:trPr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6725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6726" w14:textId="77777777" w:rsidR="002F23F8" w:rsidRDefault="002F23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E96727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E96728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1E96729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F23F8" w14:paraId="61E9674D" w14:textId="77777777" w:rsidTr="00882131">
        <w:trPr>
          <w:cantSplit/>
        </w:trPr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672B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672C" w14:textId="77777777" w:rsidR="002F23F8" w:rsidRDefault="002F23F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E9672D" w14:textId="77777777" w:rsidR="003B2B96" w:rsidRDefault="003B2B96" w:rsidP="003B2B9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Manual Order </w:t>
            </w:r>
          </w:p>
          <w:p w14:paraId="61E9672E" w14:textId="77777777" w:rsidR="003B2B96" w:rsidRDefault="003B2B96" w:rsidP="003B2B9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Processing</w:t>
            </w:r>
          </w:p>
          <w:p w14:paraId="61E9672F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30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E96731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Place rack with sample tubes on the sampler.</w:t>
            </w:r>
          </w:p>
          <w:p w14:paraId="61E96732" w14:textId="77777777" w:rsidR="003B2B96" w:rsidRPr="00A0452C" w:rsidRDefault="003B2B96" w:rsidP="003B2B96">
            <w:pPr>
              <w:ind w:left="7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33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>Order</w:t>
            </w:r>
            <w:r w:rsidRPr="00A0452C">
              <w:rPr>
                <w:rFonts w:ascii="Arial" w:hAnsi="Arial"/>
                <w:sz w:val="20"/>
                <w:szCs w:val="20"/>
              </w:rPr>
              <w:t>.</w:t>
            </w:r>
          </w:p>
          <w:p w14:paraId="61E96734" w14:textId="77777777" w:rsidR="003B2B96" w:rsidRPr="00A0452C" w:rsidRDefault="003B2B96" w:rsidP="003B2B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35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Enter the Rack number.</w:t>
            </w:r>
          </w:p>
          <w:p w14:paraId="61E96736" w14:textId="77777777" w:rsidR="003B2B96" w:rsidRPr="00A0452C" w:rsidRDefault="003B2B96" w:rsidP="003B2B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37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Select a tube position to input an order.</w:t>
            </w:r>
          </w:p>
          <w:p w14:paraId="61E96738" w14:textId="77777777" w:rsidR="003B2B96" w:rsidRPr="00A0452C" w:rsidRDefault="003B2B96" w:rsidP="003B2B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39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>Order Entry</w:t>
            </w:r>
            <w:r w:rsidRPr="00A0452C">
              <w:rPr>
                <w:rFonts w:ascii="Arial" w:hAnsi="Arial"/>
                <w:sz w:val="20"/>
                <w:szCs w:val="20"/>
              </w:rPr>
              <w:t xml:space="preserve"> on the Operation Panel.</w:t>
            </w:r>
          </w:p>
          <w:p w14:paraId="61E9673A" w14:textId="77777777" w:rsidR="003B2B96" w:rsidRPr="00A0452C" w:rsidRDefault="003B2B96" w:rsidP="003B2B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3B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Select 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>Ordinary Sample</w:t>
            </w:r>
            <w:r w:rsidRPr="00A0452C">
              <w:rPr>
                <w:rFonts w:ascii="Arial" w:hAnsi="Arial"/>
                <w:sz w:val="20"/>
                <w:szCs w:val="20"/>
              </w:rPr>
              <w:t>.</w:t>
            </w:r>
          </w:p>
          <w:p w14:paraId="61E9673C" w14:textId="77777777" w:rsidR="003B2B96" w:rsidRPr="00A0452C" w:rsidRDefault="003B2B96" w:rsidP="003B2B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3D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Place the cursor in Sample No. and input the sample ID if the sample does not have a barcode. If the sample has a barcode, the 2D barcode reader can be used to input the sample ID.</w:t>
            </w:r>
          </w:p>
          <w:p w14:paraId="61E9673E" w14:textId="77777777" w:rsidR="003B2B96" w:rsidRPr="00A0452C" w:rsidRDefault="003B2B96" w:rsidP="003B2B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3F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Select the assays to be analyzed.</w:t>
            </w:r>
          </w:p>
          <w:p w14:paraId="61E96740" w14:textId="77777777" w:rsidR="003B2B96" w:rsidRPr="00A0452C" w:rsidRDefault="003B2B96" w:rsidP="003B2B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41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Use the down arrow to order the next sample.</w:t>
            </w:r>
          </w:p>
          <w:p w14:paraId="61E96742" w14:textId="77777777" w:rsidR="003B2B96" w:rsidRPr="00A0452C" w:rsidRDefault="003B2B96" w:rsidP="003B2B96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43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>O.K</w:t>
            </w:r>
            <w:r w:rsidRPr="00A0452C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61E96744" w14:textId="77777777" w:rsidR="003B2B96" w:rsidRPr="00A0452C" w:rsidRDefault="003B2B96" w:rsidP="003B2B96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1E96745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>Press</w:t>
            </w:r>
            <w:r w:rsidRPr="00A0452C">
              <w:rPr>
                <w:rFonts w:ascii="Arial" w:hAnsi="Arial"/>
                <w:b/>
                <w:sz w:val="20"/>
                <w:szCs w:val="20"/>
              </w:rPr>
              <w:t xml:space="preserve"> Start</w:t>
            </w:r>
            <w:r w:rsidRPr="00A0452C">
              <w:rPr>
                <w:rFonts w:ascii="Arial" w:hAnsi="Arial"/>
                <w:sz w:val="20"/>
                <w:szCs w:val="20"/>
              </w:rPr>
              <w:t>.</w:t>
            </w:r>
          </w:p>
          <w:p w14:paraId="61E96746" w14:textId="77777777" w:rsidR="003B2B96" w:rsidRPr="00A0452C" w:rsidRDefault="003B2B96" w:rsidP="003B2B96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1E96747" w14:textId="77777777" w:rsidR="003B2B96" w:rsidRPr="00A0452C" w:rsidRDefault="003B2B96" w:rsidP="003B2B96">
            <w:pPr>
              <w:numPr>
                <w:ilvl w:val="0"/>
                <w:numId w:val="22"/>
              </w:num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0452C">
              <w:rPr>
                <w:rFonts w:ascii="Arial" w:hAnsi="Arial"/>
                <w:sz w:val="20"/>
                <w:szCs w:val="20"/>
              </w:rPr>
              <w:t xml:space="preserve">Confirm the sample order status on the </w:t>
            </w:r>
            <w:proofErr w:type="spellStart"/>
            <w:r w:rsidRPr="00A0452C"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 w:rsidRPr="00A0452C">
              <w:rPr>
                <w:rFonts w:ascii="Arial" w:hAnsi="Arial"/>
                <w:sz w:val="20"/>
                <w:szCs w:val="20"/>
              </w:rPr>
              <w:t xml:space="preserve"> screen.</w:t>
            </w:r>
          </w:p>
          <w:p w14:paraId="61E96748" w14:textId="77777777" w:rsidR="002F23F8" w:rsidRDefault="002F23F8" w:rsidP="003B2B96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1E9674B" w14:textId="10AEAB79" w:rsidR="00662649" w:rsidRDefault="00662649" w:rsidP="006626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Training Workbook, </w:t>
            </w:r>
            <w:r w:rsidRPr="004D46A7">
              <w:rPr>
                <w:rFonts w:ascii="Arial" w:hAnsi="Arial" w:cs="Arial"/>
                <w:sz w:val="20"/>
              </w:rPr>
              <w:t>page</w:t>
            </w:r>
            <w:r w:rsidR="009F3D90">
              <w:rPr>
                <w:rFonts w:ascii="Arial" w:hAnsi="Arial" w:cs="Arial"/>
                <w:sz w:val="20"/>
              </w:rPr>
              <w:t xml:space="preserve"> 28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495DC4F" w14:textId="5454F0B3" w:rsidR="009F3D90" w:rsidRDefault="009F3D90" w:rsidP="009F3D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E9674C" w14:textId="4431AC0D" w:rsidR="002F23F8" w:rsidRDefault="009F3D90" w:rsidP="009F3D90">
            <w:pPr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proofErr w:type="spellStart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</w:tc>
      </w:tr>
      <w:tr w:rsidR="002F23F8" w14:paraId="61E96766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4E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</w:tcPr>
          <w:p w14:paraId="61E9674F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50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E96751" w14:textId="77777777" w:rsidR="00662649" w:rsidRDefault="00662649" w:rsidP="006626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 Order Processing (Sample with barcode)</w:t>
            </w:r>
          </w:p>
          <w:p w14:paraId="61E96752" w14:textId="77777777" w:rsidR="002F23F8" w:rsidRDefault="002F23F8" w:rsidP="0066264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61E96753" w14:textId="77777777" w:rsidR="00662649" w:rsidRDefault="00662649" w:rsidP="00662649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rack with barcoded sample tube on sampler.</w:t>
            </w:r>
          </w:p>
          <w:p w14:paraId="61E96754" w14:textId="77777777" w:rsidR="00662649" w:rsidRDefault="00662649" w:rsidP="0066264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55" w14:textId="77777777" w:rsidR="00662649" w:rsidRDefault="00662649" w:rsidP="00662649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Check the host connection status. The host connection status icon must be green or orange.</w:t>
            </w:r>
          </w:p>
          <w:p w14:paraId="61E96756" w14:textId="77777777" w:rsidR="00662649" w:rsidRDefault="00662649" w:rsidP="0066264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57" w14:textId="77777777" w:rsidR="00662649" w:rsidRDefault="00662649" w:rsidP="00662649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60CC3">
              <w:rPr>
                <w:rFonts w:ascii="Arial" w:hAnsi="Arial"/>
                <w:b/>
                <w:sz w:val="20"/>
                <w:szCs w:val="20"/>
              </w:rPr>
              <w:t>Press Start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1E96758" w14:textId="77777777" w:rsidR="00662649" w:rsidRDefault="00662649" w:rsidP="0066264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59" w14:textId="77777777" w:rsidR="00662649" w:rsidRDefault="00662649" w:rsidP="00662649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After the barcodes have been read, confirm the sample order status and progress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screen.</w:t>
            </w:r>
          </w:p>
          <w:p w14:paraId="61E9675A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5B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E9675C" w14:textId="77777777" w:rsidR="00662649" w:rsidRDefault="00662649" w:rsidP="006626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</w:p>
          <w:p w14:paraId="61E9675D" w14:textId="77777777" w:rsidR="00662649" w:rsidRDefault="00662649" w:rsidP="00662649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Workbook,</w:t>
            </w:r>
          </w:p>
          <w:p w14:paraId="61E9675E" w14:textId="6BDFDD39" w:rsidR="00662649" w:rsidRDefault="009F3D90" w:rsidP="00662649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page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27</w:t>
            </w:r>
            <w:r w:rsidR="00662649">
              <w:rPr>
                <w:rFonts w:ascii="Arial" w:hAnsi="Arial" w:cs="Arial"/>
                <w:sz w:val="20"/>
              </w:rPr>
              <w:t>.</w:t>
            </w:r>
          </w:p>
          <w:p w14:paraId="61E9675F" w14:textId="77777777" w:rsidR="00662649" w:rsidRDefault="00662649" w:rsidP="00662649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</w:p>
          <w:p w14:paraId="61E96765" w14:textId="0636D6C3" w:rsidR="002F23F8" w:rsidRDefault="009F3D90" w:rsidP="009F3D90">
            <w:pPr>
              <w:jc w:val="left"/>
              <w:rPr>
                <w:rFonts w:ascii="Arial" w:hAnsi="Arial" w:cs="Arial"/>
                <w:sz w:val="20"/>
              </w:rPr>
            </w:pPr>
            <w:hyperlink r:id="rId16" w:history="1">
              <w:proofErr w:type="spellStart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CB1942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</w:tc>
      </w:tr>
      <w:tr w:rsidR="00662649" w14:paraId="61E96775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67" w14:textId="77777777" w:rsidR="00662649" w:rsidRDefault="0066264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</w:tcPr>
          <w:p w14:paraId="61E96768" w14:textId="77777777" w:rsidR="00662649" w:rsidRDefault="0066264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E96769" w14:textId="77777777" w:rsidR="00662649" w:rsidRDefault="00662649" w:rsidP="006626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 Mode Sampling</w:t>
            </w:r>
          </w:p>
          <w:p w14:paraId="61E9676A" w14:textId="77777777" w:rsidR="00662649" w:rsidRDefault="00662649" w:rsidP="0066264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61E9676B" w14:textId="77777777" w:rsidR="00662649" w:rsidRPr="00A21998" w:rsidRDefault="00662649" w:rsidP="00662649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>Follow the Manual Ordering Processing steps.</w:t>
            </w:r>
          </w:p>
          <w:p w14:paraId="61E9676C" w14:textId="77777777" w:rsidR="00662649" w:rsidRPr="00A21998" w:rsidRDefault="00662649" w:rsidP="00662649"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6D" w14:textId="77777777" w:rsidR="00662649" w:rsidRPr="00A21998" w:rsidRDefault="00662649" w:rsidP="00662649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 xml:space="preserve">Select the </w:t>
            </w:r>
            <w:r w:rsidRPr="00A21998">
              <w:rPr>
                <w:rFonts w:ascii="Arial" w:hAnsi="Arial"/>
                <w:b/>
                <w:sz w:val="20"/>
                <w:szCs w:val="20"/>
              </w:rPr>
              <w:t>Mc</w:t>
            </w:r>
            <w:r w:rsidRPr="00A21998">
              <w:rPr>
                <w:rFonts w:ascii="Arial" w:hAnsi="Arial"/>
                <w:sz w:val="20"/>
                <w:szCs w:val="20"/>
              </w:rPr>
              <w:t xml:space="preserve"> column on the Order screen.</w:t>
            </w:r>
          </w:p>
          <w:p w14:paraId="61E9676E" w14:textId="77777777" w:rsidR="00662649" w:rsidRPr="00A21998" w:rsidRDefault="00662649" w:rsidP="00662649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1E9676F" w14:textId="77777777" w:rsidR="00662649" w:rsidRPr="00A21998" w:rsidRDefault="00662649" w:rsidP="00662649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>Load the un-capped tube onto the system.</w:t>
            </w:r>
          </w:p>
          <w:p w14:paraId="61E96770" w14:textId="77777777" w:rsidR="00662649" w:rsidRPr="00A21998" w:rsidRDefault="00662649" w:rsidP="00662649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1E96771" w14:textId="77777777" w:rsidR="00662649" w:rsidRPr="00A21998" w:rsidRDefault="00662649" w:rsidP="00662649">
            <w:pPr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lastRenderedPageBreak/>
              <w:t xml:space="preserve">Press </w:t>
            </w:r>
            <w:r w:rsidRPr="00A21998">
              <w:rPr>
                <w:rFonts w:ascii="Arial" w:hAnsi="Arial"/>
                <w:b/>
                <w:sz w:val="20"/>
                <w:szCs w:val="20"/>
              </w:rPr>
              <w:t>Start</w:t>
            </w:r>
            <w:r w:rsidRPr="00A21998">
              <w:rPr>
                <w:rFonts w:ascii="Arial" w:hAnsi="Arial"/>
                <w:sz w:val="20"/>
                <w:szCs w:val="20"/>
              </w:rPr>
              <w:t>.</w:t>
            </w:r>
          </w:p>
          <w:p w14:paraId="61E96772" w14:textId="77777777" w:rsidR="00662649" w:rsidRPr="00A21998" w:rsidRDefault="00662649" w:rsidP="00662649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1E96773" w14:textId="77777777" w:rsidR="00662649" w:rsidRDefault="00662649" w:rsidP="00662649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21998">
              <w:rPr>
                <w:rFonts w:ascii="Arial" w:hAnsi="Arial"/>
                <w:sz w:val="20"/>
                <w:szCs w:val="20"/>
              </w:rPr>
              <w:t>Note: Reflex testing is not available in the Micro Mode.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E96774" w14:textId="77777777" w:rsidR="00662649" w:rsidRDefault="00662649" w:rsidP="00662649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77D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76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</w:tcPr>
          <w:p w14:paraId="61E96777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3</w:t>
            </w:r>
          </w:p>
        </w:tc>
        <w:tc>
          <w:tcPr>
            <w:tcW w:w="68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1E96778" w14:textId="77777777" w:rsidR="00662649" w:rsidRDefault="00662649" w:rsidP="00662649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Job analysis progress will be displayed on the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Joblist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;</w:t>
            </w:r>
          </w:p>
          <w:p w14:paraId="61E96779" w14:textId="77777777" w:rsidR="00662649" w:rsidRDefault="00662649" w:rsidP="00662649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1E9677A" w14:textId="77777777" w:rsidR="002F23F8" w:rsidRDefault="00662649" w:rsidP="0066264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2167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61E967E1" wp14:editId="61E967E2">
                  <wp:extent cx="1903730" cy="99060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91" cy="10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9677B" w14:textId="77777777" w:rsidR="002F23F8" w:rsidRPr="000E46A3" w:rsidRDefault="002F23F8" w:rsidP="00662649">
            <w:pPr>
              <w:pStyle w:val="ListParagraph"/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E9677C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79A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7E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14:paraId="61E9677F" w14:textId="77777777" w:rsidR="002F23F8" w:rsidRDefault="002F23F8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14:paraId="61E96780" w14:textId="77777777" w:rsidR="002F23F8" w:rsidRDefault="002F23F8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14:paraId="61E96781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96782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83" w14:textId="77777777" w:rsidR="002F23F8" w:rsidRDefault="003D2B66" w:rsidP="002F23F8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D-Dimer </w:t>
            </w:r>
            <w:r w:rsidR="002F23F8">
              <w:rPr>
                <w:rFonts w:ascii="Arial" w:hAnsi="Arial" w:cs="Arial"/>
                <w:sz w:val="20"/>
              </w:rPr>
              <w:t>concentration in mg/L is calculated automatically by the analyzer based      on the reference curve. The D-Dimer level is expressed as fibrinogen equivalent unit (FEU). An FEU is the quantity of fibrinogen initially present that leads to the observed D-Dimer level. Increases in D-Dimer concentration observed with thromboembolic events can be variable due to localization, extension and age of the thrombus. Therefore, a thromb</w:t>
            </w:r>
            <w:r>
              <w:rPr>
                <w:rFonts w:ascii="Arial" w:hAnsi="Arial" w:cs="Arial"/>
                <w:sz w:val="20"/>
              </w:rPr>
              <w:t>o</w:t>
            </w:r>
            <w:r w:rsidR="002F23F8">
              <w:rPr>
                <w:rFonts w:ascii="Arial" w:hAnsi="Arial" w:cs="Arial"/>
                <w:sz w:val="20"/>
              </w:rPr>
              <w:t>embolic event cannot be excluded with certainty solely on the basis of a D-Dimer concentration being within the reference range of ostensibly healthy persons.</w:t>
            </w:r>
          </w:p>
          <w:p w14:paraId="61E96784" w14:textId="77777777" w:rsidR="002F23F8" w:rsidRDefault="002F23F8">
            <w:pPr>
              <w:ind w:left="1080"/>
              <w:jc w:val="left"/>
              <w:rPr>
                <w:rFonts w:ascii="Arial" w:hAnsi="Arial" w:cs="Arial"/>
                <w:sz w:val="20"/>
              </w:rPr>
            </w:pPr>
          </w:p>
          <w:p w14:paraId="61E96785" w14:textId="77777777" w:rsidR="002F23F8" w:rsidRDefault="002F23F8" w:rsidP="002F23F8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 of the D-Dimer test should always be interpreted in conjunction with the patient</w:t>
            </w:r>
            <w:r w:rsidR="00EF6C78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 xml:space="preserve">s medical history, clinical presentation, and other findings. Clinical diagnosis should not be based on the results of </w:t>
            </w:r>
            <w:proofErr w:type="spellStart"/>
            <w:r>
              <w:rPr>
                <w:rFonts w:ascii="Arial" w:hAnsi="Arial" w:cs="Arial"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D-Dimer alone.</w:t>
            </w:r>
          </w:p>
          <w:p w14:paraId="61E96786" w14:textId="77777777" w:rsidR="002F23F8" w:rsidRDefault="002F23F8">
            <w:pPr>
              <w:ind w:left="14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D-Dimer results will be appended with the comment –DDIC in MIQ which states the following; “A negative D-Dimer does not completely rule out Deep Vein Thrombosis or Pulmonary Embolism. Results of the D-Dimer test should always be interpreted in conjunction with the patient</w:t>
            </w:r>
            <w:r w:rsidR="00EF6C78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s medical history, clinical presentation, and other findings”.</w:t>
            </w:r>
          </w:p>
          <w:p w14:paraId="61E96787" w14:textId="77777777" w:rsidR="002F23F8" w:rsidRDefault="002F23F8">
            <w:pPr>
              <w:ind w:left="1440"/>
              <w:jc w:val="left"/>
              <w:rPr>
                <w:rFonts w:ascii="Arial" w:hAnsi="Arial" w:cs="Arial"/>
                <w:sz w:val="20"/>
              </w:rPr>
            </w:pPr>
          </w:p>
          <w:p w14:paraId="61E96788" w14:textId="77777777" w:rsidR="002F23F8" w:rsidRDefault="002F23F8" w:rsidP="002F23F8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Patients with distal (in one of the three major veins in the calf) DVT may have a normal </w:t>
            </w:r>
            <w:proofErr w:type="spellStart"/>
            <w:r>
              <w:rPr>
                <w:rFonts w:ascii="Arial" w:hAnsi="Arial" w:cs="Arial"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D-Dimer result.</w:t>
            </w:r>
          </w:p>
          <w:p w14:paraId="61E96789" w14:textId="77777777" w:rsidR="002F23F8" w:rsidRDefault="002F23F8">
            <w:pPr>
              <w:ind w:left="1080"/>
              <w:jc w:val="left"/>
              <w:rPr>
                <w:rFonts w:ascii="Arial" w:hAnsi="Arial" w:cs="Arial"/>
                <w:sz w:val="20"/>
              </w:rPr>
            </w:pPr>
          </w:p>
          <w:p w14:paraId="61E9678A" w14:textId="77777777" w:rsidR="002F23F8" w:rsidRDefault="002F23F8" w:rsidP="002F23F8">
            <w:pPr>
              <w:numPr>
                <w:ilvl w:val="1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following patients should not have D-Dimer testing used as an aid in the diagnosis of DVT and PE:</w:t>
            </w:r>
          </w:p>
          <w:p w14:paraId="61E9678B" w14:textId="77777777" w:rsidR="002F23F8" w:rsidRDefault="002F23F8" w:rsidP="002F23F8">
            <w:pPr>
              <w:numPr>
                <w:ilvl w:val="2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Patients with therapeutic dose of anticoagulant therapy within the last 24 </w:t>
            </w:r>
          </w:p>
          <w:p w14:paraId="61E9678C" w14:textId="77777777" w:rsidR="002F23F8" w:rsidRDefault="002F23F8">
            <w:pPr>
              <w:ind w:left="23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Hours.</w:t>
            </w:r>
          </w:p>
          <w:p w14:paraId="61E9678D" w14:textId="77777777" w:rsidR="002F23F8" w:rsidRDefault="002F23F8" w:rsidP="002F23F8">
            <w:pPr>
              <w:numPr>
                <w:ilvl w:val="2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Fibrinolytic therapy within the previous 7 days.</w:t>
            </w:r>
          </w:p>
          <w:p w14:paraId="61E9678E" w14:textId="77777777" w:rsidR="002F23F8" w:rsidRDefault="002F23F8" w:rsidP="002F23F8">
            <w:pPr>
              <w:numPr>
                <w:ilvl w:val="2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Trauma or surgery within previous 4 weeks.</w:t>
            </w:r>
          </w:p>
          <w:p w14:paraId="61E9678F" w14:textId="77777777" w:rsidR="002F23F8" w:rsidRDefault="002F23F8" w:rsidP="002F23F8">
            <w:pPr>
              <w:numPr>
                <w:ilvl w:val="2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Disseminated malignancies.</w:t>
            </w:r>
          </w:p>
          <w:p w14:paraId="61E96790" w14:textId="77777777" w:rsidR="002F23F8" w:rsidRDefault="002F23F8" w:rsidP="002F23F8">
            <w:pPr>
              <w:numPr>
                <w:ilvl w:val="2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Aortic aneurysm.</w:t>
            </w:r>
          </w:p>
          <w:p w14:paraId="61E96791" w14:textId="77777777" w:rsidR="002F23F8" w:rsidRDefault="002F23F8" w:rsidP="002F23F8">
            <w:pPr>
              <w:numPr>
                <w:ilvl w:val="2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Sepsis, severe infections, pneumonia, severe skin infections.</w:t>
            </w:r>
          </w:p>
          <w:p w14:paraId="61E96792" w14:textId="77777777" w:rsidR="002F23F8" w:rsidRDefault="002F23F8" w:rsidP="002F23F8">
            <w:pPr>
              <w:numPr>
                <w:ilvl w:val="2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Liver cirrhosis.</w:t>
            </w:r>
          </w:p>
          <w:p w14:paraId="61E96793" w14:textId="77777777" w:rsidR="002F23F8" w:rsidRDefault="002F23F8" w:rsidP="002F23F8">
            <w:pPr>
              <w:numPr>
                <w:ilvl w:val="2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Pregnancy </w:t>
            </w:r>
          </w:p>
          <w:p w14:paraId="61E96794" w14:textId="77777777" w:rsidR="002F23F8" w:rsidRDefault="002F23F8">
            <w:pPr>
              <w:ind w:left="1080"/>
              <w:jc w:val="left"/>
              <w:rPr>
                <w:rFonts w:ascii="Arial" w:hAnsi="Arial" w:cs="Arial"/>
                <w:sz w:val="20"/>
              </w:rPr>
            </w:pPr>
          </w:p>
          <w:p w14:paraId="61E96795" w14:textId="77777777" w:rsidR="002F23F8" w:rsidRDefault="002F23F8">
            <w:pPr>
              <w:ind w:left="10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1E96796" w14:textId="77777777" w:rsidR="002F23F8" w:rsidRDefault="00342B73">
            <w:pPr>
              <w:ind w:left="1080"/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="002F23F8">
                <w:rPr>
                  <w:rStyle w:val="Hyperlink"/>
                  <w:rFonts w:ascii="Arial" w:hAnsi="Arial" w:cs="Arial"/>
                  <w:sz w:val="20"/>
                </w:rPr>
                <w:t>Document V - Wells Clinical Score for DVT and PE</w:t>
              </w:r>
            </w:hyperlink>
          </w:p>
          <w:p w14:paraId="61E96798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99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7A8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9B" w14:textId="77777777" w:rsidR="002F23F8" w:rsidRDefault="002F23F8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1E9679C" w14:textId="77777777" w:rsidR="002F23F8" w:rsidRDefault="002F23F8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 Intervals</w:t>
            </w:r>
          </w:p>
          <w:p w14:paraId="61E9679D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9679E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9F" w14:textId="77777777" w:rsidR="002F23F8" w:rsidRDefault="002F23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range: Clinical cutoff of 0.5 mg/L FEU when used along with a low clinical pretest probability assessment model to exclude DVT / PE. </w:t>
            </w:r>
          </w:p>
          <w:p w14:paraId="61E967A0" w14:textId="77777777" w:rsidR="002F23F8" w:rsidRDefault="002F23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14:paraId="61E967A1" w14:textId="77777777" w:rsidR="002F23F8" w:rsidRDefault="002F23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 multi</w:t>
            </w:r>
            <w:r w:rsidR="003D2B6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center study using </w:t>
            </w:r>
            <w:proofErr w:type="spellStart"/>
            <w:r>
              <w:rPr>
                <w:rFonts w:ascii="Arial" w:hAnsi="Arial" w:cs="Arial"/>
              </w:rPr>
              <w:t>Innovance</w:t>
            </w:r>
            <w:proofErr w:type="spellEnd"/>
            <w:r>
              <w:rPr>
                <w:rFonts w:ascii="Arial" w:hAnsi="Arial" w:cs="Arial"/>
              </w:rPr>
              <w:t xml:space="preserve"> D-Dimer at a clinical cut-off of 0.5 mg/L FEU, the negative predictive value of 98% was established for ED patients using the Wells Pretest Probability Model and </w:t>
            </w:r>
            <w:r>
              <w:rPr>
                <w:rFonts w:ascii="Arial" w:hAnsi="Arial" w:cs="Arial"/>
              </w:rPr>
              <w:lastRenderedPageBreak/>
              <w:t>diagnosed by standard objective tests. At this cut-off the Sensitivity and Specificity for this method were found to be 97% and 42% respectively.</w:t>
            </w:r>
          </w:p>
          <w:p w14:paraId="61E967A2" w14:textId="77777777" w:rsidR="002F23F8" w:rsidRDefault="002F23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14:paraId="61E967A3" w14:textId="77777777" w:rsidR="002F23F8" w:rsidRDefault="002F23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Innovance</w:t>
            </w:r>
            <w:proofErr w:type="spellEnd"/>
            <w:r>
              <w:rPr>
                <w:rFonts w:ascii="Arial" w:hAnsi="Arial" w:cs="Arial"/>
              </w:rPr>
              <w:t xml:space="preserve"> D-Dimer assay has a new FDA-cleared clinical indication; the </w:t>
            </w:r>
            <w:proofErr w:type="spellStart"/>
            <w:r>
              <w:rPr>
                <w:rFonts w:ascii="Arial" w:hAnsi="Arial" w:cs="Arial"/>
              </w:rPr>
              <w:t>Innovance</w:t>
            </w:r>
            <w:proofErr w:type="spellEnd"/>
            <w:r>
              <w:rPr>
                <w:rFonts w:ascii="Arial" w:hAnsi="Arial" w:cs="Arial"/>
              </w:rPr>
              <w:t xml:space="preserve"> D-Dimer assay may now be used in conjunction with a low clinical pretest probability (PTP) assessment model to exclude deep-vein thrombosis (DVT) in addition to the FDA-cleared exclusion for pulmonary embolism (PE).</w:t>
            </w:r>
          </w:p>
          <w:p w14:paraId="61E967A4" w14:textId="77777777" w:rsidR="002F23F8" w:rsidRDefault="002F23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14:paraId="61E967A5" w14:textId="77777777" w:rsidR="002F23F8" w:rsidRDefault="002F23F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19" w:history="1">
              <w:r>
                <w:rPr>
                  <w:rStyle w:val="Hyperlink"/>
                  <w:rFonts w:ascii="Arial" w:hAnsi="Arial" w:cs="Arial"/>
                </w:rPr>
                <w:t>Document V - Wells Clinical Score for DVT and PE</w:t>
              </w:r>
            </w:hyperlink>
          </w:p>
          <w:p w14:paraId="61E967A6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61E967A7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F23F8" w14:paraId="61E967B4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A9" w14:textId="77777777" w:rsidR="002F23F8" w:rsidRDefault="002F23F8">
            <w:pPr>
              <w:rPr>
                <w:rFonts w:ascii="Arial" w:hAnsi="Arial" w:cs="Arial"/>
                <w:sz w:val="20"/>
              </w:rPr>
            </w:pPr>
          </w:p>
          <w:p w14:paraId="61E967AA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Method Performance Specifications</w:t>
            </w:r>
          </w:p>
          <w:p w14:paraId="61E967AB" w14:textId="77777777" w:rsidR="002F23F8" w:rsidRDefault="002F23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967AC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  <w:p w14:paraId="61E967AD" w14:textId="77777777" w:rsidR="002F23F8" w:rsidRDefault="002F23F8" w:rsidP="002F23F8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Turbidity and particles in plasma may interfere with the determination. Plasmas containing particles should be </w:t>
            </w:r>
            <w:proofErr w:type="spellStart"/>
            <w:r>
              <w:rPr>
                <w:rFonts w:ascii="Arial" w:hAnsi="Arial" w:cs="Arial"/>
                <w:sz w:val="20"/>
              </w:rPr>
              <w:t>ultrafuged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prior to testing. Higher levels of lipids or turbid samples can lead to falsely elevated or decreased results.</w:t>
            </w:r>
          </w:p>
          <w:p w14:paraId="61E967AE" w14:textId="77777777" w:rsidR="002F23F8" w:rsidRDefault="002F23F8">
            <w:pPr>
              <w:ind w:left="1080"/>
              <w:jc w:val="left"/>
              <w:rPr>
                <w:rFonts w:ascii="Arial" w:hAnsi="Arial" w:cs="Arial"/>
                <w:sz w:val="20"/>
              </w:rPr>
            </w:pPr>
          </w:p>
          <w:p w14:paraId="61E967AF" w14:textId="77777777" w:rsidR="002F23F8" w:rsidRDefault="002F23F8" w:rsidP="002F23F8">
            <w:pPr>
              <w:numPr>
                <w:ilvl w:val="1"/>
                <w:numId w:val="2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Patient samples may conta</w:t>
            </w:r>
            <w:r w:rsidR="003D2B66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="003D2B66">
              <w:rPr>
                <w:rFonts w:ascii="Arial" w:hAnsi="Arial" w:cs="Arial"/>
                <w:sz w:val="20"/>
              </w:rPr>
              <w:t>heterophilic</w:t>
            </w:r>
            <w:proofErr w:type="spellEnd"/>
            <w:r w:rsidR="003D2B66">
              <w:rPr>
                <w:rFonts w:ascii="Arial" w:hAnsi="Arial" w:cs="Arial"/>
                <w:sz w:val="20"/>
              </w:rPr>
              <w:t xml:space="preserve"> antibodies </w:t>
            </w:r>
            <w:proofErr w:type="gramStart"/>
            <w:r w:rsidR="003D2B66">
              <w:rPr>
                <w:rFonts w:ascii="Arial" w:hAnsi="Arial" w:cs="Arial"/>
                <w:sz w:val="20"/>
              </w:rPr>
              <w:t>( i.e</w:t>
            </w:r>
            <w:proofErr w:type="gramEnd"/>
            <w:r w:rsidR="003D2B6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human anti-mouse antibodies (HAMA) and rheumatoid factors) that could react with immunoassays to give a falsely elevated or depressed result. This assay has been designed to minimize interference from </w:t>
            </w:r>
            <w:proofErr w:type="spellStart"/>
            <w:r>
              <w:rPr>
                <w:rFonts w:ascii="Arial" w:hAnsi="Arial" w:cs="Arial"/>
                <w:sz w:val="20"/>
              </w:rPr>
              <w:t>heterophilic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antibodies, but complete elimina</w:t>
            </w:r>
            <w:r w:rsidR="003D2B66">
              <w:rPr>
                <w:rFonts w:ascii="Arial" w:hAnsi="Arial" w:cs="Arial"/>
                <w:sz w:val="20"/>
              </w:rPr>
              <w:t>tion from this interference can</w:t>
            </w:r>
            <w:r>
              <w:rPr>
                <w:rFonts w:ascii="Arial" w:hAnsi="Arial" w:cs="Arial"/>
                <w:sz w:val="20"/>
              </w:rPr>
              <w:t xml:space="preserve">not be guaranteed. </w:t>
            </w:r>
          </w:p>
          <w:p w14:paraId="61E967B0" w14:textId="77777777" w:rsidR="002F23F8" w:rsidRDefault="002F23F8">
            <w:pPr>
              <w:ind w:left="1080"/>
              <w:jc w:val="left"/>
              <w:rPr>
                <w:rFonts w:ascii="Arial" w:hAnsi="Arial" w:cs="Arial"/>
                <w:sz w:val="20"/>
              </w:rPr>
            </w:pPr>
          </w:p>
          <w:p w14:paraId="61E967B1" w14:textId="77777777" w:rsidR="002F23F8" w:rsidRDefault="002F23F8">
            <w:pPr>
              <w:ind w:left="108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measuring range extends from approximately 0.2 mg/L FEU (lowest point on the calibration curve) to approximately 4.4 mg/L FEU</w:t>
            </w:r>
            <w:r w:rsidR="00196466">
              <w:rPr>
                <w:rFonts w:ascii="Arial" w:hAnsi="Arial" w:cs="Arial"/>
                <w:iCs/>
                <w:sz w:val="20"/>
              </w:rPr>
              <w:t xml:space="preserve"> or the </w:t>
            </w:r>
            <w:r>
              <w:rPr>
                <w:rFonts w:ascii="Arial" w:hAnsi="Arial" w:cs="Arial"/>
                <w:iCs/>
                <w:sz w:val="20"/>
              </w:rPr>
              <w:t>highest</w:t>
            </w:r>
            <w:r w:rsidR="00196466">
              <w:rPr>
                <w:rFonts w:ascii="Arial" w:hAnsi="Arial" w:cs="Arial"/>
                <w:iCs/>
                <w:sz w:val="20"/>
              </w:rPr>
              <w:t xml:space="preserve"> point on the calibration curve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14:paraId="61E967B2" w14:textId="77777777" w:rsidR="002F23F8" w:rsidRDefault="002F23F8">
            <w:pPr>
              <w:ind w:left="108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Samples initially outside the measuring range are </w:t>
            </w:r>
            <w:r w:rsidR="008E33D4">
              <w:rPr>
                <w:rFonts w:ascii="Arial" w:hAnsi="Arial" w:cs="Arial"/>
                <w:iCs/>
                <w:sz w:val="20"/>
              </w:rPr>
              <w:t xml:space="preserve">reflexively ordered on the </w:t>
            </w:r>
            <w:r w:rsidR="00557679">
              <w:rPr>
                <w:rFonts w:ascii="Arial" w:hAnsi="Arial" w:cs="Arial"/>
                <w:iCs/>
                <w:sz w:val="20"/>
              </w:rPr>
              <w:t>CS-5100</w:t>
            </w:r>
            <w:r>
              <w:rPr>
                <w:rFonts w:ascii="Arial" w:hAnsi="Arial" w:cs="Arial"/>
                <w:iCs/>
                <w:sz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DDi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Hi which performs a sample dilution</w:t>
            </w:r>
            <w:r w:rsidR="00196466">
              <w:rPr>
                <w:rFonts w:ascii="Arial" w:hAnsi="Arial" w:cs="Arial"/>
                <w:iCs/>
                <w:sz w:val="20"/>
              </w:rPr>
              <w:t xml:space="preserve"> of 1:8</w:t>
            </w:r>
            <w:r>
              <w:rPr>
                <w:rFonts w:ascii="Arial" w:hAnsi="Arial" w:cs="Arial"/>
                <w:iCs/>
                <w:sz w:val="20"/>
              </w:rPr>
              <w:t xml:space="preserve"> resulting in a measur</w:t>
            </w:r>
            <w:r w:rsidR="00196466">
              <w:rPr>
                <w:rFonts w:ascii="Arial" w:hAnsi="Arial" w:cs="Arial"/>
                <w:iCs/>
                <w:sz w:val="20"/>
              </w:rPr>
              <w:t>ement range up to 35.2 mg/L FEU in this example (4.4 x</w:t>
            </w:r>
            <w:r w:rsidR="00557679">
              <w:rPr>
                <w:rFonts w:ascii="Arial" w:hAnsi="Arial" w:cs="Arial"/>
                <w:iCs/>
                <w:sz w:val="20"/>
              </w:rPr>
              <w:t xml:space="preserve"> </w:t>
            </w:r>
            <w:r w:rsidR="00196466">
              <w:rPr>
                <w:rFonts w:ascii="Arial" w:hAnsi="Arial" w:cs="Arial"/>
                <w:iCs/>
                <w:sz w:val="20"/>
              </w:rPr>
              <w:t>8).</w:t>
            </w:r>
            <w:r>
              <w:rPr>
                <w:rFonts w:ascii="Arial" w:hAnsi="Arial" w:cs="Arial"/>
                <w:iCs/>
                <w:sz w:val="20"/>
              </w:rPr>
              <w:t xml:space="preserve"> Samples with values</w:t>
            </w:r>
            <w:r w:rsidR="00196466">
              <w:rPr>
                <w:rFonts w:ascii="Arial" w:hAnsi="Arial" w:cs="Arial"/>
                <w:iCs/>
                <w:sz w:val="20"/>
              </w:rPr>
              <w:t xml:space="preserve"> reported with a greater than sign (&gt;) should be reported out as greater than (&gt;) the number displayed on the analyzer (in this example &gt;35.2).</w:t>
            </w:r>
          </w:p>
          <w:p w14:paraId="61E967B3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F23F8" w14:paraId="61E967C4" w14:textId="77777777" w:rsidTr="00882131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E967B5" w14:textId="77777777" w:rsidR="002F23F8" w:rsidRDefault="002F23F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1E967B6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1" w:type="dxa"/>
            <w:gridSpan w:val="9"/>
            <w:tcBorders>
              <w:left w:val="nil"/>
              <w:right w:val="nil"/>
            </w:tcBorders>
          </w:tcPr>
          <w:p w14:paraId="61E967B7" w14:textId="77777777" w:rsidR="002F23F8" w:rsidRDefault="002F23F8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14:paraId="61E967B8" w14:textId="77777777" w:rsidR="002F23F8" w:rsidRDefault="002F23F8" w:rsidP="002F23F8">
            <w:pPr>
              <w:numPr>
                <w:ilvl w:val="0"/>
                <w:numId w:val="25"/>
              </w:numPr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Mpls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Sunquest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): MPLS- see procedure “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Autoverification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in Coagulation”</w:t>
            </w:r>
          </w:p>
          <w:p w14:paraId="61E967B9" w14:textId="77777777" w:rsidR="002F23F8" w:rsidRDefault="002F23F8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MEM &lt;CR&gt;</w:t>
            </w:r>
          </w:p>
          <w:p w14:paraId="61E967BA" w14:textId="77777777" w:rsidR="002F23F8" w:rsidRDefault="002F23F8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Worksheet: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C1&lt;CR&gt;</w:t>
            </w:r>
          </w:p>
          <w:p w14:paraId="61E967BB" w14:textId="77777777" w:rsidR="002F23F8" w:rsidRDefault="002F23F8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Test-1: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61E967BC" w14:textId="77777777" w:rsidR="002F23F8" w:rsidRDefault="002F23F8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Test-2: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61E967BD" w14:textId="77777777" w:rsidR="002F23F8" w:rsidRDefault="002F23F8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 Method: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Modify (M)</w:t>
            </w:r>
          </w:p>
          <w:p w14:paraId="61E967BE" w14:textId="5A803ABE" w:rsidR="002F23F8" w:rsidRDefault="00AC4650">
            <w:pPr>
              <w:ind w:left="720"/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DDI: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A10CF8">
              <w:rPr>
                <w:rFonts w:ascii="Arial" w:hAnsi="Arial" w:cs="Arial"/>
                <w:sz w:val="20"/>
                <w:szCs w:val="20"/>
              </w:rPr>
              <w:t>CS2S1 or CS2S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23F8">
              <w:rPr>
                <w:rFonts w:ascii="Arial" w:hAnsi="Arial"/>
                <w:sz w:val="20"/>
                <w:szCs w:val="20"/>
              </w:rPr>
              <w:t xml:space="preserve"> &lt;CR&gt;</w:t>
            </w:r>
          </w:p>
          <w:p w14:paraId="61E967BF" w14:textId="77777777" w:rsidR="002F23F8" w:rsidRDefault="002F23F8">
            <w:pPr>
              <w:ind w:firstLine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61E967C0" w14:textId="77777777" w:rsidR="002F23F8" w:rsidRDefault="002F23F8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Acc. No.: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##### &lt;CR&gt;</w:t>
            </w:r>
          </w:p>
          <w:p w14:paraId="61E967C1" w14:textId="77777777" w:rsidR="002F23F8" w:rsidRDefault="002F23F8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DDI: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result</w:t>
            </w:r>
          </w:p>
          <w:p w14:paraId="61E967C2" w14:textId="77777777" w:rsidR="002F23F8" w:rsidRDefault="002F23F8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14:paraId="61E967C3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F23F8" w14:paraId="61E967D3" w14:textId="77777777" w:rsidTr="00882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9" w:type="dxa"/>
            <w:tcBorders>
              <w:left w:val="nil"/>
            </w:tcBorders>
          </w:tcPr>
          <w:p w14:paraId="61E967C5" w14:textId="77777777" w:rsidR="002F23F8" w:rsidRDefault="002F23F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1E967C6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E967C7" w14:textId="77777777" w:rsidR="002F23F8" w:rsidRDefault="002F23F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61E967C8" w14:textId="77777777" w:rsidR="002F23F8" w:rsidRDefault="002F23F8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D-Dimer package insert. Siemens Healthcare Diagnostics Marburg, Germany, November 2008.</w:t>
            </w:r>
          </w:p>
          <w:p w14:paraId="61E967C9" w14:textId="77777777" w:rsidR="002F23F8" w:rsidRDefault="002F23F8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D-Dimer Control package insert. Dade Behring. Marburg, November, April 2008.</w:t>
            </w:r>
          </w:p>
          <w:p w14:paraId="61E967CA" w14:textId="77777777" w:rsidR="002F23F8" w:rsidRDefault="002F23F8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Clinical Laboratory Standards Institute. Collection, Transport and Processing of Blood Specimens for Testing Plasma-Based Coagulation Assays: Approved Guideline-Fifth Edition.</w:t>
            </w:r>
          </w:p>
          <w:p w14:paraId="61E967CB" w14:textId="77777777" w:rsidR="002F23F8" w:rsidRDefault="002F23F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 Publication H21-A5.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Wayne,PA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, January,2008</w:t>
            </w:r>
          </w:p>
          <w:p w14:paraId="61E967CC" w14:textId="77777777" w:rsidR="002F23F8" w:rsidRDefault="002F23F8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Dade Behring BCS Operators Manual</w:t>
            </w:r>
          </w:p>
          <w:p w14:paraId="61E967CD" w14:textId="77777777" w:rsidR="002F23F8" w:rsidRDefault="002F23F8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Dade Behring BCS-XP Operators Manual</w:t>
            </w:r>
          </w:p>
          <w:p w14:paraId="61E967CE" w14:textId="77777777" w:rsidR="002F23F8" w:rsidRDefault="002F23F8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Application Sheet for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D-Dimer on BCS System</w:t>
            </w:r>
          </w:p>
          <w:p w14:paraId="61E967CF" w14:textId="77777777" w:rsidR="002F23F8" w:rsidRDefault="002F23F8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Application Sheet for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Innovance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D-Dimer on BCS-XP System</w:t>
            </w:r>
          </w:p>
          <w:p w14:paraId="61E967D0" w14:textId="77777777" w:rsidR="005F2858" w:rsidRDefault="002F23F8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An Algorithmic Approach to Hemostasis Testing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Kottke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-</w:t>
            </w:r>
            <w:proofErr w:type="gramStart"/>
            <w:r>
              <w:rPr>
                <w:rFonts w:ascii="Arial" w:hAnsi="Arial" w:cs="Arial"/>
                <w:iCs/>
                <w:sz w:val="20"/>
              </w:rPr>
              <w:t>Marchant ,CAP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Press,Copyright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2008.</w:t>
            </w:r>
          </w:p>
          <w:p w14:paraId="626E8C86" w14:textId="35B2698C" w:rsidR="0017076C" w:rsidRDefault="0017076C" w:rsidP="00342B73">
            <w:pPr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Sysmex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CS-2500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 Application Sheet RG_36</w:t>
            </w:r>
            <w:r>
              <w:rPr>
                <w:rFonts w:ascii="Arial" w:hAnsi="Arial" w:cs="Arial"/>
                <w:sz w:val="20"/>
                <w:szCs w:val="20"/>
              </w:rPr>
              <w:t>_EN-U Rev. 2.10</w:t>
            </w:r>
          </w:p>
          <w:p w14:paraId="5BF0CEF7" w14:textId="4E389FD2" w:rsidR="00342B73" w:rsidRPr="00342B73" w:rsidRDefault="00342B73" w:rsidP="00342B73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SysmexCS-2500 </w:t>
            </w:r>
            <w:r w:rsidRPr="00C13BDC">
              <w:rPr>
                <w:rFonts w:ascii="Arial" w:hAnsi="Arial"/>
                <w:sz w:val="20"/>
                <w:szCs w:val="20"/>
              </w:rPr>
              <w:t xml:space="preserve">Training Workbook, </w:t>
            </w:r>
            <w:r w:rsidRPr="00F42421">
              <w:rPr>
                <w:rFonts w:ascii="Arial" w:eastAsia="CIDFont+F1" w:hAnsi="Arial" w:cs="Arial"/>
                <w:sz w:val="20"/>
                <w:szCs w:val="20"/>
              </w:rPr>
              <w:t>Effective Date: 14-Jan-2021 | HOOD05162003158939</w:t>
            </w:r>
            <w:bookmarkStart w:id="0" w:name="_GoBack"/>
            <w:bookmarkEnd w:id="0"/>
          </w:p>
          <w:p w14:paraId="045C1726" w14:textId="77777777" w:rsidR="00342B73" w:rsidRPr="00A47AE7" w:rsidRDefault="00342B73" w:rsidP="00342B73">
            <w:pPr>
              <w:ind w:left="360"/>
              <w:rPr>
                <w:rFonts w:ascii="Arial" w:eastAsia="CIDFont+F1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proofErr w:type="spellStart"/>
              <w:r w:rsidRPr="00053B5F">
                <w:rPr>
                  <w:rStyle w:val="Hyperlink"/>
                  <w:rFonts w:ascii="Arial" w:hAnsi="Arial"/>
                  <w:sz w:val="20"/>
                  <w:szCs w:val="20"/>
                </w:rPr>
                <w:t>Sysmex</w:t>
              </w:r>
              <w:proofErr w:type="spellEnd"/>
              <w:r w:rsidRPr="00053B5F">
                <w:rPr>
                  <w:rStyle w:val="Hyperlink"/>
                  <w:rFonts w:ascii="Arial" w:hAnsi="Arial"/>
                  <w:sz w:val="20"/>
                  <w:szCs w:val="20"/>
                </w:rPr>
                <w:t xml:space="preserve"> CS-2500 Training Workbook</w:t>
              </w:r>
            </w:hyperlink>
          </w:p>
          <w:p w14:paraId="61E967D2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2F23F8" w14:paraId="61E967D9" w14:textId="77777777" w:rsidTr="00882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9" w:type="dxa"/>
            <w:vMerge w:val="restart"/>
            <w:tcBorders>
              <w:left w:val="nil"/>
              <w:right w:val="single" w:sz="4" w:space="0" w:color="auto"/>
            </w:tcBorders>
          </w:tcPr>
          <w:p w14:paraId="61E967D4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7D5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7D6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7D7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7D8" w14:textId="77777777" w:rsidR="002F23F8" w:rsidRDefault="002F23F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2F23F8" w14:paraId="61E967DF" w14:textId="77777777" w:rsidTr="00882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14:paraId="61E967DA" w14:textId="77777777" w:rsidR="002F23F8" w:rsidRDefault="002F23F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7DB" w14:textId="77777777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7DC" w14:textId="77777777" w:rsidR="002F23F8" w:rsidRDefault="002F23F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7DD" w14:textId="77777777" w:rsidR="002F23F8" w:rsidRDefault="005F2858" w:rsidP="00882131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7DE" w14:textId="2CED72F2" w:rsidR="002F23F8" w:rsidRDefault="002F23F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  <w:r w:rsidR="00322C73">
              <w:rPr>
                <w:rFonts w:ascii="Arial" w:hAnsi="Arial" w:cs="Arial"/>
                <w:sz w:val="20"/>
              </w:rPr>
              <w:t>, CS-25</w:t>
            </w:r>
            <w:r w:rsidR="0061563B">
              <w:rPr>
                <w:rFonts w:ascii="Arial" w:hAnsi="Arial" w:cs="Arial"/>
                <w:sz w:val="20"/>
              </w:rPr>
              <w:t>00 application</w:t>
            </w:r>
          </w:p>
        </w:tc>
      </w:tr>
    </w:tbl>
    <w:p w14:paraId="61E967E0" w14:textId="77777777" w:rsidR="002F23F8" w:rsidRDefault="002F23F8"/>
    <w:sectPr w:rsidR="002F23F8" w:rsidSect="007313BA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967E5" w14:textId="77777777" w:rsidR="00A85391" w:rsidRDefault="00A85391">
      <w:r>
        <w:separator/>
      </w:r>
    </w:p>
  </w:endnote>
  <w:endnote w:type="continuationSeparator" w:id="0">
    <w:p w14:paraId="61E967E6" w14:textId="77777777" w:rsidR="00A85391" w:rsidRDefault="00A8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967ED" w14:textId="77777777" w:rsidR="002F23F8" w:rsidRDefault="002F23F8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7313BA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7313BA">
      <w:rPr>
        <w:rFonts w:ascii="Arial" w:hAnsi="Arial" w:cs="Arial"/>
        <w:sz w:val="16"/>
      </w:rPr>
      <w:fldChar w:fldCharType="separate"/>
    </w:r>
    <w:r w:rsidR="00342B73">
      <w:rPr>
        <w:rFonts w:ascii="Arial" w:hAnsi="Arial" w:cs="Arial"/>
        <w:noProof/>
        <w:sz w:val="16"/>
      </w:rPr>
      <w:t>7</w:t>
    </w:r>
    <w:r w:rsidR="007313BA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7313BA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7313BA">
      <w:rPr>
        <w:rFonts w:ascii="Arial" w:hAnsi="Arial" w:cs="Arial"/>
        <w:sz w:val="16"/>
      </w:rPr>
      <w:fldChar w:fldCharType="separate"/>
    </w:r>
    <w:r w:rsidR="00342B73">
      <w:rPr>
        <w:rFonts w:ascii="Arial" w:hAnsi="Arial" w:cs="Arial"/>
        <w:noProof/>
        <w:sz w:val="16"/>
      </w:rPr>
      <w:t>9</w:t>
    </w:r>
    <w:r w:rsidR="007313BA">
      <w:rPr>
        <w:rFonts w:ascii="Arial" w:hAnsi="Arial" w:cs="Arial"/>
        <w:sz w:val="16"/>
      </w:rPr>
      <w:fldChar w:fldCharType="end"/>
    </w:r>
  </w:p>
  <w:p w14:paraId="61E967EE" w14:textId="77777777" w:rsidR="002F23F8" w:rsidRDefault="002F23F8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967E3" w14:textId="77777777" w:rsidR="00A85391" w:rsidRDefault="00A85391">
      <w:r>
        <w:separator/>
      </w:r>
    </w:p>
  </w:footnote>
  <w:footnote w:type="continuationSeparator" w:id="0">
    <w:p w14:paraId="61E967E4" w14:textId="77777777" w:rsidR="00A85391" w:rsidRDefault="00A8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967E7" w14:textId="77777777" w:rsidR="002F23F8" w:rsidRDefault="00342B73">
    <w:pPr>
      <w:pStyle w:val="Header"/>
    </w:pPr>
    <w:r>
      <w:rPr>
        <w:noProof/>
      </w:rPr>
      <w:pict w14:anchorId="61E96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967E8" w14:textId="77777777" w:rsidR="002F23F8" w:rsidRDefault="002F23F8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COA 1.23 DDI D-Dimer Testing in Plasma</w:t>
    </w:r>
    <w:r>
      <w:rPr>
        <w:rFonts w:ascii="Arial" w:hAnsi="Arial" w:cs="Arial"/>
        <w:sz w:val="18"/>
      </w:rPr>
      <w:tab/>
    </w:r>
    <w:r w:rsidR="00882131">
      <w:rPr>
        <w:rFonts w:ascii="Arial" w:hAnsi="Arial" w:cs="Arial"/>
        <w:sz w:val="18"/>
      </w:rPr>
      <w:t xml:space="preserve">                                                                                                             </w:t>
    </w:r>
    <w:r w:rsidR="00882131" w:rsidRPr="00882131">
      <w:rPr>
        <w:rFonts w:ascii="Arial" w:hAnsi="Arial" w:cs="Arial"/>
        <w:noProof/>
        <w:sz w:val="18"/>
      </w:rPr>
      <w:drawing>
        <wp:anchor distT="0" distB="0" distL="114300" distR="114300" simplePos="0" relativeHeight="251659776" behindDoc="0" locked="0" layoutInCell="1" allowOverlap="1" wp14:anchorId="61E967F1" wp14:editId="61E967F2">
          <wp:simplePos x="0" y="0"/>
          <wp:positionH relativeFrom="column">
            <wp:posOffset>4838700</wp:posOffset>
          </wp:positionH>
          <wp:positionV relativeFrom="paragraph">
            <wp:posOffset>-93345</wp:posOffset>
          </wp:positionV>
          <wp:extent cx="1290320" cy="419100"/>
          <wp:effectExtent l="19050" t="0" r="5080" b="0"/>
          <wp:wrapSquare wrapText="bothSides"/>
          <wp:docPr id="2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82131">
      <w:rPr>
        <w:rFonts w:ascii="Arial" w:hAnsi="Arial" w:cs="Arial"/>
        <w:sz w:val="18"/>
      </w:rPr>
      <w:t xml:space="preserve">                                       </w:t>
    </w:r>
  </w:p>
  <w:p w14:paraId="61E967E9" w14:textId="73F9EF56" w:rsidR="002F23F8" w:rsidRDefault="00322C73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 C59</w:t>
    </w:r>
    <w:r w:rsidR="00834C02">
      <w:rPr>
        <w:rFonts w:ascii="Arial" w:hAnsi="Arial" w:cs="Arial"/>
        <w:sz w:val="18"/>
      </w:rPr>
      <w:t xml:space="preserve"> Version # 1</w:t>
    </w:r>
  </w:p>
  <w:p w14:paraId="61E967EA" w14:textId="77777777" w:rsidR="002F23F8" w:rsidRDefault="005F2858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14:paraId="61E967EB" w14:textId="77777777" w:rsidR="002F23F8" w:rsidRDefault="002F23F8">
    <w:pPr>
      <w:ind w:left="-1260" w:right="-1260"/>
      <w:rPr>
        <w:b/>
        <w:sz w:val="18"/>
        <w:szCs w:val="26"/>
      </w:rPr>
    </w:pPr>
  </w:p>
  <w:p w14:paraId="61E967EC" w14:textId="77777777" w:rsidR="002F23F8" w:rsidRDefault="002F23F8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967EF" w14:textId="77777777" w:rsidR="002F23F8" w:rsidRDefault="00342B73">
    <w:pPr>
      <w:pStyle w:val="Header"/>
    </w:pPr>
    <w:r>
      <w:rPr>
        <w:noProof/>
      </w:rPr>
      <w:pict w14:anchorId="61E967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7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593353"/>
    <w:multiLevelType w:val="hybridMultilevel"/>
    <w:tmpl w:val="45A099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AC76AF"/>
    <w:multiLevelType w:val="hybridMultilevel"/>
    <w:tmpl w:val="ACEED7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FD4600A"/>
    <w:multiLevelType w:val="hybridMultilevel"/>
    <w:tmpl w:val="5BB22DA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785C63"/>
    <w:multiLevelType w:val="singleLevel"/>
    <w:tmpl w:val="420056A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6" w15:restartNumberingAfterBreak="0">
    <w:nsid w:val="13A679D6"/>
    <w:multiLevelType w:val="singleLevel"/>
    <w:tmpl w:val="821E5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24C602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B4785E"/>
    <w:multiLevelType w:val="singleLevel"/>
    <w:tmpl w:val="EBDCDEBA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B9178E"/>
    <w:multiLevelType w:val="hybridMultilevel"/>
    <w:tmpl w:val="AF26F8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2767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C52EFE"/>
    <w:multiLevelType w:val="hybridMultilevel"/>
    <w:tmpl w:val="0792E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A52C2A"/>
    <w:multiLevelType w:val="hybridMultilevel"/>
    <w:tmpl w:val="88C80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107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0B3C32"/>
    <w:multiLevelType w:val="singleLevel"/>
    <w:tmpl w:val="00A0618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D770960"/>
    <w:multiLevelType w:val="hybridMultilevel"/>
    <w:tmpl w:val="38D0F5B4"/>
    <w:lvl w:ilvl="0" w:tplc="F3FA7D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4D9474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252028"/>
    <w:multiLevelType w:val="hybridMultilevel"/>
    <w:tmpl w:val="1272EB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2A04A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A6A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2B07EE"/>
    <w:multiLevelType w:val="hybridMultilevel"/>
    <w:tmpl w:val="FEDAA4BC"/>
    <w:lvl w:ilvl="0" w:tplc="F3FA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0F0904A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1E19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131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0804D80"/>
    <w:multiLevelType w:val="hybridMultilevel"/>
    <w:tmpl w:val="D94CD8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0A75A3"/>
    <w:multiLevelType w:val="hybridMultilevel"/>
    <w:tmpl w:val="3F02C52A"/>
    <w:lvl w:ilvl="0" w:tplc="FE861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1981DB7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4" w15:restartNumberingAfterBreak="0">
    <w:nsid w:val="74F77A93"/>
    <w:multiLevelType w:val="singleLevel"/>
    <w:tmpl w:val="EB48E0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526746F"/>
    <w:multiLevelType w:val="hybridMultilevel"/>
    <w:tmpl w:val="8356EF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AA1921"/>
    <w:multiLevelType w:val="hybridMultilevel"/>
    <w:tmpl w:val="8EE0C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2F38F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104442"/>
    <w:multiLevelType w:val="singleLevel"/>
    <w:tmpl w:val="735E4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9" w15:restartNumberingAfterBreak="0">
    <w:nsid w:val="7D962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23"/>
  </w:num>
  <w:num w:numId="5">
    <w:abstractNumId w:val="27"/>
  </w:num>
  <w:num w:numId="6">
    <w:abstractNumId w:val="10"/>
  </w:num>
  <w:num w:numId="7">
    <w:abstractNumId w:val="29"/>
  </w:num>
  <w:num w:numId="8">
    <w:abstractNumId w:val="25"/>
  </w:num>
  <w:num w:numId="9">
    <w:abstractNumId w:val="5"/>
  </w:num>
  <w:num w:numId="10">
    <w:abstractNumId w:val="8"/>
  </w:num>
  <w:num w:numId="11">
    <w:abstractNumId w:val="6"/>
  </w:num>
  <w:num w:numId="12">
    <w:abstractNumId w:val="16"/>
  </w:num>
  <w:num w:numId="13">
    <w:abstractNumId w:val="21"/>
  </w:num>
  <w:num w:numId="14">
    <w:abstractNumId w:val="18"/>
  </w:num>
  <w:num w:numId="15">
    <w:abstractNumId w:val="14"/>
  </w:num>
  <w:num w:numId="16">
    <w:abstractNumId w:val="24"/>
  </w:num>
  <w:num w:numId="17">
    <w:abstractNumId w:val="9"/>
  </w:num>
  <w:num w:numId="18">
    <w:abstractNumId w:val="3"/>
  </w:num>
  <w:num w:numId="19">
    <w:abstractNumId w:val="7"/>
  </w:num>
  <w:num w:numId="20">
    <w:abstractNumId w:val="15"/>
  </w:num>
  <w:num w:numId="21">
    <w:abstractNumId w:val="17"/>
  </w:num>
  <w:num w:numId="22">
    <w:abstractNumId w:val="19"/>
  </w:num>
  <w:num w:numId="23">
    <w:abstractNumId w:val="26"/>
  </w:num>
  <w:num w:numId="24">
    <w:abstractNumId w:val="4"/>
  </w:num>
  <w:num w:numId="25">
    <w:abstractNumId w:val="0"/>
  </w:num>
  <w:num w:numId="26">
    <w:abstractNumId w:val="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2"/>
  </w:num>
  <w:num w:numId="3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6"/>
    <w:rsid w:val="00027AA6"/>
    <w:rsid w:val="000E46A3"/>
    <w:rsid w:val="000F1BB6"/>
    <w:rsid w:val="00120BDA"/>
    <w:rsid w:val="0017076C"/>
    <w:rsid w:val="00196466"/>
    <w:rsid w:val="002B7352"/>
    <w:rsid w:val="002F23F8"/>
    <w:rsid w:val="0030174A"/>
    <w:rsid w:val="00316996"/>
    <w:rsid w:val="00322C73"/>
    <w:rsid w:val="00327E25"/>
    <w:rsid w:val="00342B73"/>
    <w:rsid w:val="003B2B96"/>
    <w:rsid w:val="003D056D"/>
    <w:rsid w:val="003D2B66"/>
    <w:rsid w:val="00413C6A"/>
    <w:rsid w:val="00500720"/>
    <w:rsid w:val="00533AEA"/>
    <w:rsid w:val="00557679"/>
    <w:rsid w:val="00576E24"/>
    <w:rsid w:val="005F2858"/>
    <w:rsid w:val="0061563B"/>
    <w:rsid w:val="00652F74"/>
    <w:rsid w:val="00662649"/>
    <w:rsid w:val="006C5586"/>
    <w:rsid w:val="006F6267"/>
    <w:rsid w:val="00720B26"/>
    <w:rsid w:val="007313BA"/>
    <w:rsid w:val="007A2D88"/>
    <w:rsid w:val="00834C02"/>
    <w:rsid w:val="00861449"/>
    <w:rsid w:val="00882131"/>
    <w:rsid w:val="008D4B7D"/>
    <w:rsid w:val="008E33D4"/>
    <w:rsid w:val="009D1E87"/>
    <w:rsid w:val="009F3D90"/>
    <w:rsid w:val="00A10CF8"/>
    <w:rsid w:val="00A24708"/>
    <w:rsid w:val="00A6683A"/>
    <w:rsid w:val="00A85391"/>
    <w:rsid w:val="00AC4650"/>
    <w:rsid w:val="00AF0DD8"/>
    <w:rsid w:val="00B2079E"/>
    <w:rsid w:val="00B76B07"/>
    <w:rsid w:val="00B76ECD"/>
    <w:rsid w:val="00BE4487"/>
    <w:rsid w:val="00C364FD"/>
    <w:rsid w:val="00D90751"/>
    <w:rsid w:val="00EC6B76"/>
    <w:rsid w:val="00EF6C78"/>
    <w:rsid w:val="00F95B30"/>
    <w:rsid w:val="00F962D8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E9661D"/>
  <w15:docId w15:val="{9531E423-E638-4824-8EDA-1CE7F28B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BA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7313BA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7313BA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7313BA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7313BA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7313BA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7313BA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7313BA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7313BA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313BA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313BA"/>
    <w:rPr>
      <w:bCs/>
      <w:iCs/>
      <w:color w:val="000000"/>
    </w:rPr>
  </w:style>
  <w:style w:type="paragraph" w:styleId="Header">
    <w:name w:val="header"/>
    <w:basedOn w:val="Normal"/>
    <w:semiHidden/>
    <w:rsid w:val="007313BA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7313BA"/>
    <w:pPr>
      <w:ind w:left="360" w:hanging="360"/>
    </w:pPr>
  </w:style>
  <w:style w:type="paragraph" w:styleId="Title">
    <w:name w:val="Title"/>
    <w:basedOn w:val="Normal"/>
    <w:qFormat/>
    <w:rsid w:val="007313BA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7313BA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7313B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313BA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7313BA"/>
    <w:pPr>
      <w:numPr>
        <w:numId w:val="0"/>
      </w:numPr>
    </w:pPr>
  </w:style>
  <w:style w:type="paragraph" w:customStyle="1" w:styleId="TableText">
    <w:name w:val="Table Text"/>
    <w:basedOn w:val="Normal"/>
    <w:rsid w:val="007313BA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7313BA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7313BA"/>
    <w:rPr>
      <w:b/>
      <w:color w:val="0000FF"/>
    </w:rPr>
  </w:style>
  <w:style w:type="paragraph" w:styleId="BodyTextIndent">
    <w:name w:val="Body Text Indent"/>
    <w:basedOn w:val="Normal"/>
    <w:semiHidden/>
    <w:rsid w:val="007313BA"/>
    <w:pPr>
      <w:spacing w:after="120"/>
      <w:ind w:left="360"/>
    </w:pPr>
  </w:style>
  <w:style w:type="character" w:styleId="Hyperlink">
    <w:name w:val="Hyperlink"/>
    <w:basedOn w:val="DefaultParagraphFont"/>
    <w:semiHidden/>
    <w:rsid w:val="007313B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313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C55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oag/res/sysmex-cs-2500-system-training-workbook.pdf" TargetMode="External"/><Relationship Id="rId18" Type="http://schemas.openxmlformats.org/officeDocument/2006/relationships/hyperlink" Target="http://khan.childrensmn.org/Manuals/Lab/SOP/Coag/Res/202674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khan.childrensmn.org/Manuals/Lab/SOP/Heme/Res/200727.pdf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rnet.childrenshc.org/References/labsop/coag/res/sysmex-cs-2500-system-training-workbook.pdf" TargetMode="External"/><Relationship Id="rId20" Type="http://schemas.openxmlformats.org/officeDocument/2006/relationships/hyperlink" Target="https://starnet.childrenshc.org/References/labsop/coag/res/sysmex-cs-2500-system-training-workbook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Coag/Res/202640.pdf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starnet.childrenshc.org/References/labsop/coag/res/sysmex-cs-2500-system-training-workbook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khan.childrensmn.org/Manuals/Lab/SOP/Coag/Res/20267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rnet.childrenshc.org/References/labsop/coag/res/sysmex-cs-2500-system-training-workbook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>Approved</WFStatus>
    <Renewal_x0020_Date xmlns="199f0838-75a6-4f0c-9be1-f2c07140bccc">2024-09-19T05:00:00+00:00</Renewal_x0020_Date>
    <Legacy_x0020_Name xmlns="199f0838-75a6-4f0c-9be1-f2c07140bccc">DDI_Testing.doc</Legacy_x0020_Name>
    <Legacy_x0020_Document_x0020_ID xmlns="199f0838-75a6-4f0c-9be1-f2c07140bccc">203340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F6TN54CWY5RS-50183619-50692</_dlc_DocId>
    <_Version xmlns="http://schemas.microsoft.com/sharepoint/v3/fields">6</_Version>
    <Meta_x0020_Tag_x0020_Keywords xmlns="199f0838-75a6-4f0c-9be1-f2c07140bccc" xsi:nil="true"/>
    <CHC_x0020_Approval_x0020_Workflow xmlns="c1848e11-9cf6-4ce4-877e-6837d2c2fa23">
      <Url xsi:nil="true"/>
      <Description xsi:nil="true"/>
    </CHC_x0020_Approval_x0020_Workflow>
    <_dlc_DocIdUrl xmlns="199f0838-75a6-4f0c-9be1-f2c07140bccc">
      <Url>https://vcpsharepoint4.childrenshc.org/references/_layouts/15/DocIdRedir.aspx?ID=F6TN54CWY5RS-50183619-50692</Url>
      <Description>F6TN54CWY5RS-50183619-50692</Description>
    </_dlc_DocIdUrl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Meta_x0020_Page_x0020_Description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COA 1.23 DDI - D-Dimer Testing in Plasma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2015-06-10T17:17:00+00:00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2022-09-19T05:00:00+00:00</Content_x0020_Release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0FD29-EF4E-47C4-AD69-76F7ADBE1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7354E-B975-4945-8A45-7877AC714F46}">
  <ds:schemaRefs>
    <ds:schemaRef ds:uri="http://purl.org/dc/elements/1.1/"/>
    <ds:schemaRef ds:uri="199f0838-75a6-4f0c-9be1-f2c07140bccc"/>
    <ds:schemaRef ds:uri="http://purl.org/dc/dcmitype/"/>
    <ds:schemaRef ds:uri="http://schemas.microsoft.com/office/infopath/2007/PartnerControls"/>
    <ds:schemaRef ds:uri="http://schemas.microsoft.com/sharepoint.v3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c1848e11-9cf6-4ce4-877e-6837d2c2fa23"/>
    <ds:schemaRef ds:uri="http://schemas.microsoft.com/sharepoint/v3/field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9AC51E-2B6D-418F-8124-8226D7CE62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3DE506-DA47-4087-BE50-4A09F819A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2525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17253</CharactersWithSpaces>
  <SharedDoc>false</SharedDoc>
  <HLinks>
    <vt:vector size="24" baseType="variant">
      <vt:variant>
        <vt:i4>2359336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http://khan.childrensmn.org/Manuals/Lab/SOP/Coag/Res/202674.pdf</vt:lpwstr>
      </vt:variant>
      <vt:variant>
        <vt:lpwstr/>
      </vt:variant>
      <vt:variant>
        <vt:i4>2359336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http://khan.childrensmn.org/Manuals/Lab/SOP/Coag/Res/202674.pdf</vt:lpwstr>
      </vt:variant>
      <vt:variant>
        <vt:lpwstr/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http://khan.childrensmn.org/Manuals/Lab/SOP/Heme/Res/200727.pdf</vt:lpwstr>
      </vt:variant>
      <vt:variant>
        <vt:lpwstr/>
      </vt:variant>
      <vt:variant>
        <vt:i4>2555948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http://khan.childrensmn.org/Manuals/Lab/SOP/Coag/Res/202640.pdf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Initial version, CS-5100 application.</dc:description>
  <cp:lastModifiedBy>Allen Quigley</cp:lastModifiedBy>
  <cp:revision>18</cp:revision>
  <cp:lastPrinted>2012-01-10T13:51:00Z</cp:lastPrinted>
  <dcterms:created xsi:type="dcterms:W3CDTF">2022-08-22T16:22:00Z</dcterms:created>
  <dcterms:modified xsi:type="dcterms:W3CDTF">2022-08-24T18:17:00Z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5dda6b17-d31c-428a-b99c-74f03027442b</vt:lpwstr>
  </property>
  <property fmtid="{D5CDD505-2E9C-101B-9397-08002B2CF9AE}" pid="4" name="WorkflowChangePath">
    <vt:lpwstr>85493ae8-44a3-4172-9f61-0b2d9e19d9ef,25;a8d28c1c-6954-4ce7-8b3c-93c4392a3501,30;</vt:lpwstr>
  </property>
</Properties>
</file>