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A31474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74" w:rsidRDefault="00A31474">
            <w:pPr>
              <w:pStyle w:val="BodyText"/>
              <w:rPr>
                <w:rFonts w:ascii="Arial" w:hAnsi="Arial" w:cs="Arial"/>
                <w:sz w:val="24"/>
              </w:rPr>
            </w:pPr>
          </w:p>
          <w:p w:rsidR="00A31474" w:rsidRDefault="00664A28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Radiation Safety</w:t>
            </w:r>
          </w:p>
          <w:p w:rsidR="00A31474" w:rsidRDefault="00A31474">
            <w:pPr>
              <w:pStyle w:val="BodyText"/>
              <w:rPr>
                <w:rFonts w:ascii="Arial" w:hAnsi="Arial" w:cs="Arial"/>
              </w:rPr>
            </w:pPr>
          </w:p>
        </w:tc>
      </w:tr>
      <w:tr w:rsidR="00A31474" w:rsidTr="001037CC">
        <w:trPr>
          <w:cantSplit/>
          <w:trHeight w:val="71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474" w:rsidRDefault="00A31474" w:rsidP="001037C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A31474" w:rsidRDefault="00A31474" w:rsidP="001037C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474" w:rsidRDefault="00A31474" w:rsidP="0038435D">
            <w:pPr>
              <w:jc w:val="left"/>
              <w:rPr>
                <w:rFonts w:ascii="Arial" w:hAnsi="Arial" w:cs="Arial"/>
                <w:sz w:val="20"/>
              </w:rPr>
            </w:pPr>
          </w:p>
          <w:p w:rsidR="00A31474" w:rsidRPr="00E86FD5" w:rsidRDefault="00A31474" w:rsidP="003843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provides guidance for </w:t>
            </w:r>
            <w:r w:rsidR="00664A28">
              <w:rPr>
                <w:rFonts w:ascii="Arial" w:hAnsi="Arial" w:cs="Arial"/>
                <w:sz w:val="20"/>
              </w:rPr>
              <w:t>RADIATION SAFETY</w:t>
            </w:r>
            <w:r w:rsidR="009B5025">
              <w:rPr>
                <w:rFonts w:ascii="Arial" w:hAnsi="Arial" w:cs="Arial"/>
                <w:sz w:val="20"/>
              </w:rPr>
              <w:t>.</w:t>
            </w:r>
          </w:p>
        </w:tc>
      </w:tr>
      <w:tr w:rsidR="00A31474" w:rsidTr="001037CC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474" w:rsidRDefault="00A31474" w:rsidP="001037CC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A31474" w:rsidRDefault="00A31474" w:rsidP="001037CC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A31474" w:rsidRDefault="00A31474" w:rsidP="001037CC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474" w:rsidRDefault="00A31474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  <w:p w:rsidR="00121A8E" w:rsidRDefault="00813F70" w:rsidP="00121A8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r</w:t>
            </w:r>
            <w:r w:rsidR="00121A8E">
              <w:rPr>
                <w:rFonts w:ascii="Arial" w:hAnsi="Arial" w:cs="Arial"/>
                <w:sz w:val="20"/>
              </w:rPr>
              <w:t>adiation exposure</w:t>
            </w:r>
            <w:r w:rsidR="00323830">
              <w:rPr>
                <w:rFonts w:ascii="Arial" w:hAnsi="Arial" w:cs="Arial"/>
                <w:sz w:val="20"/>
              </w:rPr>
              <w:t xml:space="preserve"> to laboratory staff</w:t>
            </w:r>
            <w:r w:rsidR="00121A8E">
              <w:rPr>
                <w:rFonts w:ascii="Arial" w:hAnsi="Arial" w:cs="Arial"/>
                <w:sz w:val="20"/>
              </w:rPr>
              <w:t xml:space="preserve"> “as low as reasonably achievable” (ALARA)</w:t>
            </w:r>
            <w:r w:rsidR="00EF47D7">
              <w:rPr>
                <w:rFonts w:ascii="Arial" w:hAnsi="Arial" w:cs="Arial"/>
                <w:sz w:val="20"/>
              </w:rPr>
              <w:t>.</w:t>
            </w:r>
          </w:p>
          <w:p w:rsidR="00121A8E" w:rsidRPr="00664A28" w:rsidRDefault="00121A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86FD5" w:rsidTr="001037C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7D7" w:rsidRDefault="00EF47D7" w:rsidP="001037CC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86FD5" w:rsidRDefault="000F587B" w:rsidP="001037CC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Radioactive sources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35D" w:rsidRDefault="0038435D" w:rsidP="0038435D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E86FD5" w:rsidRDefault="001F14CF" w:rsidP="0038435D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Blood </w:t>
            </w:r>
            <w:r w:rsidR="002504C4">
              <w:rPr>
                <w:rFonts w:ascii="Arial" w:hAnsi="Arial" w:cs="Arial"/>
                <w:sz w:val="20"/>
              </w:rPr>
              <w:t>i</w:t>
            </w:r>
            <w:r w:rsidR="00E86FD5">
              <w:rPr>
                <w:rFonts w:ascii="Arial" w:hAnsi="Arial" w:cs="Arial"/>
                <w:sz w:val="20"/>
              </w:rPr>
              <w:t>rradiator</w:t>
            </w:r>
            <w:r>
              <w:rPr>
                <w:rFonts w:ascii="Arial" w:hAnsi="Arial" w:cs="Arial"/>
                <w:sz w:val="20"/>
              </w:rPr>
              <w:t xml:space="preserve"> instruments</w:t>
            </w:r>
          </w:p>
          <w:p w:rsidR="00977A85" w:rsidRPr="00977A85" w:rsidRDefault="00977A85" w:rsidP="0038435D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4470">
              <w:rPr>
                <w:rFonts w:ascii="Arial" w:hAnsi="Arial" w:cs="Arial"/>
                <w:sz w:val="20"/>
                <w:szCs w:val="20"/>
              </w:rPr>
              <w:t xml:space="preserve">Radioactive treatment sources </w:t>
            </w:r>
            <w:r w:rsidR="002504C4">
              <w:rPr>
                <w:rFonts w:ascii="Arial" w:hAnsi="Arial" w:cs="Arial"/>
                <w:sz w:val="20"/>
                <w:szCs w:val="20"/>
              </w:rPr>
              <w:t>–</w:t>
            </w:r>
            <w:r w:rsidRPr="00F04470">
              <w:rPr>
                <w:rFonts w:ascii="Arial" w:hAnsi="Arial" w:cs="Arial"/>
                <w:sz w:val="20"/>
                <w:szCs w:val="20"/>
              </w:rPr>
              <w:t xml:space="preserve"> radioactive material placed in the body near tumor cells </w:t>
            </w:r>
            <w:r>
              <w:rPr>
                <w:rFonts w:ascii="Arial" w:hAnsi="Arial" w:cs="Arial"/>
                <w:sz w:val="20"/>
                <w:szCs w:val="20"/>
              </w:rPr>
              <w:t xml:space="preserve">(brachytherapy) </w:t>
            </w:r>
            <w:r w:rsidRPr="00F04470">
              <w:rPr>
                <w:rFonts w:ascii="Arial" w:hAnsi="Arial" w:cs="Arial"/>
                <w:sz w:val="20"/>
                <w:szCs w:val="20"/>
              </w:rPr>
              <w:t>or injected into the bloodstream</w:t>
            </w:r>
          </w:p>
          <w:p w:rsidR="000F587B" w:rsidRDefault="00661463" w:rsidP="0038435D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Radioactive p</w:t>
            </w:r>
            <w:r w:rsidR="00F03B39">
              <w:rPr>
                <w:rFonts w:ascii="Arial" w:hAnsi="Arial" w:cs="Arial"/>
                <w:sz w:val="20"/>
              </w:rPr>
              <w:t>atient samples – patients receiving radioactive substances for treatment generally have low levels of radioactivity</w:t>
            </w:r>
            <w:r w:rsidR="00706F9E">
              <w:rPr>
                <w:rFonts w:ascii="Arial" w:hAnsi="Arial" w:cs="Arial"/>
                <w:sz w:val="20"/>
              </w:rPr>
              <w:t xml:space="preserve">. </w:t>
            </w:r>
            <w:r w:rsidR="000F587B">
              <w:rPr>
                <w:rFonts w:ascii="Arial" w:hAnsi="Arial" w:cs="Arial"/>
                <w:sz w:val="20"/>
              </w:rPr>
              <w:t>Excretion of radioactive substances occurs mainly through urine, saliva and perspiration.  Therefore, higher levels of radiation are detected in these samples, the most being urine and blood.</w:t>
            </w:r>
          </w:p>
          <w:p w:rsidR="00706F9E" w:rsidRDefault="00706F9E" w:rsidP="00706F9E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0F587B" w:rsidRDefault="00407E0A" w:rsidP="0038435D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Nuclear Regulatory Commission (NRC) has determined the risk to be low in these s</w:t>
            </w:r>
            <w:r w:rsidR="00121A8E">
              <w:rPr>
                <w:rFonts w:ascii="Arial" w:hAnsi="Arial" w:cs="Arial"/>
                <w:sz w:val="20"/>
              </w:rPr>
              <w:t>ample</w:t>
            </w:r>
            <w:r>
              <w:rPr>
                <w:rFonts w:ascii="Arial" w:hAnsi="Arial" w:cs="Arial"/>
                <w:sz w:val="20"/>
              </w:rPr>
              <w:t xml:space="preserve">s.  </w:t>
            </w:r>
            <w:r w:rsidR="000F587B">
              <w:rPr>
                <w:rFonts w:ascii="Arial" w:hAnsi="Arial" w:cs="Arial"/>
                <w:sz w:val="20"/>
              </w:rPr>
              <w:t>Although, r</w:t>
            </w:r>
            <w:r>
              <w:rPr>
                <w:rFonts w:ascii="Arial" w:hAnsi="Arial" w:cs="Arial"/>
                <w:sz w:val="20"/>
              </w:rPr>
              <w:t>adioactivity may be detected</w:t>
            </w:r>
            <w:r w:rsidR="00121A8E">
              <w:rPr>
                <w:rFonts w:ascii="Arial" w:hAnsi="Arial" w:cs="Arial"/>
                <w:sz w:val="20"/>
              </w:rPr>
              <w:t xml:space="preserve"> in these samples</w:t>
            </w:r>
            <w:r>
              <w:rPr>
                <w:rFonts w:ascii="Arial" w:hAnsi="Arial" w:cs="Arial"/>
                <w:sz w:val="20"/>
              </w:rPr>
              <w:t>, the radiation dose is insignificant.</w:t>
            </w:r>
          </w:p>
          <w:p w:rsidR="00CA1C34" w:rsidRDefault="00CA1C34" w:rsidP="0038435D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1ED7" w:rsidTr="001037C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7D7" w:rsidRDefault="00EF47D7" w:rsidP="001037CC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0B1ED7" w:rsidRDefault="008E7C28" w:rsidP="001037CC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Radiation </w:t>
            </w:r>
            <w:r w:rsidR="00121A8E">
              <w:rPr>
                <w:rFonts w:ascii="Arial" w:hAnsi="Arial" w:cs="Arial"/>
                <w:b/>
                <w:color w:val="0000FF"/>
              </w:rPr>
              <w:t>Safety Practices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07D" w:rsidRDefault="00F6507D" w:rsidP="00F6507D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121A8E" w:rsidRDefault="00121A8E" w:rsidP="003339FF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Distance – Increasing distance from a source of radiation</w:t>
            </w:r>
            <w:r w:rsidR="00D66E89">
              <w:rPr>
                <w:rFonts w:ascii="Arial" w:hAnsi="Arial" w:cs="Arial"/>
                <w:sz w:val="20"/>
              </w:rPr>
              <w:t xml:space="preserve"> may reduce </w:t>
            </w:r>
            <w:r w:rsidR="008E7C28">
              <w:rPr>
                <w:rFonts w:ascii="Arial" w:hAnsi="Arial" w:cs="Arial"/>
                <w:sz w:val="20"/>
              </w:rPr>
              <w:t xml:space="preserve">radiation exposure </w:t>
            </w:r>
            <w:r w:rsidR="00D66E89">
              <w:rPr>
                <w:rFonts w:ascii="Arial" w:hAnsi="Arial" w:cs="Arial"/>
                <w:sz w:val="20"/>
              </w:rPr>
              <w:t>by several fold</w:t>
            </w:r>
            <w:r w:rsidR="003F10B7">
              <w:rPr>
                <w:rFonts w:ascii="Arial" w:hAnsi="Arial" w:cs="Arial"/>
                <w:sz w:val="20"/>
              </w:rPr>
              <w:t>; doubling the distance from a radiation source results in just ¼ of the exposure in the same amount of time</w:t>
            </w:r>
          </w:p>
          <w:p w:rsidR="008E7C28" w:rsidRDefault="008E7C28" w:rsidP="003339FF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Irradiator</w:t>
            </w:r>
            <w:r w:rsidR="003F10B7">
              <w:rPr>
                <w:rFonts w:ascii="Arial" w:hAnsi="Arial" w:cs="Arial"/>
                <w:sz w:val="20"/>
              </w:rPr>
              <w:t xml:space="preserve"> instrument is</w:t>
            </w:r>
            <w:r>
              <w:rPr>
                <w:rFonts w:ascii="Arial" w:hAnsi="Arial" w:cs="Arial"/>
                <w:sz w:val="20"/>
              </w:rPr>
              <w:t xml:space="preserve"> located in separate room away from staff</w:t>
            </w:r>
          </w:p>
          <w:p w:rsidR="001F14CF" w:rsidRDefault="001F14CF" w:rsidP="001F14CF">
            <w:pPr>
              <w:numPr>
                <w:ilvl w:val="2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Irradiator room has </w:t>
            </w:r>
            <w:r w:rsidR="009D5D83">
              <w:rPr>
                <w:rFonts w:ascii="Arial" w:hAnsi="Arial" w:cs="Arial"/>
                <w:sz w:val="20"/>
              </w:rPr>
              <w:t>restricted</w:t>
            </w:r>
            <w:r>
              <w:rPr>
                <w:rFonts w:ascii="Arial" w:hAnsi="Arial" w:cs="Arial"/>
                <w:sz w:val="20"/>
              </w:rPr>
              <w:t xml:space="preserve"> access and is under constant surveillance</w:t>
            </w:r>
          </w:p>
          <w:p w:rsidR="008E7C28" w:rsidRDefault="008E7C28" w:rsidP="003339FF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remote handling devices such as forceps, tongs, and tube racks to minimize direct contact with sources and containers</w:t>
            </w:r>
            <w:r w:rsidR="00DC0D64">
              <w:rPr>
                <w:rFonts w:ascii="Arial" w:hAnsi="Arial" w:cs="Arial"/>
                <w:sz w:val="20"/>
              </w:rPr>
              <w:t xml:space="preserve"> (histology grossing table, autopsy)</w:t>
            </w:r>
          </w:p>
          <w:p w:rsidR="00D66E89" w:rsidRDefault="00D66E89" w:rsidP="003339FF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– Radiation exposure is directly proportional to exposure time.  Reducing time near sources of radiation will minimize radiation exposure</w:t>
            </w:r>
          </w:p>
          <w:p w:rsidR="000F587B" w:rsidRDefault="00D66E89" w:rsidP="001F14CF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Shielding </w:t>
            </w:r>
            <w:r w:rsidR="0085258D">
              <w:rPr>
                <w:rFonts w:ascii="Arial" w:hAnsi="Arial" w:cs="Arial"/>
                <w:sz w:val="20"/>
              </w:rPr>
              <w:t>– Placing material</w:t>
            </w:r>
            <w:r w:rsidR="000F587B">
              <w:rPr>
                <w:rFonts w:ascii="Arial" w:hAnsi="Arial" w:cs="Arial"/>
                <w:sz w:val="20"/>
              </w:rPr>
              <w:t>, such as lead,</w:t>
            </w:r>
            <w:r w:rsidR="0085258D">
              <w:rPr>
                <w:rFonts w:ascii="Arial" w:hAnsi="Arial" w:cs="Arial"/>
                <w:sz w:val="20"/>
              </w:rPr>
              <w:t xml:space="preserve"> between a radiation source</w:t>
            </w:r>
            <w:r w:rsidR="001800FA">
              <w:rPr>
                <w:rFonts w:ascii="Arial" w:hAnsi="Arial" w:cs="Arial"/>
                <w:sz w:val="20"/>
              </w:rPr>
              <w:t xml:space="preserve"> (</w:t>
            </w:r>
            <w:r w:rsidR="001F14CF">
              <w:rPr>
                <w:rFonts w:ascii="Arial" w:hAnsi="Arial" w:cs="Arial"/>
                <w:sz w:val="20"/>
              </w:rPr>
              <w:t>blood irradiator</w:t>
            </w:r>
            <w:r w:rsidR="00DC0D64">
              <w:rPr>
                <w:rFonts w:ascii="Arial" w:hAnsi="Arial" w:cs="Arial"/>
                <w:sz w:val="20"/>
              </w:rPr>
              <w:t>)</w:t>
            </w:r>
            <w:r w:rsidR="000F587B">
              <w:rPr>
                <w:rFonts w:ascii="Arial" w:hAnsi="Arial" w:cs="Arial"/>
                <w:sz w:val="20"/>
              </w:rPr>
              <w:t xml:space="preserve"> and a person to be protected can reduce radiation exposure significantly.</w:t>
            </w:r>
          </w:p>
          <w:p w:rsidR="00AA7670" w:rsidRDefault="00EF47D7" w:rsidP="001F14CF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Protective Equipment (</w:t>
            </w:r>
            <w:r w:rsidR="00AA7670">
              <w:rPr>
                <w:rFonts w:ascii="Arial" w:hAnsi="Arial" w:cs="Arial"/>
                <w:sz w:val="20"/>
              </w:rPr>
              <w:t>PPE</w:t>
            </w:r>
            <w:r>
              <w:rPr>
                <w:rFonts w:ascii="Arial" w:hAnsi="Arial" w:cs="Arial"/>
                <w:sz w:val="20"/>
              </w:rPr>
              <w:t>)</w:t>
            </w:r>
            <w:r w:rsidR="00AA7670">
              <w:rPr>
                <w:rFonts w:ascii="Arial" w:hAnsi="Arial" w:cs="Arial"/>
                <w:sz w:val="20"/>
              </w:rPr>
              <w:t xml:space="preserve"> – Lab coat; gloves; safety</w:t>
            </w:r>
            <w:r w:rsidR="00977A85">
              <w:rPr>
                <w:rFonts w:ascii="Arial" w:hAnsi="Arial" w:cs="Arial"/>
                <w:sz w:val="20"/>
              </w:rPr>
              <w:t xml:space="preserve"> eyewear or</w:t>
            </w:r>
            <w:r w:rsidR="00AA7670">
              <w:rPr>
                <w:rFonts w:ascii="Arial" w:hAnsi="Arial" w:cs="Arial"/>
                <w:sz w:val="20"/>
              </w:rPr>
              <w:t xml:space="preserve"> goggles if sprays or splashes are likely to occur </w:t>
            </w:r>
          </w:p>
          <w:p w:rsidR="00BE40B4" w:rsidRDefault="00BE40B4" w:rsidP="001F14C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63253" w:rsidTr="001037C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253" w:rsidRDefault="009D5D83" w:rsidP="001037CC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Safety </w:t>
            </w:r>
            <w:r w:rsidR="00163253">
              <w:rPr>
                <w:rFonts w:ascii="Arial" w:hAnsi="Arial" w:cs="Arial"/>
                <w:b/>
                <w:color w:val="0000FF"/>
              </w:rPr>
              <w:t>Signs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FC8" w:rsidRDefault="00780FC8" w:rsidP="00780FC8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3339FF" w:rsidRDefault="00163253" w:rsidP="003339FF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areas or rooms where radioactive materials are being used or stored will </w:t>
            </w:r>
            <w:r w:rsidR="003339FF">
              <w:rPr>
                <w:rFonts w:ascii="Arial" w:hAnsi="Arial" w:cs="Arial"/>
                <w:sz w:val="20"/>
              </w:rPr>
              <w:t xml:space="preserve">have a </w:t>
            </w:r>
            <w:r>
              <w:rPr>
                <w:rFonts w:ascii="Arial" w:hAnsi="Arial" w:cs="Arial"/>
                <w:sz w:val="20"/>
              </w:rPr>
              <w:t>post</w:t>
            </w:r>
            <w:r w:rsidR="003339FF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39FF">
              <w:rPr>
                <w:rFonts w:ascii="Arial" w:hAnsi="Arial" w:cs="Arial"/>
                <w:sz w:val="20"/>
              </w:rPr>
              <w:t>door sign bearing the radiation caution symbol and the words “Caution, Radioactive Materials</w:t>
            </w:r>
            <w:r w:rsidR="00323830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63253" w:rsidRDefault="003339FF" w:rsidP="003339FF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“Notice to Employees”</w:t>
            </w:r>
            <w:r w:rsidR="00323830">
              <w:rPr>
                <w:rFonts w:ascii="Arial" w:hAnsi="Arial" w:cs="Arial"/>
                <w:sz w:val="20"/>
              </w:rPr>
              <w:t xml:space="preserve"> (NRC Form 3)</w:t>
            </w:r>
            <w:r>
              <w:rPr>
                <w:rFonts w:ascii="Arial" w:hAnsi="Arial" w:cs="Arial"/>
                <w:sz w:val="20"/>
              </w:rPr>
              <w:t xml:space="preserve"> from the Minnesota Department of Health will be posted in close proximity to the radiation area</w:t>
            </w:r>
            <w:r w:rsidR="00163253">
              <w:rPr>
                <w:rFonts w:ascii="Arial" w:hAnsi="Arial" w:cs="Arial"/>
                <w:sz w:val="20"/>
              </w:rPr>
              <w:t xml:space="preserve">    </w:t>
            </w:r>
          </w:p>
          <w:p w:rsidR="00163253" w:rsidRDefault="0016325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504C4" w:rsidTr="00F13BFE">
        <w:trPr>
          <w:cantSplit/>
          <w:trHeight w:val="71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BFE" w:rsidRDefault="00F13BFE" w:rsidP="00F13BFE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504C4" w:rsidRDefault="002504C4" w:rsidP="00F13BFE">
            <w:pPr>
              <w:jc w:val="left"/>
              <w:rPr>
                <w:rFonts w:ascii="Arial" w:hAnsi="Arial" w:cs="Arial"/>
                <w:b/>
                <w:color w:val="0000FF"/>
              </w:rPr>
            </w:pPr>
            <w:r w:rsidRPr="00026D97">
              <w:rPr>
                <w:rFonts w:ascii="Arial" w:hAnsi="Arial" w:cs="Arial"/>
                <w:b/>
                <w:color w:val="0000FF"/>
              </w:rPr>
              <w:t>Radiation Survey</w:t>
            </w:r>
            <w:r w:rsidR="00185638" w:rsidRPr="00026D97">
              <w:rPr>
                <w:rFonts w:ascii="Arial" w:hAnsi="Arial" w:cs="Arial"/>
                <w:b/>
                <w:color w:val="0000FF"/>
              </w:rPr>
              <w:t xml:space="preserve"> &amp; Monitoring</w:t>
            </w:r>
            <w:r w:rsidR="009D5D83">
              <w:rPr>
                <w:rFonts w:ascii="Arial" w:hAnsi="Arial" w:cs="Arial"/>
                <w:b/>
                <w:color w:val="0000FF"/>
              </w:rPr>
              <w:t xml:space="preserve"> </w:t>
            </w:r>
          </w:p>
          <w:p w:rsidR="009D5D83" w:rsidRDefault="009D5D83" w:rsidP="00F13BFE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D97" w:rsidRDefault="00026D97" w:rsidP="009D5D83">
            <w:pPr>
              <w:jc w:val="left"/>
              <w:rPr>
                <w:rFonts w:ascii="Arial" w:hAnsi="Arial" w:cs="Arial"/>
                <w:sz w:val="20"/>
              </w:rPr>
            </w:pPr>
          </w:p>
          <w:p w:rsidR="00185638" w:rsidRPr="0038435D" w:rsidRDefault="002504C4" w:rsidP="00F13BFE">
            <w:pPr>
              <w:numPr>
                <w:ilvl w:val="0"/>
                <w:numId w:val="25"/>
              </w:numPr>
              <w:ind w:left="342" w:hanging="342"/>
              <w:jc w:val="left"/>
              <w:rPr>
                <w:rFonts w:ascii="Arial" w:hAnsi="Arial" w:cs="Arial"/>
                <w:sz w:val="20"/>
              </w:rPr>
            </w:pPr>
            <w:r w:rsidRPr="0038435D">
              <w:rPr>
                <w:rFonts w:ascii="Arial" w:hAnsi="Arial" w:cs="Arial"/>
                <w:sz w:val="20"/>
              </w:rPr>
              <w:t xml:space="preserve">Irradiators are surveyed </w:t>
            </w:r>
            <w:r w:rsidR="00EF47D7" w:rsidRPr="0038435D">
              <w:rPr>
                <w:rFonts w:ascii="Arial" w:hAnsi="Arial" w:cs="Arial"/>
                <w:sz w:val="20"/>
              </w:rPr>
              <w:t>semiannually</w:t>
            </w:r>
            <w:r w:rsidRPr="0038435D">
              <w:rPr>
                <w:rFonts w:ascii="Arial" w:hAnsi="Arial" w:cs="Arial"/>
                <w:sz w:val="20"/>
              </w:rPr>
              <w:t xml:space="preserve"> for leakage and external contamination</w:t>
            </w:r>
            <w:r w:rsidR="00185638" w:rsidRPr="0038435D">
              <w:rPr>
                <w:rFonts w:ascii="Arial" w:hAnsi="Arial" w:cs="Arial"/>
                <w:sz w:val="20"/>
              </w:rPr>
              <w:t xml:space="preserve"> and before and after maintenance</w:t>
            </w:r>
            <w:r w:rsidR="00026D97" w:rsidRPr="0038435D">
              <w:rPr>
                <w:rFonts w:ascii="Arial" w:hAnsi="Arial" w:cs="Arial"/>
                <w:sz w:val="20"/>
              </w:rPr>
              <w:t>.</w:t>
            </w:r>
          </w:p>
        </w:tc>
      </w:tr>
      <w:tr w:rsidR="00CE044F" w:rsidTr="00F13BFE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7D7" w:rsidRDefault="00EF47D7" w:rsidP="00F13BFE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CE044F" w:rsidRDefault="00CE044F" w:rsidP="00F13BFE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Radioactive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FF"/>
              </w:rPr>
              <w:t>exposure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D97" w:rsidRDefault="00026D97" w:rsidP="00026D97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:rsidR="00CE044F" w:rsidRDefault="00CE044F" w:rsidP="009D5D83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Notify </w:t>
            </w:r>
            <w:r w:rsidR="00CE5B4F">
              <w:rPr>
                <w:rFonts w:ascii="Arial" w:hAnsi="Arial" w:cs="Arial"/>
                <w:sz w:val="20"/>
              </w:rPr>
              <w:t xml:space="preserve">the </w:t>
            </w:r>
            <w:r w:rsidR="009D5D83" w:rsidRPr="0038435D">
              <w:rPr>
                <w:rFonts w:ascii="Arial" w:hAnsi="Arial" w:cs="Arial"/>
                <w:sz w:val="20"/>
              </w:rPr>
              <w:t>histology</w:t>
            </w:r>
            <w:r w:rsidR="009D5D83">
              <w:rPr>
                <w:rFonts w:ascii="Arial" w:hAnsi="Arial" w:cs="Arial"/>
                <w:sz w:val="20"/>
              </w:rPr>
              <w:t xml:space="preserve"> pathology assistant or section technical specialist</w:t>
            </w:r>
            <w:r w:rsidR="009E336C">
              <w:rPr>
                <w:rFonts w:ascii="Arial" w:hAnsi="Arial" w:cs="Arial"/>
                <w:sz w:val="20"/>
              </w:rPr>
              <w:t xml:space="preserve">, </w:t>
            </w:r>
            <w:r w:rsidR="009E336C" w:rsidRPr="00A70AFF">
              <w:rPr>
                <w:rFonts w:ascii="Arial" w:hAnsi="Arial" w:cs="Arial"/>
                <w:b/>
                <w:sz w:val="20"/>
              </w:rPr>
              <w:t>and</w:t>
            </w:r>
            <w:r w:rsidR="009E336C">
              <w:rPr>
                <w:rFonts w:ascii="Arial" w:hAnsi="Arial" w:cs="Arial"/>
                <w:sz w:val="20"/>
              </w:rPr>
              <w:t xml:space="preserve"> </w:t>
            </w:r>
            <w:r w:rsidR="00CE5B4F">
              <w:rPr>
                <w:rFonts w:ascii="Arial" w:hAnsi="Arial" w:cs="Arial"/>
                <w:sz w:val="20"/>
              </w:rPr>
              <w:t>Children’s radiation safety officer</w:t>
            </w:r>
            <w:r w:rsidR="00A70AF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A70AFF">
              <w:rPr>
                <w:rFonts w:ascii="Arial" w:hAnsi="Arial" w:cs="Arial"/>
                <w:sz w:val="20"/>
              </w:rPr>
              <w:t>Dr</w:t>
            </w:r>
            <w:proofErr w:type="spellEnd"/>
            <w:r w:rsidR="00A70AFF">
              <w:rPr>
                <w:rFonts w:ascii="Arial" w:hAnsi="Arial" w:cs="Arial"/>
                <w:sz w:val="20"/>
              </w:rPr>
              <w:t xml:space="preserve"> William Mize (pager: 651-629-3595), if a radioactive exposure occurs.</w:t>
            </w:r>
          </w:p>
          <w:p w:rsidR="00A70AFF" w:rsidRDefault="009D5D83" w:rsidP="009D5D83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an Employee Incident Report</w:t>
            </w:r>
          </w:p>
          <w:p w:rsidR="009D5D83" w:rsidRDefault="00780FC8" w:rsidP="009D5D83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hyperlink r:id="rId7" w:history="1">
              <w:r w:rsidR="009D5D83" w:rsidRPr="00D64475">
                <w:rPr>
                  <w:rStyle w:val="Hyperlink"/>
                  <w:rFonts w:ascii="Arial" w:hAnsi="Arial" w:cs="Arial"/>
                  <w:sz w:val="20"/>
                </w:rPr>
                <w:t>http://khan.childrensmn.org/forms/EmployeeIncident/</w:t>
              </w:r>
              <w:r w:rsidR="009D5D83" w:rsidRPr="00D64475">
                <w:rPr>
                  <w:rStyle w:val="Hyperlink"/>
                  <w:rFonts w:ascii="Arial" w:hAnsi="Arial" w:cs="Arial"/>
                  <w:sz w:val="20"/>
                </w:rPr>
                <w:t>E</w:t>
              </w:r>
              <w:r w:rsidR="009D5D83" w:rsidRPr="00D64475">
                <w:rPr>
                  <w:rStyle w:val="Hyperlink"/>
                  <w:rFonts w:ascii="Arial" w:hAnsi="Arial" w:cs="Arial"/>
                  <w:sz w:val="20"/>
                </w:rPr>
                <w:t>mployeeIncident.asp</w:t>
              </w:r>
            </w:hyperlink>
          </w:p>
          <w:p w:rsidR="009D5D83" w:rsidRDefault="009D5D83" w:rsidP="00CE5B4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1474" w:rsidTr="00F13B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1474" w:rsidRDefault="00A31474" w:rsidP="00F13BFE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  <w:p w:rsidR="00A31474" w:rsidRDefault="00A31474" w:rsidP="00F13BFE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D97" w:rsidRDefault="00026D97" w:rsidP="00CA1C34">
            <w:pPr>
              <w:rPr>
                <w:rFonts w:ascii="Arial" w:hAnsi="Arial"/>
                <w:sz w:val="20"/>
                <w:szCs w:val="20"/>
              </w:rPr>
            </w:pPr>
          </w:p>
          <w:p w:rsidR="00664A28" w:rsidRDefault="00780FC8" w:rsidP="00CA1C34">
            <w:pPr>
              <w:rPr>
                <w:rFonts w:ascii="Arial" w:hAnsi="Arial"/>
                <w:sz w:val="20"/>
                <w:szCs w:val="20"/>
              </w:rPr>
            </w:pPr>
            <w:hyperlink r:id="rId8" w:history="1"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TS 17.21 IBL 437C Blood Irradiator Function </w:t>
              </w:r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V</w:t>
              </w:r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erification and Maintenance</w:t>
              </w:r>
            </w:hyperlink>
          </w:p>
          <w:p w:rsidR="00542D0B" w:rsidRDefault="00780FC8" w:rsidP="00CA1C34">
            <w:pPr>
              <w:rPr>
                <w:rFonts w:ascii="Arial" w:hAnsi="Arial"/>
                <w:sz w:val="20"/>
                <w:szCs w:val="20"/>
              </w:rPr>
            </w:pPr>
            <w:hyperlink r:id="rId9" w:history="1"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TS 17.22 JL Shepherd 143 Blood Irradia</w:t>
              </w:r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t</w:t>
              </w:r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or Function Verification and Maintenance</w:t>
              </w:r>
            </w:hyperlink>
          </w:p>
          <w:p w:rsidR="00A31474" w:rsidRPr="00542D0B" w:rsidRDefault="00780FC8" w:rsidP="00542D0B">
            <w:pPr>
              <w:rPr>
                <w:rFonts w:ascii="Arial" w:hAnsi="Arial"/>
                <w:sz w:val="20"/>
                <w:szCs w:val="20"/>
              </w:rPr>
            </w:pPr>
            <w:hyperlink r:id="rId10" w:history="1"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HI 1.19 Handling of Tissues that may Contain Radio</w:t>
              </w:r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a</w:t>
              </w:r>
              <w:r w:rsidR="00542D0B" w:rsidRPr="00542D0B">
                <w:rPr>
                  <w:rStyle w:val="Hyperlink"/>
                  <w:rFonts w:ascii="Arial" w:hAnsi="Arial"/>
                  <w:sz w:val="20"/>
                  <w:szCs w:val="20"/>
                </w:rPr>
                <w:t>ctive Material</w:t>
              </w:r>
            </w:hyperlink>
          </w:p>
          <w:p w:rsidR="00A31474" w:rsidRDefault="00A3147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1474" w:rsidTr="00F13B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:rsidR="00A31474" w:rsidRDefault="00A31474" w:rsidP="00F13BF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31474" w:rsidRDefault="00A31474" w:rsidP="00F13BFE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2BA5" w:rsidRDefault="00692BA5" w:rsidP="00692BA5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31474" w:rsidRDefault="00661463" w:rsidP="00CA1C34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Nuclear Regulatory Commission (NRC). </w:t>
            </w:r>
            <w:hyperlink r:id="rId11" w:history="1">
              <w:r w:rsidRPr="00D64475">
                <w:rPr>
                  <w:rStyle w:val="Hyperlink"/>
                  <w:rFonts w:ascii="Arial" w:hAnsi="Arial" w:cs="Arial"/>
                  <w:iCs/>
                  <w:sz w:val="20"/>
                </w:rPr>
                <w:t>http://www.nrc.gov/</w:t>
              </w:r>
            </w:hyperlink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661463" w:rsidRDefault="00E072BE" w:rsidP="00CA1C34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Safety and Health Standards. CFR1910</w:t>
            </w:r>
            <w:r>
              <w:rPr>
                <w:rFonts w:ascii="Arial" w:hAnsi="Arial" w:cs="Arial"/>
                <w:iCs/>
                <w:sz w:val="20"/>
              </w:rPr>
              <w:t>.1096 Ionizing Radiation</w:t>
            </w:r>
          </w:p>
          <w:p w:rsidR="00E072BE" w:rsidRDefault="00E072BE" w:rsidP="00CA1C34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CLSI. Clinical Laboratory Safety; Approved Guideline – Third Edition. CLSI document</w:t>
            </w:r>
          </w:p>
          <w:p w:rsidR="00E072BE" w:rsidRDefault="00E072BE" w:rsidP="00CA1C34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GP17-A3. Clinical and Laboratory Standards Institute, Wayne, PA; 2012.</w:t>
            </w:r>
          </w:p>
          <w:p w:rsidR="00A31474" w:rsidRDefault="00A3147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A314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74" w:rsidRDefault="00A3147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A314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474" w:rsidRDefault="00A31474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A314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A31474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A31474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A31474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31474" w:rsidTr="00664A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A31474" w:rsidRDefault="00A3147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A314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8B28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664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07/01/2003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4" w:rsidRDefault="00A31474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664A28" w:rsidTr="00EF47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664A28" w:rsidRDefault="00664A2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28" w:rsidRDefault="00664A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28" w:rsidRDefault="00664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28" w:rsidRDefault="00542D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10/31/2014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28" w:rsidRDefault="00664A2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</w:t>
            </w:r>
            <w:r w:rsidR="004D1F90">
              <w:rPr>
                <w:rFonts w:ascii="Arial" w:hAnsi="Arial" w:cs="Arial"/>
                <w:iCs/>
                <w:sz w:val="20"/>
              </w:rPr>
              <w:t>ted to CMS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9C2B3A" w:rsidRDefault="009C2B3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SA 4.3.</w:t>
            </w:r>
          </w:p>
          <w:p w:rsidR="009C2B3A" w:rsidRDefault="009C2B3A" w:rsidP="009C2B3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‘Radioactive Sources’ section.</w:t>
            </w:r>
          </w:p>
          <w:p w:rsidR="009C2B3A" w:rsidRDefault="009C2B3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‘Radiation Safety Practices section.</w:t>
            </w:r>
          </w:p>
          <w:p w:rsidR="002504C4" w:rsidRDefault="002504C4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</w:t>
            </w:r>
            <w:r w:rsidR="009C2B3A">
              <w:rPr>
                <w:rFonts w:ascii="Arial" w:hAnsi="Arial" w:cs="Arial"/>
                <w:iCs/>
                <w:sz w:val="20"/>
              </w:rPr>
              <w:t xml:space="preserve">Safety </w:t>
            </w:r>
            <w:r>
              <w:rPr>
                <w:rFonts w:ascii="Arial" w:hAnsi="Arial" w:cs="Arial"/>
                <w:iCs/>
                <w:sz w:val="20"/>
              </w:rPr>
              <w:t>Signs’ section.</w:t>
            </w:r>
          </w:p>
          <w:p w:rsidR="009C2B3A" w:rsidRDefault="009C2B3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‘Radiation Survey and Monitoring’ section.</w:t>
            </w:r>
          </w:p>
          <w:p w:rsidR="009C2B3A" w:rsidRDefault="009C2B3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‘Radioactive Exposure’ section.</w:t>
            </w:r>
          </w:p>
          <w:p w:rsidR="00664A28" w:rsidRDefault="00664A2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TS &amp; HI policy references.</w:t>
            </w:r>
          </w:p>
          <w:p w:rsidR="00664A28" w:rsidRDefault="00664A2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‘Reference</w:t>
            </w:r>
            <w:r w:rsidR="004D1F90">
              <w:rPr>
                <w:rFonts w:ascii="Arial" w:hAnsi="Arial" w:cs="Arial"/>
                <w:iCs/>
                <w:sz w:val="20"/>
              </w:rPr>
              <w:t>s</w:t>
            </w:r>
            <w:r>
              <w:rPr>
                <w:rFonts w:ascii="Arial" w:hAnsi="Arial" w:cs="Arial"/>
                <w:iCs/>
                <w:sz w:val="20"/>
              </w:rPr>
              <w:t>’ section.</w:t>
            </w:r>
          </w:p>
        </w:tc>
      </w:tr>
      <w:tr w:rsidR="00EF47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EF47D7" w:rsidRDefault="00EF47D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7" w:rsidRDefault="00EF47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7" w:rsidRDefault="00EF47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7" w:rsidRDefault="00EF47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06/28/2017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D7" w:rsidRDefault="00EF47D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Modified language from ‘every 6 months’ to ‘semiannually’ to align with Transfusion Service procedures.</w:t>
            </w:r>
          </w:p>
        </w:tc>
      </w:tr>
    </w:tbl>
    <w:p w:rsidR="00A31474" w:rsidRDefault="00A31474">
      <w:pPr>
        <w:rPr>
          <w:rFonts w:ascii="Arial" w:hAnsi="Arial" w:cs="Arial"/>
        </w:rPr>
      </w:pPr>
    </w:p>
    <w:sectPr w:rsidR="00A31474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17" w:rsidRDefault="00496A17">
      <w:r>
        <w:separator/>
      </w:r>
    </w:p>
  </w:endnote>
  <w:endnote w:type="continuationSeparator" w:id="0">
    <w:p w:rsidR="00496A17" w:rsidRDefault="0049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D7" w:rsidRDefault="00EF4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7D7" w:rsidRDefault="00EF47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D7" w:rsidRDefault="00EF47D7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</w:p>
  <w:p w:rsidR="00EF47D7" w:rsidRDefault="00EF47D7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F13BFE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F13BFE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17" w:rsidRDefault="00496A17">
      <w:r>
        <w:separator/>
      </w:r>
    </w:p>
  </w:footnote>
  <w:footnote w:type="continuationSeparator" w:id="0">
    <w:p w:rsidR="00496A17" w:rsidRDefault="0049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D7" w:rsidRPr="00664A28" w:rsidRDefault="00EF47D7" w:rsidP="00664A28">
    <w:pPr>
      <w:ind w:left="-720"/>
      <w:rPr>
        <w:rFonts w:ascii="Arial" w:hAnsi="Arial" w:cs="Arial"/>
        <w:bCs/>
        <w:iCs/>
        <w:noProof/>
        <w:sz w:val="18"/>
      </w:rPr>
    </w:pPr>
    <w:r>
      <w:rPr>
        <w:rFonts w:ascii="Arial" w:hAnsi="Arial" w:cs="Arial"/>
        <w:bCs/>
        <w:iCs/>
        <w:noProof/>
        <w:sz w:val="18"/>
      </w:rPr>
      <w:t>SA 9.01 Radiation Safety</w:t>
    </w:r>
    <w:r>
      <w:rPr>
        <w:rFonts w:ascii="Arial" w:hAnsi="Arial" w:cs="Arial"/>
        <w:bCs/>
        <w:sz w:val="18"/>
      </w:rPr>
      <w:t xml:space="preserve"> 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 w:rsidR="0038435D">
      <w:rPr>
        <w:rFonts w:ascii="Helvetica" w:hAnsi="Helvetica" w:cs="Helvetica"/>
        <w:noProof/>
        <w:color w:val="4C5CC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2.5pt;height:26.25pt;visibility:visible">
          <v:imagedata r:id="rId1" o:title="SM-Childrens-logo_2016"/>
        </v:shape>
      </w:pict>
    </w:r>
  </w:p>
  <w:p w:rsidR="00EF47D7" w:rsidRDefault="00EF47D7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3</w:t>
    </w:r>
  </w:p>
  <w:p w:rsidR="00EF47D7" w:rsidRPr="00EF47D7" w:rsidRDefault="00EF47D7" w:rsidP="00EF47D7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>Effective Date: 06/28/2017</w:t>
    </w:r>
    <w:r w:rsidR="00780FC8">
      <w:rPr>
        <w:b/>
        <w:noProof/>
        <w:sz w:val="20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88.25pt;margin-top:122.5pt;width:269.15pt;height:180.7pt;rotation:-1927729fd;z-index:251657728;mso-position-horizontal-relative:text;mso-position-vertical-relative:text">
          <v:shadow on="t"/>
          <v:textpath style="font-family:&quot;Arial Black&quot;;v-text-kern:t" trim="t" fitpath="t" string="&#10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C7FBC"/>
    <w:multiLevelType w:val="hybridMultilevel"/>
    <w:tmpl w:val="6BB8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61F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11D"/>
    <w:multiLevelType w:val="hybridMultilevel"/>
    <w:tmpl w:val="6BB8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3F2"/>
    <w:multiLevelType w:val="hybridMultilevel"/>
    <w:tmpl w:val="FB464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97439"/>
    <w:multiLevelType w:val="hybridMultilevel"/>
    <w:tmpl w:val="8DA0D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5789"/>
    <w:multiLevelType w:val="multilevel"/>
    <w:tmpl w:val="C40E0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E01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5E4445"/>
    <w:multiLevelType w:val="hybridMultilevel"/>
    <w:tmpl w:val="D130C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63215"/>
    <w:multiLevelType w:val="hybridMultilevel"/>
    <w:tmpl w:val="2260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92D9D"/>
    <w:multiLevelType w:val="hybridMultilevel"/>
    <w:tmpl w:val="54AE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3"/>
  </w:num>
  <w:num w:numId="4">
    <w:abstractNumId w:val="3"/>
  </w:num>
  <w:num w:numId="5">
    <w:abstractNumId w:val="1"/>
  </w:num>
  <w:num w:numId="6">
    <w:abstractNumId w:val="15"/>
  </w:num>
  <w:num w:numId="7">
    <w:abstractNumId w:val="5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22"/>
  </w:num>
  <w:num w:numId="15">
    <w:abstractNumId w:val="7"/>
  </w:num>
  <w:num w:numId="16">
    <w:abstractNumId w:val="16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9"/>
  </w:num>
  <w:num w:numId="22">
    <w:abstractNumId w:val="20"/>
  </w:num>
  <w:num w:numId="23">
    <w:abstractNumId w:val="1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5122">
      <o:colormenu v:ext="edit" stroke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1E"/>
    <w:rsid w:val="00026D97"/>
    <w:rsid w:val="000B1ED7"/>
    <w:rsid w:val="000F587B"/>
    <w:rsid w:val="001037CC"/>
    <w:rsid w:val="00121A8E"/>
    <w:rsid w:val="00163253"/>
    <w:rsid w:val="001800FA"/>
    <w:rsid w:val="00185638"/>
    <w:rsid w:val="001F14CF"/>
    <w:rsid w:val="002504C4"/>
    <w:rsid w:val="0026331E"/>
    <w:rsid w:val="002F684C"/>
    <w:rsid w:val="00323830"/>
    <w:rsid w:val="003339FF"/>
    <w:rsid w:val="0038435D"/>
    <w:rsid w:val="003A45EC"/>
    <w:rsid w:val="003F10B7"/>
    <w:rsid w:val="00407E0A"/>
    <w:rsid w:val="00486AE7"/>
    <w:rsid w:val="00496A17"/>
    <w:rsid w:val="004A5142"/>
    <w:rsid w:val="004D1F90"/>
    <w:rsid w:val="00542D0B"/>
    <w:rsid w:val="005F228C"/>
    <w:rsid w:val="00661463"/>
    <w:rsid w:val="00664A28"/>
    <w:rsid w:val="00692BA5"/>
    <w:rsid w:val="00706F9E"/>
    <w:rsid w:val="00780FC8"/>
    <w:rsid w:val="00813F70"/>
    <w:rsid w:val="0085258D"/>
    <w:rsid w:val="008B28D3"/>
    <w:rsid w:val="008E7C28"/>
    <w:rsid w:val="00977A85"/>
    <w:rsid w:val="009B5025"/>
    <w:rsid w:val="009C2B3A"/>
    <w:rsid w:val="009D5D83"/>
    <w:rsid w:val="009E336C"/>
    <w:rsid w:val="00A31474"/>
    <w:rsid w:val="00A66000"/>
    <w:rsid w:val="00A70AFF"/>
    <w:rsid w:val="00AA7670"/>
    <w:rsid w:val="00AC654E"/>
    <w:rsid w:val="00B37F6D"/>
    <w:rsid w:val="00BE40B4"/>
    <w:rsid w:val="00CA1C34"/>
    <w:rsid w:val="00CE044F"/>
    <w:rsid w:val="00CE5B4F"/>
    <w:rsid w:val="00D66E89"/>
    <w:rsid w:val="00DC0D64"/>
    <w:rsid w:val="00E072BE"/>
    <w:rsid w:val="00E86FD5"/>
    <w:rsid w:val="00EE74A4"/>
    <w:rsid w:val="00EF47D7"/>
    <w:rsid w:val="00F03B39"/>
    <w:rsid w:val="00F04470"/>
    <w:rsid w:val="00F13BFE"/>
    <w:rsid w:val="00F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gray"/>
    </o:shapedefaults>
    <o:shapelayout v:ext="edit">
      <o:idmap v:ext="edit" data="1"/>
    </o:shapelayout>
  </w:shapeDefaults>
  <w:decimalSymbol w:val="."/>
  <w:listSeparator w:val=","/>
  <w15:docId w15:val="{84256534-D8DA-42D5-8751-7E2BE3B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customStyle="1" w:styleId="Sec2Hdr1">
    <w:name w:val="Sec2 Hdr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A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TS/Equip/202469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forms/EmployeeIncident/EmployeeIncident.as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c.g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Lab/SOP/HIS/CytProc/1845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TS/Equip/202470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4185</CharactersWithSpaces>
  <SharedDoc>false</SharedDoc>
  <HLinks>
    <vt:vector size="30" baseType="variant"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http://www.nrc.gov/</vt:lpwstr>
      </vt:variant>
      <vt:variant>
        <vt:lpwstr/>
      </vt:variant>
      <vt:variant>
        <vt:i4>7405674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http://khan.childrensmn.org/Manuals/Lab/SOP/HIS/CytProc/184555.pdf</vt:lpwstr>
      </vt:variant>
      <vt:variant>
        <vt:lpwstr/>
      </vt:variant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http://khan.childrensmn.org/Manuals/Lab/SOP/TS/Equip/202470.pdf</vt:lpwstr>
      </vt:variant>
      <vt:variant>
        <vt:lpwstr/>
      </vt:variant>
      <vt:variant>
        <vt:i4>4128812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http://khan.childrensmn.org/Manuals/Lab/SOP/TS/Equip/202469.pdf</vt:lpwstr>
      </vt:variant>
      <vt:variant>
        <vt:lpwstr/>
      </vt:variant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http://khan.childrensmn.org/forms/EmployeeIncident/EmployeeIncident.asp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dc:description/>
  <cp:lastModifiedBy>Andrew Fangel</cp:lastModifiedBy>
  <cp:revision>1</cp:revision>
  <cp:lastPrinted>2014-08-21T21:14:00Z</cp:lastPrinted>
  <dcterms:created xsi:type="dcterms:W3CDTF">2017-07-10T22:28:00Z</dcterms:created>
  <dcterms:modified xsi:type="dcterms:W3CDTF">2020-06-10T18:44:00Z</dcterms:modified>
</cp:coreProperties>
</file>