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700"/>
        <w:gridCol w:w="1620"/>
        <w:gridCol w:w="3600"/>
      </w:tblGrid>
      <w:tr w:rsidR="001174C5">
        <w:trPr>
          <w:cantSplit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BodyText"/>
              <w:rPr>
                <w:rFonts w:ascii="Arial" w:hAnsi="Arial" w:cs="Arial"/>
                <w:sz w:val="24"/>
              </w:rPr>
            </w:pPr>
          </w:p>
          <w:p w:rsidR="001174C5" w:rsidRPr="0055341B" w:rsidRDefault="001F2B42">
            <w:pPr>
              <w:pStyle w:val="BodyText"/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</w:pPr>
            <w:r w:rsidRPr="0055341B">
              <w:rPr>
                <w:rFonts w:ascii="Arial" w:hAnsi="Arial" w:cs="Arial"/>
                <w:b/>
                <w:bCs w:val="0"/>
                <w:color w:val="0000FF"/>
                <w:sz w:val="36"/>
                <w:szCs w:val="36"/>
              </w:rPr>
              <w:t>Ultraviolet Light Safety</w:t>
            </w:r>
          </w:p>
          <w:p w:rsidR="001174C5" w:rsidRDefault="001174C5">
            <w:pPr>
              <w:pStyle w:val="BodyText"/>
              <w:rPr>
                <w:rFonts w:ascii="Arial" w:hAnsi="Arial" w:cs="Arial"/>
              </w:rPr>
            </w:pPr>
          </w:p>
        </w:tc>
      </w:tr>
      <w:tr w:rsidR="001174C5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Purpose</w:t>
            </w:r>
          </w:p>
          <w:p w:rsidR="001174C5" w:rsidRDefault="001174C5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  <w:p w:rsidR="001F2B42" w:rsidRPr="001F2B42" w:rsidRDefault="001F2B42" w:rsidP="00253D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 provide information and guidelines for the safe use of Ultraviolet</w:t>
            </w:r>
            <w:r w:rsidR="00435C52">
              <w:rPr>
                <w:rFonts w:ascii="Arial" w:hAnsi="Arial"/>
              </w:rPr>
              <w:t xml:space="preserve"> (UV)</w:t>
            </w:r>
            <w:r>
              <w:rPr>
                <w:rFonts w:ascii="Arial" w:hAnsi="Arial"/>
              </w:rPr>
              <w:t xml:space="preserve"> Light to protect the health of laboratory staff using or potentially exposed </w:t>
            </w:r>
            <w:r w:rsidR="00435C52">
              <w:rPr>
                <w:rFonts w:ascii="Arial" w:hAnsi="Arial"/>
              </w:rPr>
              <w:t xml:space="preserve">to UV </w:t>
            </w:r>
            <w:r w:rsidR="00D5596D">
              <w:rPr>
                <w:rFonts w:ascii="Arial" w:hAnsi="Arial"/>
              </w:rPr>
              <w:t>radiation</w:t>
            </w:r>
            <w:r w:rsidR="00435C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during their work activities.</w:t>
            </w:r>
          </w:p>
          <w:p w:rsidR="001174C5" w:rsidRDefault="001174C5" w:rsidP="00253D1D">
            <w:pPr>
              <w:jc w:val="left"/>
              <w:rPr>
                <w:rFonts w:ascii="Arial" w:hAnsi="Arial" w:cs="Arial"/>
                <w:iCs/>
                <w:color w:val="0000FF"/>
                <w:sz w:val="20"/>
              </w:rPr>
            </w:pPr>
          </w:p>
        </w:tc>
      </w:tr>
      <w:tr w:rsidR="001F2B42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F3C4A" w:rsidRDefault="00FF3C4A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1F2B42" w:rsidRDefault="001F2B42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Scope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3C4A" w:rsidRDefault="00FF3C4A" w:rsidP="00FF3C4A">
            <w:pPr>
              <w:jc w:val="left"/>
              <w:rPr>
                <w:rFonts w:ascii="Arial" w:hAnsi="Arial" w:cs="Arial"/>
                <w:szCs w:val="22"/>
              </w:rPr>
            </w:pPr>
          </w:p>
          <w:p w:rsidR="001F2B42" w:rsidRDefault="001F2B42" w:rsidP="00FF3C4A">
            <w:pPr>
              <w:jc w:val="left"/>
              <w:rPr>
                <w:rFonts w:ascii="Arial" w:hAnsi="Arial" w:cs="Arial"/>
                <w:szCs w:val="22"/>
              </w:rPr>
            </w:pPr>
            <w:r w:rsidRPr="001F2B42">
              <w:rPr>
                <w:rFonts w:ascii="Arial" w:hAnsi="Arial" w:cs="Arial"/>
                <w:szCs w:val="22"/>
              </w:rPr>
              <w:t xml:space="preserve">This </w:t>
            </w:r>
            <w:r>
              <w:rPr>
                <w:rFonts w:ascii="Arial" w:hAnsi="Arial" w:cs="Arial"/>
                <w:szCs w:val="22"/>
              </w:rPr>
              <w:t xml:space="preserve">policy applies to laboratory staff involved </w:t>
            </w:r>
            <w:r w:rsidR="00FF3C4A">
              <w:rPr>
                <w:rFonts w:ascii="Arial" w:hAnsi="Arial" w:cs="Arial"/>
                <w:szCs w:val="22"/>
              </w:rPr>
              <w:t xml:space="preserve">in </w:t>
            </w:r>
            <w:r>
              <w:rPr>
                <w:rFonts w:ascii="Arial" w:hAnsi="Arial" w:cs="Arial"/>
                <w:szCs w:val="22"/>
              </w:rPr>
              <w:t xml:space="preserve">activities where exposure to </w:t>
            </w:r>
            <w:r w:rsidR="00435C52">
              <w:rPr>
                <w:rFonts w:ascii="Arial" w:hAnsi="Arial" w:cs="Arial"/>
                <w:szCs w:val="22"/>
              </w:rPr>
              <w:t>UV</w:t>
            </w:r>
            <w:r w:rsidR="0062394F">
              <w:rPr>
                <w:rFonts w:ascii="Arial" w:hAnsi="Arial" w:cs="Arial"/>
                <w:szCs w:val="22"/>
              </w:rPr>
              <w:t xml:space="preserve"> </w:t>
            </w:r>
            <w:r w:rsidR="00D5596D">
              <w:rPr>
                <w:rFonts w:ascii="Arial" w:hAnsi="Arial" w:cs="Arial"/>
                <w:szCs w:val="22"/>
              </w:rPr>
              <w:t>radiation</w:t>
            </w:r>
            <w:r w:rsidR="00E07881">
              <w:rPr>
                <w:rFonts w:ascii="Arial" w:hAnsi="Arial" w:cs="Arial"/>
                <w:szCs w:val="22"/>
              </w:rPr>
              <w:t xml:space="preserve"> is possible.</w:t>
            </w:r>
          </w:p>
          <w:p w:rsidR="00FF3C4A" w:rsidRPr="001F2B42" w:rsidRDefault="00FF3C4A" w:rsidP="00FF3C4A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53D1D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F3C4A" w:rsidRDefault="00FF3C4A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62394F" w:rsidRDefault="0062394F" w:rsidP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Sources 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D1D" w:rsidRDefault="00253D1D">
            <w:pPr>
              <w:jc w:val="left"/>
              <w:rPr>
                <w:rFonts w:ascii="Arial" w:hAnsi="Arial" w:cs="Arial"/>
                <w:sz w:val="20"/>
              </w:rPr>
            </w:pPr>
          </w:p>
          <w:p w:rsidR="0062394F" w:rsidRPr="002F1AB4" w:rsidRDefault="0062394F">
            <w:pPr>
              <w:jc w:val="left"/>
              <w:rPr>
                <w:rFonts w:ascii="Arial" w:hAnsi="Arial" w:cs="Arial"/>
                <w:szCs w:val="22"/>
              </w:rPr>
            </w:pPr>
            <w:r w:rsidRPr="002F1AB4">
              <w:rPr>
                <w:rFonts w:ascii="Arial" w:hAnsi="Arial" w:cs="Arial"/>
                <w:szCs w:val="22"/>
              </w:rPr>
              <w:t xml:space="preserve">Sources of UV </w:t>
            </w:r>
            <w:r w:rsidR="00D5596D">
              <w:rPr>
                <w:rFonts w:ascii="Arial" w:hAnsi="Arial" w:cs="Arial"/>
                <w:szCs w:val="22"/>
              </w:rPr>
              <w:t xml:space="preserve">light in the laboratory include </w:t>
            </w:r>
            <w:r w:rsidR="00F07354" w:rsidRPr="002F1AB4">
              <w:rPr>
                <w:rFonts w:ascii="Arial" w:hAnsi="Arial" w:cs="Arial"/>
                <w:szCs w:val="22"/>
              </w:rPr>
              <w:t>germicidal lamps in biological safety cabinets</w:t>
            </w:r>
            <w:r w:rsidR="00F07354">
              <w:rPr>
                <w:rFonts w:ascii="Arial" w:hAnsi="Arial" w:cs="Arial"/>
                <w:szCs w:val="22"/>
              </w:rPr>
              <w:t xml:space="preserve"> </w:t>
            </w:r>
            <w:r w:rsidR="00F07354" w:rsidRPr="002F1AB4">
              <w:rPr>
                <w:rFonts w:ascii="Arial" w:hAnsi="Arial" w:cs="Arial"/>
                <w:szCs w:val="22"/>
              </w:rPr>
              <w:t>(BSC)</w:t>
            </w:r>
            <w:r w:rsidR="00C4211A">
              <w:rPr>
                <w:rFonts w:ascii="Arial" w:hAnsi="Arial" w:cs="Arial"/>
                <w:szCs w:val="22"/>
              </w:rPr>
              <w:t xml:space="preserve"> in Molecular </w:t>
            </w:r>
            <w:r w:rsidR="00D5596D">
              <w:rPr>
                <w:rFonts w:ascii="Arial" w:hAnsi="Arial" w:cs="Arial"/>
                <w:szCs w:val="22"/>
              </w:rPr>
              <w:t>and the</w:t>
            </w:r>
            <w:r w:rsidR="00C4211A">
              <w:rPr>
                <w:rFonts w:ascii="Arial" w:hAnsi="Arial" w:cs="Arial"/>
                <w:szCs w:val="22"/>
              </w:rPr>
              <w:t xml:space="preserve"> UV</w:t>
            </w:r>
            <w:r w:rsidR="00D5596D">
              <w:rPr>
                <w:rFonts w:ascii="Arial" w:hAnsi="Arial" w:cs="Arial"/>
                <w:szCs w:val="22"/>
              </w:rPr>
              <w:t xml:space="preserve"> lamp in Histology.</w:t>
            </w:r>
          </w:p>
          <w:p w:rsidR="0062394F" w:rsidRDefault="0062394F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07354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07354" w:rsidRDefault="00F0735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F07354" w:rsidRDefault="00F07354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Hazards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54" w:rsidRDefault="00F07354">
            <w:pPr>
              <w:jc w:val="left"/>
              <w:rPr>
                <w:rFonts w:ascii="Arial" w:hAnsi="Arial" w:cs="Arial"/>
                <w:sz w:val="20"/>
              </w:rPr>
            </w:pPr>
          </w:p>
          <w:p w:rsidR="00F07354" w:rsidRDefault="00F07354">
            <w:pPr>
              <w:jc w:val="left"/>
              <w:rPr>
                <w:rFonts w:ascii="Arial" w:hAnsi="Arial" w:cs="Arial"/>
                <w:szCs w:val="22"/>
              </w:rPr>
            </w:pPr>
            <w:r w:rsidRPr="00A80B75">
              <w:rPr>
                <w:rFonts w:ascii="Arial" w:hAnsi="Arial" w:cs="Arial"/>
                <w:szCs w:val="22"/>
              </w:rPr>
              <w:t xml:space="preserve">There are no immediate warning symptoms to indicate overexposure to UV </w:t>
            </w:r>
            <w:r w:rsidR="002F567A">
              <w:rPr>
                <w:rFonts w:ascii="Arial" w:hAnsi="Arial" w:cs="Arial"/>
                <w:szCs w:val="22"/>
              </w:rPr>
              <w:t>radiation</w:t>
            </w:r>
            <w:r w:rsidRPr="00A80B75">
              <w:rPr>
                <w:rFonts w:ascii="Arial" w:hAnsi="Arial" w:cs="Arial"/>
                <w:szCs w:val="22"/>
              </w:rPr>
              <w:t>.</w:t>
            </w:r>
          </w:p>
          <w:p w:rsidR="006B5150" w:rsidRDefault="00652F74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UV </w:t>
            </w:r>
            <w:r w:rsidR="002F567A">
              <w:rPr>
                <w:rFonts w:ascii="Arial" w:hAnsi="Arial" w:cs="Arial"/>
                <w:szCs w:val="22"/>
              </w:rPr>
              <w:t>radiation</w:t>
            </w:r>
            <w:r>
              <w:rPr>
                <w:rFonts w:ascii="Arial" w:hAnsi="Arial" w:cs="Arial"/>
                <w:szCs w:val="22"/>
              </w:rPr>
              <w:t xml:space="preserve"> generated by laboratory equipment can exceed recommended exposure limits and cause injury with exposures as brief as three seconds in duration.</w:t>
            </w:r>
          </w:p>
          <w:p w:rsidR="00652F74" w:rsidRPr="00A80B75" w:rsidRDefault="00652F74">
            <w:pPr>
              <w:jc w:val="left"/>
              <w:rPr>
                <w:rFonts w:ascii="Arial" w:hAnsi="Arial" w:cs="Arial"/>
                <w:szCs w:val="22"/>
              </w:rPr>
            </w:pPr>
          </w:p>
          <w:p w:rsidR="00AB0752" w:rsidRPr="00A80B75" w:rsidRDefault="006B5150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Adverse health effects that may occur to the eye</w:t>
            </w:r>
            <w:r w:rsidR="00CC1433">
              <w:rPr>
                <w:rFonts w:ascii="Arial" w:hAnsi="Arial" w:cs="Arial"/>
                <w:szCs w:val="22"/>
              </w:rPr>
              <w:t>s</w:t>
            </w:r>
            <w:r>
              <w:rPr>
                <w:rFonts w:ascii="Arial" w:hAnsi="Arial" w:cs="Arial"/>
                <w:szCs w:val="22"/>
              </w:rPr>
              <w:t xml:space="preserve"> or skin include erythema (sunburn), photokeratitis (a feeling of sand in the eyes), retinal burns, cataracts, melanoma, and skin cancer.</w:t>
            </w:r>
          </w:p>
          <w:p w:rsidR="00F07354" w:rsidRDefault="00F07354" w:rsidP="006B5150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2394F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394F" w:rsidRDefault="0062394F" w:rsidP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62394F" w:rsidRDefault="0062394F" w:rsidP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Guidelines to Minimize Exposure</w:t>
            </w:r>
          </w:p>
          <w:p w:rsidR="0062394F" w:rsidRDefault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AB4" w:rsidRDefault="002F1AB4">
            <w:pPr>
              <w:jc w:val="left"/>
              <w:rPr>
                <w:rFonts w:ascii="Arial" w:hAnsi="Arial" w:cs="Arial"/>
                <w:color w:val="333333"/>
                <w:szCs w:val="22"/>
              </w:rPr>
            </w:pPr>
          </w:p>
          <w:p w:rsidR="00694BD4" w:rsidRPr="00D405F4" w:rsidRDefault="00694BD4" w:rsidP="00694BD4">
            <w:pPr>
              <w:pStyle w:val="Default"/>
              <w:numPr>
                <w:ilvl w:val="0"/>
                <w:numId w:val="22"/>
              </w:numPr>
              <w:spacing w:after="3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Do not expose eyes and skin to direct UV light.</w:t>
            </w:r>
            <w:r w:rsidR="00652F74"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 UV </w:t>
            </w:r>
            <w:r w:rsidR="002F567A">
              <w:rPr>
                <w:rFonts w:ascii="Arial" w:hAnsi="Arial" w:cs="Arial"/>
                <w:color w:val="auto"/>
                <w:sz w:val="22"/>
                <w:szCs w:val="22"/>
              </w:rPr>
              <w:t>radiation</w:t>
            </w:r>
            <w:r w:rsidR="00652F74"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 generated by the germicidal UV lamp in the BSC </w:t>
            </w:r>
            <w:r w:rsidR="00D5596D">
              <w:rPr>
                <w:rFonts w:ascii="Arial" w:hAnsi="Arial" w:cs="Arial"/>
                <w:color w:val="auto"/>
                <w:sz w:val="22"/>
                <w:szCs w:val="22"/>
              </w:rPr>
              <w:t xml:space="preserve">and the </w:t>
            </w:r>
            <w:r w:rsidR="00C4211A">
              <w:rPr>
                <w:rFonts w:ascii="Arial" w:hAnsi="Arial" w:cs="Arial"/>
                <w:color w:val="auto"/>
                <w:sz w:val="22"/>
                <w:szCs w:val="22"/>
              </w:rPr>
              <w:t xml:space="preserve">UV </w:t>
            </w:r>
            <w:r w:rsidR="00D5596D">
              <w:rPr>
                <w:rFonts w:ascii="Arial" w:hAnsi="Arial" w:cs="Arial"/>
                <w:color w:val="auto"/>
                <w:sz w:val="22"/>
                <w:szCs w:val="22"/>
              </w:rPr>
              <w:t xml:space="preserve">lamp </w:t>
            </w:r>
            <w:r w:rsidR="00C4211A">
              <w:rPr>
                <w:rFonts w:ascii="Arial" w:hAnsi="Arial" w:cs="Arial"/>
                <w:color w:val="auto"/>
                <w:sz w:val="22"/>
                <w:szCs w:val="22"/>
              </w:rPr>
              <w:t xml:space="preserve">in Histology </w:t>
            </w:r>
            <w:r w:rsidR="00652F74" w:rsidRPr="00D405F4">
              <w:rPr>
                <w:rFonts w:ascii="Arial" w:hAnsi="Arial" w:cs="Arial"/>
                <w:color w:val="auto"/>
                <w:sz w:val="22"/>
                <w:szCs w:val="22"/>
              </w:rPr>
              <w:t>can cause injury with only a few seconds of exposure.</w:t>
            </w:r>
          </w:p>
          <w:p w:rsidR="00694BD4" w:rsidRPr="00D405F4" w:rsidRDefault="00694BD4" w:rsidP="00694BD4">
            <w:pPr>
              <w:pStyle w:val="Default"/>
              <w:numPr>
                <w:ilvl w:val="0"/>
                <w:numId w:val="22"/>
              </w:numPr>
              <w:spacing w:after="3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Do not look directly at UV light.</w:t>
            </w:r>
          </w:p>
          <w:p w:rsidR="00694BD4" w:rsidRPr="00D405F4" w:rsidRDefault="00694BD4" w:rsidP="00694BD4">
            <w:pPr>
              <w:pStyle w:val="Default"/>
              <w:numPr>
                <w:ilvl w:val="0"/>
                <w:numId w:val="22"/>
              </w:numPr>
              <w:spacing w:after="3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Wear protective goggles (ANSI Z87.1 – 1989 UV certification).</w:t>
            </w:r>
          </w:p>
          <w:p w:rsidR="00694BD4" w:rsidRPr="00D405F4" w:rsidRDefault="00694BD4" w:rsidP="00694BD4">
            <w:pPr>
              <w:pStyle w:val="Default"/>
              <w:spacing w:after="33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Ordinary eyeglasses do not block UV light.</w:t>
            </w:r>
          </w:p>
          <w:p w:rsidR="00652F74" w:rsidRPr="00D405F4" w:rsidRDefault="00652F74" w:rsidP="00652F74">
            <w:pPr>
              <w:pStyle w:val="Default"/>
              <w:numPr>
                <w:ilvl w:val="0"/>
                <w:numId w:val="23"/>
              </w:numPr>
              <w:spacing w:after="3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Wear a fully buttoned lab coat</w:t>
            </w:r>
            <w:r w:rsidR="002F567A">
              <w:rPr>
                <w:rFonts w:ascii="Arial" w:hAnsi="Arial" w:cs="Arial"/>
                <w:color w:val="auto"/>
                <w:sz w:val="22"/>
                <w:szCs w:val="22"/>
              </w:rPr>
              <w:t xml:space="preserve"> and gloves</w:t>
            </w: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 if there is potential for skin exposure.</w:t>
            </w:r>
          </w:p>
          <w:p w:rsidR="00652F74" w:rsidRPr="00D405F4" w:rsidRDefault="00652F74" w:rsidP="00CC1433">
            <w:pPr>
              <w:pStyle w:val="Default"/>
              <w:numPr>
                <w:ilvl w:val="0"/>
                <w:numId w:val="23"/>
              </w:numPr>
              <w:spacing w:after="3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Keep the BSC sash closed when </w:t>
            </w:r>
            <w:r w:rsidR="00CC1433"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the </w:t>
            </w: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germicidal </w:t>
            </w:r>
            <w:r w:rsidR="002F567A">
              <w:rPr>
                <w:rFonts w:ascii="Arial" w:hAnsi="Arial" w:cs="Arial"/>
                <w:color w:val="auto"/>
                <w:sz w:val="22"/>
                <w:szCs w:val="22"/>
              </w:rPr>
              <w:t xml:space="preserve">UV </w:t>
            </w: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lamp is in use.</w:t>
            </w:r>
            <w:r w:rsidR="00CC1433"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 xml:space="preserve">Never work in a BSC while the germicidal </w:t>
            </w:r>
            <w:r w:rsidR="002F567A">
              <w:rPr>
                <w:rFonts w:ascii="Arial" w:hAnsi="Arial" w:cs="Arial"/>
                <w:color w:val="auto"/>
                <w:sz w:val="22"/>
                <w:szCs w:val="22"/>
              </w:rPr>
              <w:t xml:space="preserve">UV </w:t>
            </w:r>
            <w:r w:rsidRPr="00D405F4">
              <w:rPr>
                <w:rFonts w:ascii="Arial" w:hAnsi="Arial" w:cs="Arial"/>
                <w:color w:val="auto"/>
                <w:sz w:val="22"/>
                <w:szCs w:val="22"/>
              </w:rPr>
              <w:t>lamp is on.</w:t>
            </w:r>
          </w:p>
          <w:p w:rsidR="002F1AB4" w:rsidRDefault="002F1AB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35C52">
        <w:trPr>
          <w:cantSplit/>
          <w:trHeight w:val="23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5C52" w:rsidRDefault="00435C52" w:rsidP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</w:p>
          <w:p w:rsidR="00435C52" w:rsidRDefault="00435C52" w:rsidP="0062394F">
            <w:pPr>
              <w:pStyle w:val="Header"/>
              <w:jc w:val="left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Emergency Procedure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C52" w:rsidRDefault="00435C52">
            <w:pPr>
              <w:jc w:val="left"/>
              <w:rPr>
                <w:rFonts w:ascii="Arial" w:hAnsi="Arial" w:cs="Arial"/>
                <w:color w:val="333333"/>
                <w:szCs w:val="22"/>
              </w:rPr>
            </w:pPr>
          </w:p>
          <w:p w:rsidR="00435C52" w:rsidRDefault="00435C52">
            <w:p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 xml:space="preserve">If an accidental exposure to UV </w:t>
            </w:r>
            <w:r w:rsidR="002F567A">
              <w:rPr>
                <w:rFonts w:ascii="Arial" w:hAnsi="Arial" w:cs="Arial"/>
                <w:color w:val="333333"/>
                <w:szCs w:val="22"/>
              </w:rPr>
              <w:t>radiation</w:t>
            </w:r>
            <w:r>
              <w:rPr>
                <w:rFonts w:ascii="Arial" w:hAnsi="Arial" w:cs="Arial"/>
                <w:color w:val="333333"/>
                <w:szCs w:val="22"/>
              </w:rPr>
              <w:t xml:space="preserve"> occurs:</w:t>
            </w:r>
          </w:p>
          <w:p w:rsidR="009071BF" w:rsidRPr="009071BF" w:rsidRDefault="009071BF" w:rsidP="009071BF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>Immediately discontinue the use of the UV producing equipment.</w:t>
            </w:r>
          </w:p>
          <w:p w:rsidR="00435C52" w:rsidRDefault="00435C52" w:rsidP="00435C52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>Notify laboratory management no matter how minor the injury may seem.</w:t>
            </w:r>
          </w:p>
          <w:p w:rsidR="009071BF" w:rsidRDefault="009071BF" w:rsidP="00435C52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 xml:space="preserve">Seek treatment at Employee Health Service or </w:t>
            </w:r>
            <w:r w:rsidR="002F567A">
              <w:rPr>
                <w:rFonts w:ascii="Arial" w:hAnsi="Arial" w:cs="Arial"/>
                <w:color w:val="333333"/>
                <w:szCs w:val="22"/>
              </w:rPr>
              <w:t xml:space="preserve">Abbott or United </w:t>
            </w:r>
            <w:r>
              <w:rPr>
                <w:rFonts w:ascii="Arial" w:hAnsi="Arial" w:cs="Arial"/>
                <w:color w:val="333333"/>
                <w:szCs w:val="22"/>
              </w:rPr>
              <w:t>Emergency Department.</w:t>
            </w:r>
          </w:p>
          <w:p w:rsidR="009071BF" w:rsidRDefault="009071BF" w:rsidP="00B771A5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 xml:space="preserve">Complete Employee Incident Report. </w:t>
            </w:r>
            <w:hyperlink r:id="rId7" w:history="1">
              <w:r w:rsidR="00B771A5" w:rsidRPr="00B771A5">
                <w:rPr>
                  <w:rStyle w:val="Hyperlink"/>
                  <w:rFonts w:ascii="Arial" w:hAnsi="Arial" w:cs="Arial"/>
                  <w:szCs w:val="22"/>
                </w:rPr>
                <w:t>https://starnet.childrenshc.org/forms/Empl</w:t>
              </w:r>
              <w:r w:rsidR="00B771A5" w:rsidRPr="00B771A5">
                <w:rPr>
                  <w:rStyle w:val="Hyperlink"/>
                  <w:rFonts w:ascii="Arial" w:hAnsi="Arial" w:cs="Arial"/>
                  <w:szCs w:val="22"/>
                </w:rPr>
                <w:t>o</w:t>
              </w:r>
              <w:r w:rsidR="00B771A5" w:rsidRPr="00B771A5">
                <w:rPr>
                  <w:rStyle w:val="Hyperlink"/>
                  <w:rFonts w:ascii="Arial" w:hAnsi="Arial" w:cs="Arial"/>
                  <w:szCs w:val="22"/>
                </w:rPr>
                <w:t>yeeIncident/</w:t>
              </w:r>
            </w:hyperlink>
          </w:p>
          <w:p w:rsidR="00435C52" w:rsidRDefault="00435C52" w:rsidP="00553D0B">
            <w:pPr>
              <w:numPr>
                <w:ilvl w:val="0"/>
                <w:numId w:val="24"/>
              </w:numPr>
              <w:jc w:val="left"/>
              <w:rPr>
                <w:rFonts w:ascii="Arial" w:hAnsi="Arial" w:cs="Arial"/>
                <w:color w:val="333333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>Report all unsafe working conditions to laboratory management.</w:t>
            </w:r>
          </w:p>
          <w:p w:rsidR="009071BF" w:rsidRDefault="009071BF" w:rsidP="009071BF">
            <w:pPr>
              <w:ind w:left="720"/>
              <w:jc w:val="left"/>
              <w:rPr>
                <w:rFonts w:ascii="Arial" w:hAnsi="Arial" w:cs="Arial"/>
                <w:color w:val="333333"/>
                <w:szCs w:val="22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2F567A" w:rsidRDefault="002F567A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Supporting Documents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2F567A" w:rsidRDefault="002F567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1174C5" w:rsidRDefault="00CE71CE">
            <w:pPr>
              <w:jc w:val="left"/>
              <w:rPr>
                <w:rFonts w:ascii="Arial" w:hAnsi="Arial"/>
                <w:szCs w:val="22"/>
              </w:rPr>
            </w:pPr>
            <w:hyperlink r:id="rId8" w:history="1">
              <w:r w:rsidR="00CC1433" w:rsidRPr="00E56183">
                <w:rPr>
                  <w:rStyle w:val="Hyperlink"/>
                  <w:rFonts w:ascii="Arial" w:hAnsi="Arial"/>
                  <w:szCs w:val="22"/>
                </w:rPr>
                <w:t>MCVI 3.2 Safety in the Microbiol</w:t>
              </w:r>
              <w:r w:rsidR="00CC1433" w:rsidRPr="00E56183">
                <w:rPr>
                  <w:rStyle w:val="Hyperlink"/>
                  <w:rFonts w:ascii="Arial" w:hAnsi="Arial"/>
                  <w:szCs w:val="22"/>
                </w:rPr>
                <w:t>o</w:t>
              </w:r>
              <w:r w:rsidR="00CC1433" w:rsidRPr="00E56183">
                <w:rPr>
                  <w:rStyle w:val="Hyperlink"/>
                  <w:rFonts w:ascii="Arial" w:hAnsi="Arial"/>
                  <w:szCs w:val="22"/>
                </w:rPr>
                <w:t>gy/Virology Laboratory</w:t>
              </w:r>
            </w:hyperlink>
          </w:p>
          <w:p w:rsidR="00553D0B" w:rsidRPr="00CC1433" w:rsidRDefault="00CE71CE">
            <w:pPr>
              <w:jc w:val="left"/>
              <w:rPr>
                <w:rFonts w:ascii="Arial" w:hAnsi="Arial"/>
                <w:szCs w:val="22"/>
              </w:rPr>
            </w:pPr>
            <w:hyperlink r:id="rId9" w:history="1">
              <w:r w:rsidR="00553D0B" w:rsidRPr="00E56183">
                <w:rPr>
                  <w:rStyle w:val="Hyperlink"/>
                  <w:rFonts w:ascii="Arial" w:hAnsi="Arial"/>
                  <w:szCs w:val="22"/>
                </w:rPr>
                <w:t>1067.00 Work Related Injury</w:t>
              </w:r>
              <w:bookmarkStart w:id="0" w:name="_GoBack"/>
              <w:bookmarkEnd w:id="0"/>
              <w:r w:rsidR="00553D0B" w:rsidRPr="00E56183">
                <w:rPr>
                  <w:rStyle w:val="Hyperlink"/>
                  <w:rFonts w:ascii="Arial" w:hAnsi="Arial"/>
                  <w:szCs w:val="22"/>
                </w:rPr>
                <w:t>/</w:t>
              </w:r>
              <w:r w:rsidR="00553D0B" w:rsidRPr="00E56183">
                <w:rPr>
                  <w:rStyle w:val="Hyperlink"/>
                  <w:rFonts w:ascii="Arial" w:hAnsi="Arial"/>
                  <w:szCs w:val="22"/>
                </w:rPr>
                <w:t>Illness Reporting and Management</w:t>
              </w:r>
            </w:hyperlink>
          </w:p>
          <w:p w:rsidR="001174C5" w:rsidRDefault="001174C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1174C5" w:rsidRDefault="001174C5">
            <w:pPr>
              <w:jc w:val="left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References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74C5" w:rsidRDefault="001174C5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1174C5" w:rsidRPr="00E56183" w:rsidRDefault="00D254C6" w:rsidP="00D254C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 xml:space="preserve">CLSI. </w:t>
            </w:r>
            <w:r w:rsidRPr="00E56183">
              <w:rPr>
                <w:rFonts w:ascii="Arial" w:hAnsi="Arial" w:cs="Arial"/>
                <w:i/>
                <w:iCs/>
                <w:szCs w:val="22"/>
              </w:rPr>
              <w:t xml:space="preserve">Clinical Laboratory Safety; Approved Guideline – Third Edition. </w:t>
            </w:r>
            <w:r w:rsidRPr="00E56183">
              <w:rPr>
                <w:rFonts w:ascii="Arial" w:hAnsi="Arial" w:cs="Arial"/>
                <w:szCs w:val="22"/>
              </w:rPr>
              <w:t>CLSI document GP17-A3. Wayne, PA: Clinical and Laboratory Standards Institute; 2012.</w:t>
            </w:r>
          </w:p>
          <w:p w:rsidR="00D254C6" w:rsidRPr="00E56183" w:rsidRDefault="00D254C6" w:rsidP="00D254C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OSHA. Laboratory Safety Guidance. 2011.</w:t>
            </w:r>
          </w:p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4C5" w:rsidRDefault="001174C5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117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Historical Record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1174C5" w:rsidTr="00253D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1174C5" w:rsidRDefault="001174C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E56183" w:rsidRDefault="001174C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Becky Carlson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02/1991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C5" w:rsidRPr="00E56183" w:rsidRDefault="001174C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 xml:space="preserve">Initial </w:t>
            </w:r>
          </w:p>
        </w:tc>
      </w:tr>
      <w:tr w:rsidR="00253D1D" w:rsidTr="00253D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53D1D" w:rsidRDefault="00253D1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Becky Carlson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07/11/93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253D1D" w:rsidTr="00253D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53D1D" w:rsidRDefault="00253D1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06/07/04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253D1D" w:rsidTr="00D7231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253D1D" w:rsidRDefault="00253D1D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rPr>
                <w:rFonts w:ascii="Arial" w:hAnsi="Arial" w:cs="Arial"/>
                <w:szCs w:val="22"/>
              </w:rPr>
            </w:pPr>
            <w:r w:rsidRPr="00E56183">
              <w:rPr>
                <w:rFonts w:ascii="Arial" w:hAnsi="Arial" w:cs="Arial"/>
                <w:szCs w:val="22"/>
              </w:rPr>
              <w:t>07/17/15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Reformatted to CMS.</w:t>
            </w:r>
          </w:p>
          <w:p w:rsidR="00253D1D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Renumbered from 4.3.1.</w:t>
            </w:r>
          </w:p>
          <w:p w:rsidR="00E56183" w:rsidRDefault="00E561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Added Hazards.</w:t>
            </w:r>
          </w:p>
          <w:p w:rsidR="00E56183" w:rsidRPr="00E56183" w:rsidRDefault="00E56183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Added Emergency Procedure.</w:t>
            </w:r>
          </w:p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Added Supporting Documents.</w:t>
            </w:r>
          </w:p>
          <w:p w:rsidR="00253D1D" w:rsidRPr="00E56183" w:rsidRDefault="00253D1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 w:rsidRPr="00E56183">
              <w:rPr>
                <w:rFonts w:ascii="Arial" w:hAnsi="Arial" w:cs="Arial"/>
                <w:iCs/>
                <w:szCs w:val="22"/>
              </w:rPr>
              <w:t>Updated References.</w:t>
            </w:r>
          </w:p>
        </w:tc>
      </w:tr>
      <w:tr w:rsidR="00D7231F" w:rsidTr="002F5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D7231F" w:rsidRDefault="00D7231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F" w:rsidRPr="00E56183" w:rsidRDefault="00D7231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F" w:rsidRPr="00E56183" w:rsidRDefault="00D7231F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Lab Safety Committee &amp; 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F" w:rsidRPr="00E56183" w:rsidRDefault="00CC414D" w:rsidP="008362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="00D7231F">
              <w:rPr>
                <w:rFonts w:ascii="Arial" w:hAnsi="Arial" w:cs="Arial"/>
                <w:szCs w:val="22"/>
              </w:rPr>
              <w:t>5/</w:t>
            </w:r>
            <w:r w:rsidR="008362C7">
              <w:rPr>
                <w:rFonts w:ascii="Arial" w:hAnsi="Arial" w:cs="Arial"/>
                <w:szCs w:val="22"/>
              </w:rPr>
              <w:t>25/</w:t>
            </w:r>
            <w:r w:rsidR="00D7231F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1F" w:rsidRPr="00E56183" w:rsidRDefault="00D7231F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Added mercury lamp life expectancy.</w:t>
            </w:r>
          </w:p>
        </w:tc>
      </w:tr>
      <w:tr w:rsidR="002F5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2F567A" w:rsidRDefault="002F567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A" w:rsidRDefault="002F56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A" w:rsidRDefault="002F567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Lab Safety Committee &amp; 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A" w:rsidRDefault="00CC414D" w:rsidP="008362C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06/27/18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7A" w:rsidRDefault="002F567A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Removed </w:t>
            </w:r>
            <w:r w:rsidR="00CC414D">
              <w:rPr>
                <w:rFonts w:ascii="Arial" w:hAnsi="Arial" w:cs="Arial"/>
                <w:iCs/>
                <w:szCs w:val="22"/>
              </w:rPr>
              <w:t xml:space="preserve">information and </w:t>
            </w:r>
            <w:r>
              <w:rPr>
                <w:rFonts w:ascii="Arial" w:hAnsi="Arial" w:cs="Arial"/>
                <w:iCs/>
                <w:szCs w:val="22"/>
              </w:rPr>
              <w:t xml:space="preserve">references to mercury lamps </w:t>
            </w:r>
            <w:r w:rsidR="00CC414D">
              <w:rPr>
                <w:rFonts w:ascii="Arial" w:hAnsi="Arial" w:cs="Arial"/>
                <w:iCs/>
                <w:szCs w:val="22"/>
              </w:rPr>
              <w:t xml:space="preserve">as they are </w:t>
            </w:r>
            <w:r>
              <w:rPr>
                <w:rFonts w:ascii="Arial" w:hAnsi="Arial" w:cs="Arial"/>
                <w:iCs/>
                <w:szCs w:val="22"/>
              </w:rPr>
              <w:t>no longer used in the lab.</w:t>
            </w:r>
          </w:p>
        </w:tc>
      </w:tr>
    </w:tbl>
    <w:p w:rsidR="001174C5" w:rsidRDefault="001174C5">
      <w:pPr>
        <w:rPr>
          <w:rFonts w:ascii="Arial" w:hAnsi="Arial" w:cs="Arial"/>
        </w:rPr>
      </w:pPr>
    </w:p>
    <w:sectPr w:rsidR="001174C5" w:rsidSect="00031EB9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7A" w:rsidRDefault="002F567A">
      <w:r>
        <w:separator/>
      </w:r>
    </w:p>
  </w:endnote>
  <w:endnote w:type="continuationSeparator" w:id="0">
    <w:p w:rsidR="002F567A" w:rsidRDefault="002F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7A" w:rsidRDefault="002F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67A" w:rsidRDefault="002F56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7A" w:rsidRDefault="002F567A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Minneapolis/St. Paul, MN</w:t>
    </w:r>
  </w:p>
  <w:p w:rsidR="002F567A" w:rsidRDefault="002F567A">
    <w:pPr>
      <w:ind w:left="-720"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E71CE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E71CE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7A" w:rsidRDefault="002F567A">
      <w:r>
        <w:separator/>
      </w:r>
    </w:p>
  </w:footnote>
  <w:footnote w:type="continuationSeparator" w:id="0">
    <w:p w:rsidR="002F567A" w:rsidRDefault="002F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7A" w:rsidRPr="001F2B42" w:rsidRDefault="002F567A">
    <w:pPr>
      <w:ind w:left="-720"/>
      <w:rPr>
        <w:rFonts w:ascii="Arial" w:hAnsi="Arial" w:cs="Arial"/>
        <w:bCs/>
        <w:sz w:val="18"/>
        <w:szCs w:val="18"/>
      </w:rPr>
    </w:pPr>
    <w:r w:rsidRPr="001F2B42">
      <w:rPr>
        <w:rFonts w:ascii="Arial" w:hAnsi="Arial" w:cs="Arial"/>
        <w:bCs/>
        <w:iCs/>
        <w:noProof/>
        <w:sz w:val="18"/>
        <w:szCs w:val="18"/>
      </w:rPr>
      <w:t>SA</w:t>
    </w:r>
    <w:r>
      <w:rPr>
        <w:rFonts w:ascii="Arial" w:hAnsi="Arial" w:cs="Arial"/>
        <w:bCs/>
        <w:iCs/>
        <w:noProof/>
        <w:sz w:val="18"/>
        <w:szCs w:val="18"/>
      </w:rPr>
      <w:t xml:space="preserve"> 9.02 Ultraviolet Light Safety</w:t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</w:r>
    <w:r>
      <w:rPr>
        <w:rFonts w:ascii="Arial" w:hAnsi="Arial" w:cs="Arial"/>
        <w:bCs/>
        <w:iCs/>
        <w:noProof/>
        <w:sz w:val="18"/>
        <w:szCs w:val="18"/>
      </w:rPr>
      <w:tab/>
      <w:t xml:space="preserve">         </w:t>
    </w:r>
    <w:r>
      <w:rPr>
        <w:rFonts w:ascii="Helvetica" w:hAnsi="Helvetica" w:cs="Helvetica"/>
        <w:noProof/>
        <w:color w:val="4C5CC5"/>
      </w:rPr>
      <w:drawing>
        <wp:inline distT="0" distB="0" distL="0" distR="0">
          <wp:extent cx="1038225" cy="333375"/>
          <wp:effectExtent l="19050" t="0" r="9525" b="0"/>
          <wp:docPr id="1" name="Picture 1" descr="SM-Childrens-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-Childrens-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67A" w:rsidRPr="001F2B42" w:rsidRDefault="00CC414D">
    <w:pPr>
      <w:pStyle w:val="Header"/>
      <w:ind w:left="-72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Version 6</w:t>
    </w:r>
  </w:p>
  <w:p w:rsidR="002F567A" w:rsidRDefault="002F567A">
    <w:pPr>
      <w:pStyle w:val="Header"/>
      <w:ind w:left="-720"/>
      <w:rPr>
        <w:b/>
        <w:sz w:val="18"/>
        <w:szCs w:val="26"/>
      </w:rPr>
    </w:pPr>
    <w:r w:rsidRPr="001F2B42">
      <w:rPr>
        <w:rFonts w:ascii="Arial" w:hAnsi="Arial" w:cs="Arial"/>
        <w:bCs/>
        <w:sz w:val="18"/>
        <w:szCs w:val="18"/>
      </w:rPr>
      <w:t xml:space="preserve">Effective Date: </w:t>
    </w:r>
    <w:r w:rsidR="00CC414D">
      <w:rPr>
        <w:rFonts w:ascii="Arial" w:hAnsi="Arial" w:cs="Arial"/>
        <w:bCs/>
        <w:sz w:val="18"/>
        <w:szCs w:val="18"/>
      </w:rPr>
      <w:t>06/27</w:t>
    </w:r>
    <w:r>
      <w:rPr>
        <w:rFonts w:ascii="Arial" w:hAnsi="Arial" w:cs="Arial"/>
        <w:bCs/>
        <w:sz w:val="18"/>
        <w:szCs w:val="18"/>
      </w:rPr>
      <w:t>/</w:t>
    </w:r>
    <w:r w:rsidR="00CC414D">
      <w:rPr>
        <w:rFonts w:ascii="Arial" w:hAnsi="Arial" w:cs="Arial"/>
        <w:bCs/>
        <w:sz w:val="18"/>
        <w:szCs w:val="18"/>
      </w:rPr>
      <w:t>2018</w:t>
    </w:r>
  </w:p>
  <w:p w:rsidR="002F567A" w:rsidRDefault="00DA1EAE">
    <w:pPr>
      <w:pStyle w:val="Header"/>
      <w:jc w:val="center"/>
      <w:rPr>
        <w:b/>
        <w:sz w:val="26"/>
        <w:szCs w:val="26"/>
      </w:rPr>
    </w:pPr>
    <w:r>
      <w:rPr>
        <w:b/>
        <w:noProof/>
        <w:sz w:val="20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1555750</wp:posOffset>
              </wp:positionV>
              <wp:extent cx="3418205" cy="2294890"/>
              <wp:effectExtent l="0" t="3175" r="4445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-1764889">
                        <a:off x="0" y="0"/>
                        <a:ext cx="3418205" cy="229489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B6E7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8.25pt;margin-top:122.5pt;width:269.15pt;height:180.7pt;rotation:-192772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DE607F"/>
    <w:multiLevelType w:val="hybridMultilevel"/>
    <w:tmpl w:val="7236E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77C6B"/>
    <w:multiLevelType w:val="hybridMultilevel"/>
    <w:tmpl w:val="CC9C3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6ECD"/>
    <w:multiLevelType w:val="hybridMultilevel"/>
    <w:tmpl w:val="E6DE8C48"/>
    <w:lvl w:ilvl="0" w:tplc="7EFC1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9C7"/>
    <w:multiLevelType w:val="hybridMultilevel"/>
    <w:tmpl w:val="F154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35C"/>
    <w:multiLevelType w:val="hybridMultilevel"/>
    <w:tmpl w:val="577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62E4"/>
    <w:multiLevelType w:val="hybridMultilevel"/>
    <w:tmpl w:val="33C0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A3745"/>
    <w:multiLevelType w:val="hybridMultilevel"/>
    <w:tmpl w:val="17DEE7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4D35"/>
    <w:multiLevelType w:val="hybridMultilevel"/>
    <w:tmpl w:val="4E5CA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6621F"/>
    <w:multiLevelType w:val="hybridMultilevel"/>
    <w:tmpl w:val="FA400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72693"/>
    <w:multiLevelType w:val="hybridMultilevel"/>
    <w:tmpl w:val="04FCB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93C24"/>
    <w:multiLevelType w:val="hybridMultilevel"/>
    <w:tmpl w:val="FE3AB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042E6"/>
    <w:multiLevelType w:val="hybridMultilevel"/>
    <w:tmpl w:val="41FCD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24522"/>
    <w:multiLevelType w:val="hybridMultilevel"/>
    <w:tmpl w:val="C3D670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04D1"/>
    <w:multiLevelType w:val="hybridMultilevel"/>
    <w:tmpl w:val="F386F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7004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49B4"/>
    <w:multiLevelType w:val="hybridMultilevel"/>
    <w:tmpl w:val="7A1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6118C"/>
    <w:multiLevelType w:val="hybridMultilevel"/>
    <w:tmpl w:val="DB840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7C6182"/>
    <w:multiLevelType w:val="hybridMultilevel"/>
    <w:tmpl w:val="277C1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D6807"/>
    <w:multiLevelType w:val="hybridMultilevel"/>
    <w:tmpl w:val="21D68566"/>
    <w:lvl w:ilvl="0" w:tplc="648A700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C3D4F"/>
    <w:multiLevelType w:val="hybridMultilevel"/>
    <w:tmpl w:val="97CAC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5A78CF"/>
    <w:multiLevelType w:val="hybridMultilevel"/>
    <w:tmpl w:val="F154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3C8"/>
    <w:multiLevelType w:val="hybridMultilevel"/>
    <w:tmpl w:val="C3761B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777C"/>
    <w:multiLevelType w:val="hybridMultilevel"/>
    <w:tmpl w:val="2EF6E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4"/>
  </w:num>
  <w:num w:numId="4">
    <w:abstractNumId w:val="4"/>
  </w:num>
  <w:num w:numId="5">
    <w:abstractNumId w:val="1"/>
  </w:num>
  <w:num w:numId="6">
    <w:abstractNumId w:val="17"/>
  </w:num>
  <w:num w:numId="7">
    <w:abstractNumId w:val="6"/>
  </w:num>
  <w:num w:numId="8">
    <w:abstractNumId w:val="2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14"/>
  </w:num>
  <w:num w:numId="11">
    <w:abstractNumId w:val="7"/>
  </w:num>
  <w:num w:numId="12">
    <w:abstractNumId w:val="13"/>
  </w:num>
  <w:num w:numId="13">
    <w:abstractNumId w:val="25"/>
  </w:num>
  <w:num w:numId="14">
    <w:abstractNumId w:val="23"/>
  </w:num>
  <w:num w:numId="15">
    <w:abstractNumId w:val="8"/>
  </w:num>
  <w:num w:numId="16">
    <w:abstractNumId w:val="9"/>
  </w:num>
  <w:num w:numId="17">
    <w:abstractNumId w:val="12"/>
  </w:num>
  <w:num w:numId="18">
    <w:abstractNumId w:val="2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  <w:num w:numId="23">
    <w:abstractNumId w:val="15"/>
  </w:num>
  <w:num w:numId="24">
    <w:abstractNumId w:val="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A"/>
    <w:rsid w:val="00031EB9"/>
    <w:rsid w:val="00046DC9"/>
    <w:rsid w:val="000B3C81"/>
    <w:rsid w:val="001174C5"/>
    <w:rsid w:val="001F2B42"/>
    <w:rsid w:val="00253D1D"/>
    <w:rsid w:val="002F1AB4"/>
    <w:rsid w:val="002F567A"/>
    <w:rsid w:val="00315E9A"/>
    <w:rsid w:val="00435C52"/>
    <w:rsid w:val="00506EAD"/>
    <w:rsid w:val="0055341B"/>
    <w:rsid w:val="00553D0B"/>
    <w:rsid w:val="0062394F"/>
    <w:rsid w:val="00652F74"/>
    <w:rsid w:val="00694BD4"/>
    <w:rsid w:val="006B5150"/>
    <w:rsid w:val="006E0AC9"/>
    <w:rsid w:val="006F6E52"/>
    <w:rsid w:val="008362C7"/>
    <w:rsid w:val="00862CC4"/>
    <w:rsid w:val="009071BF"/>
    <w:rsid w:val="009D2844"/>
    <w:rsid w:val="009D4248"/>
    <w:rsid w:val="00A80B75"/>
    <w:rsid w:val="00AB01BB"/>
    <w:rsid w:val="00AB0752"/>
    <w:rsid w:val="00B771A5"/>
    <w:rsid w:val="00C4211A"/>
    <w:rsid w:val="00CC1433"/>
    <w:rsid w:val="00CC414D"/>
    <w:rsid w:val="00CE71CE"/>
    <w:rsid w:val="00CF2202"/>
    <w:rsid w:val="00CF44AE"/>
    <w:rsid w:val="00D254C6"/>
    <w:rsid w:val="00D405F4"/>
    <w:rsid w:val="00D5596D"/>
    <w:rsid w:val="00D7231F"/>
    <w:rsid w:val="00D82062"/>
    <w:rsid w:val="00DA1EAE"/>
    <w:rsid w:val="00E07881"/>
    <w:rsid w:val="00E46DA0"/>
    <w:rsid w:val="00E56183"/>
    <w:rsid w:val="00ED6525"/>
    <w:rsid w:val="00F07354"/>
    <w:rsid w:val="00FD342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gray"/>
    </o:shapedefaults>
    <o:shapelayout v:ext="edit">
      <o:idmap v:ext="edit" data="1"/>
    </o:shapelayout>
  </w:shapeDefaults>
  <w:decimalSymbol w:val="."/>
  <w:listSeparator w:val=","/>
  <w15:docId w15:val="{B075857D-A97B-4BDF-A528-191A676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B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31EB9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31EB9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1EB9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31EB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31EB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31EB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31EB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31EB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31EB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31EB9"/>
    <w:rPr>
      <w:bCs/>
      <w:iCs/>
      <w:color w:val="000000"/>
    </w:rPr>
  </w:style>
  <w:style w:type="paragraph" w:styleId="Header">
    <w:name w:val="header"/>
    <w:basedOn w:val="Normal"/>
    <w:semiHidden/>
    <w:rsid w:val="00031EB9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31EB9"/>
    <w:pPr>
      <w:ind w:left="360" w:hanging="360"/>
    </w:pPr>
  </w:style>
  <w:style w:type="paragraph" w:styleId="Title">
    <w:name w:val="Title"/>
    <w:basedOn w:val="Normal"/>
    <w:qFormat/>
    <w:rsid w:val="00031EB9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31EB9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31EB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31EB9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31EB9"/>
    <w:pPr>
      <w:numPr>
        <w:numId w:val="0"/>
      </w:numPr>
    </w:pPr>
  </w:style>
  <w:style w:type="paragraph" w:customStyle="1" w:styleId="TableText">
    <w:name w:val="Table Text"/>
    <w:basedOn w:val="Normal"/>
    <w:rsid w:val="00031EB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31EB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31EB9"/>
    <w:rPr>
      <w:b/>
      <w:color w:val="0000FF"/>
    </w:rPr>
  </w:style>
  <w:style w:type="paragraph" w:customStyle="1" w:styleId="Sec2Hdr1">
    <w:name w:val="Sec2 Hdr1"/>
    <w:rsid w:val="00031EB9"/>
    <w:pPr>
      <w:widowControl w:val="0"/>
      <w:pBdr>
        <w:bottom w:val="single" w:sz="2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768" w:lineRule="atLeast"/>
    </w:pPr>
    <w:rPr>
      <w:rFonts w:ascii="Helvetica-Narrow" w:hAnsi="Helvetica-Narrow"/>
      <w:b/>
      <w:bCs/>
      <w:sz w:val="48"/>
      <w:szCs w:val="48"/>
    </w:rPr>
  </w:style>
  <w:style w:type="character" w:styleId="Hyperlink">
    <w:name w:val="Hyperlink"/>
    <w:basedOn w:val="DefaultParagraphFont"/>
    <w:semiHidden/>
    <w:rsid w:val="00031EB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31EB9"/>
    <w:rPr>
      <w:color w:val="800080"/>
      <w:u w:val="single"/>
    </w:rPr>
  </w:style>
  <w:style w:type="character" w:styleId="PageNumber">
    <w:name w:val="page number"/>
    <w:basedOn w:val="DefaultParagraphFont"/>
    <w:semiHidden/>
    <w:rsid w:val="00031EB9"/>
  </w:style>
  <w:style w:type="paragraph" w:customStyle="1" w:styleId="Default">
    <w:name w:val="Default"/>
    <w:rsid w:val="002F1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mcvi/safety/20973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forms/EmployeeIncide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han.childrensmn.org/manuals/policy/1000/00497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3104</CharactersWithSpaces>
  <SharedDoc>false</SharedDoc>
  <HLinks>
    <vt:vector size="24" baseType="variant">
      <vt:variant>
        <vt:i4>2424873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http://khan.childrensmn.org/manuals/policy/1000/004975.pdf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http://khan.childrensmn.org/manuals/lab/sop/mcvi/equip/209826.pdf</vt:lpwstr>
      </vt:variant>
      <vt:variant>
        <vt:lpwstr/>
      </vt:variant>
      <vt:variant>
        <vt:i4>3407926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http://khan.childrensmn.org/manuals/lab/sop/mcvi/safety/209731.pdf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http://intranet.childrensmn.org/emergency-and-safety/index.htm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CE080372</dc:creator>
  <cp:lastModifiedBy>Andrew Fangel</cp:lastModifiedBy>
  <cp:revision>6</cp:revision>
  <cp:lastPrinted>2017-05-23T22:02:00Z</cp:lastPrinted>
  <dcterms:created xsi:type="dcterms:W3CDTF">2020-06-10T18:51:00Z</dcterms:created>
  <dcterms:modified xsi:type="dcterms:W3CDTF">2020-06-10T18:59:00Z</dcterms:modified>
</cp:coreProperties>
</file>