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726453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>
            <w:pPr>
              <w:pStyle w:val="BodyText"/>
              <w:rPr>
                <w:rFonts w:ascii="Arial" w:hAnsi="Arial" w:cs="Arial"/>
                <w:sz w:val="24"/>
              </w:rPr>
            </w:pPr>
          </w:p>
          <w:p w:rsidR="00726453" w:rsidRDefault="006A6A6C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 xml:space="preserve">Safely </w:t>
            </w:r>
            <w:r w:rsidR="0064550B"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Obtaining and Handling Autopsy S</w:t>
            </w:r>
            <w:r w:rsidR="00812FF0"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ample</w:t>
            </w:r>
            <w:r w:rsidR="0064550B"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s for Analysis</w:t>
            </w:r>
          </w:p>
          <w:p w:rsidR="00726453" w:rsidRDefault="00726453">
            <w:pPr>
              <w:pStyle w:val="BodyText"/>
              <w:rPr>
                <w:rFonts w:ascii="Arial" w:hAnsi="Arial" w:cs="Arial"/>
              </w:rPr>
            </w:pPr>
          </w:p>
        </w:tc>
      </w:tr>
      <w:tr w:rsidR="00726453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26453" w:rsidRDefault="0072645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726453" w:rsidRDefault="0072645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453" w:rsidRDefault="00726453">
            <w:pPr>
              <w:jc w:val="left"/>
              <w:rPr>
                <w:rFonts w:ascii="Arial" w:hAnsi="Arial" w:cs="Arial"/>
                <w:sz w:val="20"/>
              </w:rPr>
            </w:pPr>
          </w:p>
          <w:p w:rsidR="00726453" w:rsidRPr="0064550B" w:rsidRDefault="0064550B" w:rsidP="00812FF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procedure provides instructions for </w:t>
            </w:r>
            <w:r w:rsidR="006A6A6C">
              <w:rPr>
                <w:rFonts w:ascii="Arial" w:hAnsi="Arial" w:cs="Arial"/>
                <w:iCs/>
                <w:sz w:val="20"/>
              </w:rPr>
              <w:t xml:space="preserve">SAFELY </w:t>
            </w:r>
            <w:r>
              <w:rPr>
                <w:rFonts w:ascii="Arial" w:hAnsi="Arial" w:cs="Arial"/>
                <w:iCs/>
                <w:sz w:val="20"/>
              </w:rPr>
              <w:t>OBTAINING AND HANDLING AUTOPSY S</w:t>
            </w:r>
            <w:r w:rsidR="00812FF0">
              <w:rPr>
                <w:rFonts w:ascii="Arial" w:hAnsi="Arial" w:cs="Arial"/>
                <w:iCs/>
                <w:sz w:val="20"/>
              </w:rPr>
              <w:t>AMPLE</w:t>
            </w:r>
            <w:r>
              <w:rPr>
                <w:rFonts w:ascii="Arial" w:hAnsi="Arial" w:cs="Arial"/>
                <w:iCs/>
                <w:sz w:val="20"/>
              </w:rPr>
              <w:t>S FOR ANALYSIS.</w:t>
            </w:r>
          </w:p>
        </w:tc>
      </w:tr>
      <w:tr w:rsidR="0072645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26453" w:rsidRDefault="0064550B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Materials</w:t>
            </w:r>
          </w:p>
          <w:p w:rsidR="00726453" w:rsidRDefault="00726453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rPr>
                <w:rFonts w:ascii="Arial" w:hAnsi="Arial" w:cs="Arial"/>
              </w:rPr>
            </w:pPr>
          </w:p>
          <w:p w:rsidR="00726453" w:rsidRDefault="00726453" w:rsidP="00726453">
            <w:pPr>
              <w:rPr>
                <w:rFonts w:ascii="Arial" w:hAnsi="Arial" w:cs="Arial"/>
              </w:rPr>
            </w:pPr>
          </w:p>
          <w:p w:rsidR="00726453" w:rsidRPr="00726453" w:rsidRDefault="00726453" w:rsidP="0072645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453" w:rsidRDefault="00726453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4"/>
              <w:gridCol w:w="4385"/>
            </w:tblGrid>
            <w:tr w:rsidR="00726453" w:rsidRPr="00170C0E" w:rsidTr="00170C0E">
              <w:tc>
                <w:tcPr>
                  <w:tcW w:w="8769" w:type="dxa"/>
                  <w:gridSpan w:val="2"/>
                </w:tcPr>
                <w:p w:rsidR="00726453" w:rsidRPr="00170C0E" w:rsidRDefault="00726453" w:rsidP="00170C0E">
                  <w:pPr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170C0E">
                    <w:rPr>
                      <w:rFonts w:ascii="Arial" w:hAnsi="Arial" w:cs="Arial"/>
                      <w:b/>
                      <w:sz w:val="20"/>
                    </w:rPr>
                    <w:t>Supplies</w:t>
                  </w:r>
                </w:p>
              </w:tc>
            </w:tr>
            <w:tr w:rsidR="00726453" w:rsidRPr="00170C0E" w:rsidTr="00170C0E">
              <w:tc>
                <w:tcPr>
                  <w:tcW w:w="4384" w:type="dxa"/>
                </w:tcPr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Personal protective equipment</w:t>
                  </w:r>
                </w:p>
                <w:p w:rsidR="00726453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Gloves</w:t>
                  </w:r>
                </w:p>
                <w:p w:rsidR="00726453" w:rsidRPr="00170C0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Disposable gown</w:t>
                  </w:r>
                </w:p>
                <w:p w:rsidR="00726453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Disposable apron</w:t>
                  </w:r>
                </w:p>
                <w:p w:rsidR="00F51A07" w:rsidRPr="00170C0E" w:rsidRDefault="00F51A07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Sleeve protectors</w:t>
                  </w:r>
                </w:p>
                <w:p w:rsidR="00726453" w:rsidRPr="00170C0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Face mask</w:t>
                  </w:r>
                </w:p>
                <w:p w:rsidR="00726453" w:rsidRPr="00170C0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N95 mask</w:t>
                  </w:r>
                </w:p>
                <w:p w:rsidR="00726453" w:rsidRPr="00170C0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Goggles/eye shield</w:t>
                  </w:r>
                </w:p>
                <w:p w:rsidR="00726453" w:rsidRPr="00170C0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Face shield</w:t>
                  </w:r>
                </w:p>
                <w:p w:rsidR="00726453" w:rsidRPr="0005398E" w:rsidRDefault="00726453" w:rsidP="00170C0E">
                  <w:pPr>
                    <w:numPr>
                      <w:ilvl w:val="1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05398E">
                    <w:rPr>
                      <w:rFonts w:ascii="Arial" w:hAnsi="Arial" w:cs="Arial"/>
                      <w:sz w:val="20"/>
                    </w:rPr>
                    <w:t>Disposable shoe covers</w:t>
                  </w:r>
                </w:p>
              </w:tc>
              <w:tc>
                <w:tcPr>
                  <w:tcW w:w="4385" w:type="dxa"/>
                </w:tcPr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Bleach 10%</w:t>
                  </w:r>
                </w:p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Formalin 10%</w:t>
                  </w:r>
                </w:p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 xml:space="preserve">Liquid </w:t>
                  </w:r>
                  <w:r w:rsidR="00284646">
                    <w:rPr>
                      <w:rFonts w:ascii="Arial" w:hAnsi="Arial" w:cs="Arial"/>
                      <w:sz w:val="20"/>
                    </w:rPr>
                    <w:t>cleanser</w:t>
                  </w:r>
                </w:p>
                <w:p w:rsidR="00726453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170C0E">
                    <w:rPr>
                      <w:rFonts w:ascii="Arial" w:hAnsi="Arial" w:cs="Arial"/>
                      <w:sz w:val="20"/>
                    </w:rPr>
                    <w:t>Cavicide</w:t>
                  </w:r>
                  <w:proofErr w:type="spellEnd"/>
                </w:p>
                <w:p w:rsidR="000B7625" w:rsidRPr="00170C0E" w:rsidRDefault="00F96516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Oxivir Tb wip</w:t>
                  </w:r>
                  <w:r w:rsidR="007904DE">
                    <w:rPr>
                      <w:rFonts w:ascii="Arial" w:hAnsi="Arial" w:cs="Arial"/>
                      <w:sz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</w:rPr>
                    <w:t>s/</w:t>
                  </w:r>
                  <w:r w:rsidR="000B7625">
                    <w:rPr>
                      <w:rFonts w:ascii="Arial" w:hAnsi="Arial" w:cs="Arial"/>
                      <w:sz w:val="20"/>
                    </w:rPr>
                    <w:t>Sani-Cloth wipes</w:t>
                  </w:r>
                </w:p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Puncture resistant biohazard sharps container</w:t>
                  </w:r>
                </w:p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Puncture resistant specimen container</w:t>
                  </w:r>
                </w:p>
                <w:p w:rsidR="00726453" w:rsidRPr="00170C0E" w:rsidRDefault="00726453" w:rsidP="00170C0E">
                  <w:pPr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</w:rPr>
                    <w:t>Red biohazard bags</w:t>
                  </w:r>
                </w:p>
              </w:tc>
            </w:tr>
          </w:tbl>
          <w:p w:rsidR="00726453" w:rsidRDefault="00726453" w:rsidP="00726453">
            <w:pPr>
              <w:jc w:val="left"/>
              <w:rPr>
                <w:rFonts w:ascii="Arial" w:hAnsi="Arial" w:cs="Arial"/>
                <w:sz w:val="20"/>
              </w:rPr>
            </w:pPr>
          </w:p>
          <w:p w:rsidR="00726453" w:rsidRDefault="00726453" w:rsidP="0072645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26453" w:rsidTr="00860E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 w:rsidP="00726453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26453" w:rsidRDefault="00726453" w:rsidP="00726453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Sample</w:t>
            </w:r>
          </w:p>
          <w:p w:rsidR="00726453" w:rsidRDefault="00726453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453" w:rsidRPr="00860E0D" w:rsidRDefault="00726453">
            <w:pPr>
              <w:jc w:val="left"/>
              <w:rPr>
                <w:rFonts w:ascii="Arial" w:hAnsi="Arial" w:cs="Arial"/>
                <w:szCs w:val="22"/>
              </w:rPr>
            </w:pPr>
          </w:p>
          <w:p w:rsidR="00726453" w:rsidRDefault="0072645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Autopsy samples</w:t>
            </w:r>
          </w:p>
        </w:tc>
      </w:tr>
      <w:tr w:rsidR="007264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9266B" w:rsidRDefault="00B9266B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26453" w:rsidRDefault="00726453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Procedure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453" w:rsidRPr="00860E0D" w:rsidRDefault="00726453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p w:rsidR="00726453" w:rsidRDefault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Follow the activities in the table below for </w:t>
            </w:r>
            <w:r w:rsidR="006A6A6C">
              <w:rPr>
                <w:rFonts w:ascii="Arial" w:hAnsi="Arial" w:cs="Arial"/>
                <w:color w:val="000000"/>
                <w:sz w:val="20"/>
              </w:rPr>
              <w:t xml:space="preserve">SAFELY </w:t>
            </w:r>
            <w:r w:rsidR="006550E4">
              <w:rPr>
                <w:rFonts w:ascii="Arial" w:hAnsi="Arial" w:cs="Arial"/>
                <w:iCs/>
                <w:sz w:val="20"/>
              </w:rPr>
              <w:t>OBTAINING AND HANDLING AUTOPSY S</w:t>
            </w:r>
            <w:r w:rsidR="00812FF0">
              <w:rPr>
                <w:rFonts w:ascii="Arial" w:hAnsi="Arial" w:cs="Arial"/>
                <w:iCs/>
                <w:sz w:val="20"/>
              </w:rPr>
              <w:t>AMPLE</w:t>
            </w:r>
            <w:r w:rsidR="006550E4">
              <w:rPr>
                <w:rFonts w:ascii="Arial" w:hAnsi="Arial" w:cs="Arial"/>
                <w:iCs/>
                <w:sz w:val="20"/>
              </w:rPr>
              <w:t>S FOR ANALYSIS.</w:t>
            </w:r>
          </w:p>
          <w:p w:rsidR="006550E4" w:rsidRPr="00860E0D" w:rsidRDefault="006550E4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6030"/>
              <w:gridCol w:w="2042"/>
            </w:tblGrid>
            <w:tr w:rsidR="006550E4" w:rsidRPr="00170C0E" w:rsidTr="00170C0E">
              <w:tc>
                <w:tcPr>
                  <w:tcW w:w="697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Step</w:t>
                  </w:r>
                </w:p>
              </w:tc>
              <w:tc>
                <w:tcPr>
                  <w:tcW w:w="6030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Action</w:t>
                  </w:r>
                </w:p>
              </w:tc>
              <w:tc>
                <w:tcPr>
                  <w:tcW w:w="2042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Related Document</w:t>
                  </w:r>
                </w:p>
              </w:tc>
            </w:tr>
            <w:tr w:rsidR="006550E4" w:rsidRPr="00170C0E" w:rsidTr="008F5810">
              <w:tc>
                <w:tcPr>
                  <w:tcW w:w="697" w:type="dxa"/>
                  <w:vAlign w:val="center"/>
                </w:tcPr>
                <w:p w:rsidR="006550E4" w:rsidRPr="00170C0E" w:rsidRDefault="006550E4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6030" w:type="dxa"/>
                  <w:vAlign w:val="center"/>
                </w:tcPr>
                <w:p w:rsidR="006550E4" w:rsidRPr="00170C0E" w:rsidRDefault="006550E4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Don personal protective equipment</w:t>
                  </w:r>
                  <w:r w:rsidR="00D619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(PPE)</w:t>
                  </w: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include gloves, gown</w:t>
                  </w:r>
                  <w:r w:rsidR="00E673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and face shield</w:t>
                  </w:r>
                  <w:r w:rsidR="00E673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or goggles and mask.</w:t>
                  </w:r>
                </w:p>
                <w:p w:rsidR="002965A2" w:rsidRDefault="00D619FC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Additional PPE (disposable apron, sleeve protectors, foot covers) may be necessary d</w:t>
                  </w:r>
                  <w:r w:rsidR="006550E4"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uring procedures likely to generate droplets, splatters or splashes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2965A2" w:rsidRDefault="002965A2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Cut</w:t>
                  </w:r>
                  <w:r w:rsidR="00E673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resistant glove liners</w:t>
                  </w:r>
                  <w:r w:rsidR="00F51A0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are also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available.</w:t>
                  </w:r>
                </w:p>
                <w:p w:rsidR="00705779" w:rsidRPr="00170C0E" w:rsidRDefault="00705779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N95 or PAPR must be used while work</w:t>
                  </w:r>
                  <w:r w:rsidR="003C24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with patients that had or were suspected of having a highly infectious disease (i.e. Avian influenza, MERS-CoV, SARS-CoV, COVID-19). </w:t>
                  </w:r>
                </w:p>
              </w:tc>
              <w:tc>
                <w:tcPr>
                  <w:tcW w:w="2042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550E4" w:rsidRPr="00170C0E" w:rsidTr="008F5810">
              <w:tc>
                <w:tcPr>
                  <w:tcW w:w="697" w:type="dxa"/>
                  <w:vAlign w:val="center"/>
                </w:tcPr>
                <w:p w:rsidR="006550E4" w:rsidRPr="00170C0E" w:rsidRDefault="006550E4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6030" w:type="dxa"/>
                  <w:vAlign w:val="center"/>
                </w:tcPr>
                <w:p w:rsidR="00E03E5E" w:rsidRDefault="00343483" w:rsidP="0063050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Keep mechanical protective devices on instrume</w:t>
                  </w:r>
                  <w:r w:rsidR="00E03E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ntation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 reduce </w:t>
                  </w:r>
                  <w:r w:rsidR="00E03E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injury and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exposure to blood and body fluids.</w:t>
                  </w:r>
                </w:p>
                <w:p w:rsidR="002965A2" w:rsidRPr="00E03E5E" w:rsidRDefault="00343483" w:rsidP="0063050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bone saw is equipped with a shield over the blade to prevent injury to the user</w:t>
                  </w:r>
                  <w:r w:rsidR="00E03E5E">
                    <w:rPr>
                      <w:rFonts w:ascii="Arial" w:hAnsi="Arial" w:cs="Arial"/>
                      <w:sz w:val="20"/>
                      <w:szCs w:val="20"/>
                    </w:rPr>
                    <w:t xml:space="preserve"> and a </w:t>
                  </w:r>
                  <w:r w:rsidRPr="00343483">
                    <w:rPr>
                      <w:rFonts w:ascii="Arial" w:hAnsi="Arial" w:cs="Arial"/>
                      <w:sz w:val="20"/>
                      <w:szCs w:val="20"/>
                    </w:rPr>
                    <w:t>vacuum system fitt</w:t>
                  </w:r>
                  <w:r w:rsidR="00E03E5E">
                    <w:rPr>
                      <w:rFonts w:ascii="Arial" w:hAnsi="Arial" w:cs="Arial"/>
                      <w:sz w:val="20"/>
                      <w:szCs w:val="20"/>
                    </w:rPr>
                    <w:t xml:space="preserve">ed with a HEPA filter to </w:t>
                  </w:r>
                  <w:r w:rsidRPr="00343483">
                    <w:rPr>
                      <w:rFonts w:ascii="Arial" w:hAnsi="Arial" w:cs="Arial"/>
                      <w:sz w:val="20"/>
                      <w:szCs w:val="20"/>
                    </w:rPr>
                    <w:t>remo</w:t>
                  </w:r>
                  <w:r w:rsidR="00E03E5E">
                    <w:rPr>
                      <w:rFonts w:ascii="Arial" w:hAnsi="Arial" w:cs="Arial"/>
                      <w:sz w:val="20"/>
                      <w:szCs w:val="20"/>
                    </w:rPr>
                    <w:t xml:space="preserve">ve and collect bone dust and </w:t>
                  </w:r>
                  <w:r w:rsidRPr="00343483">
                    <w:rPr>
                      <w:rFonts w:ascii="Arial" w:hAnsi="Arial" w:cs="Arial"/>
                      <w:sz w:val="20"/>
                      <w:szCs w:val="20"/>
                    </w:rPr>
                    <w:t>aerosol</w:t>
                  </w:r>
                  <w:r w:rsidR="00E03E5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34348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42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550E4" w:rsidRPr="00170C0E" w:rsidTr="008F5810">
              <w:tc>
                <w:tcPr>
                  <w:tcW w:w="697" w:type="dxa"/>
                  <w:vAlign w:val="center"/>
                </w:tcPr>
                <w:p w:rsidR="006550E4" w:rsidRPr="00170C0E" w:rsidRDefault="006550E4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6030" w:type="dxa"/>
                  <w:vAlign w:val="center"/>
                </w:tcPr>
                <w:p w:rsidR="006550E4" w:rsidRPr="00170C0E" w:rsidRDefault="006550E4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Minimize the formation of droplets, splatters, splashes and spills.</w:t>
                  </w:r>
                </w:p>
              </w:tc>
              <w:tc>
                <w:tcPr>
                  <w:tcW w:w="2042" w:type="dxa"/>
                </w:tcPr>
                <w:p w:rsidR="006550E4" w:rsidRPr="00170C0E" w:rsidRDefault="006550E4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6030" w:type="dxa"/>
                  <w:vAlign w:val="center"/>
                </w:tcPr>
                <w:p w:rsidR="00812FF0" w:rsidRPr="00170C0E" w:rsidRDefault="00812FF0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Fix all samples suspected of tuberculosis, hepatitis or HIV in 10% formalin before processing.</w:t>
                  </w:r>
                </w:p>
              </w:tc>
              <w:tc>
                <w:tcPr>
                  <w:tcW w:w="2042" w:type="dxa"/>
                </w:tcPr>
                <w:p w:rsidR="00812FF0" w:rsidRPr="00170C0E" w:rsidRDefault="00812FF0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6030" w:type="dxa"/>
                  <w:vAlign w:val="center"/>
                </w:tcPr>
                <w:p w:rsidR="00812FF0" w:rsidRPr="00170C0E" w:rsidRDefault="00812FF0" w:rsidP="00630506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See</w:t>
                  </w:r>
                  <w:r w:rsidR="006A6A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the related policy</w:t>
                  </w:r>
                  <w:r w:rsidR="00BC1E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listed for handling suspected </w:t>
                  </w:r>
                  <w:proofErr w:type="spellStart"/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Creutzfeld-Jakob</w:t>
                  </w:r>
                  <w:proofErr w:type="spellEnd"/>
                  <w:r w:rsidRPr="00170C0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Disease (CJD) samples.</w:t>
                  </w:r>
                </w:p>
              </w:tc>
              <w:tc>
                <w:tcPr>
                  <w:tcW w:w="2042" w:type="dxa"/>
                </w:tcPr>
                <w:p w:rsidR="00812FF0" w:rsidRPr="00170C0E" w:rsidRDefault="006342D7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hyperlink r:id="rId7" w:history="1">
                    <w:r w:rsidR="00BC1EDD" w:rsidRPr="00BC1EDD">
                      <w:rPr>
                        <w:rStyle w:val="Hyperlink"/>
                        <w:rFonts w:ascii="Arial" w:hAnsi="Arial" w:cs="Arial"/>
                        <w:sz w:val="20"/>
                      </w:rPr>
                      <w:t>HI 1.18 CJD Disinfection Procedure</w:t>
                    </w:r>
                  </w:hyperlink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6030" w:type="dxa"/>
                  <w:vAlign w:val="center"/>
                </w:tcPr>
                <w:p w:rsidR="00E03E5E" w:rsidRDefault="00812FF0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In the case of therapeutic radioactive beads, radioactive tissues, or other radioactive contamination, consult the hospital radiation officer for appropriate measures for limiting the exposure </w:t>
                  </w:r>
                  <w:r w:rsidR="00F51A07">
                    <w:rPr>
                      <w:rFonts w:ascii="Arial" w:hAnsi="Arial" w:cs="Arial"/>
                      <w:sz w:val="20"/>
                      <w:szCs w:val="20"/>
                    </w:rPr>
                    <w:t>to radiation during autopsy and during body transfer.</w:t>
                  </w:r>
                </w:p>
                <w:p w:rsidR="00284646" w:rsidRDefault="00F51A07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The hospi</w:t>
                  </w:r>
                  <w:r w:rsidR="00E03E5E">
                    <w:rPr>
                      <w:rFonts w:ascii="Arial" w:hAnsi="Arial" w:cs="Arial"/>
                      <w:sz w:val="20"/>
                      <w:szCs w:val="20"/>
                    </w:rPr>
                    <w:t xml:space="preserve">tal radiation officer will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advise on</w:t>
                  </w:r>
                  <w:r w:rsidR="00812FF0"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post-</w:t>
                  </w:r>
                  <w:r w:rsidR="00812FF0"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exposure testing of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laboratory </w:t>
                  </w:r>
                  <w:r w:rsidR="00812FF0" w:rsidRPr="00170C0E">
                    <w:rPr>
                      <w:rFonts w:ascii="Arial" w:hAnsi="Arial" w:cs="Arial"/>
                      <w:sz w:val="20"/>
                      <w:szCs w:val="20"/>
                    </w:rPr>
                    <w:t>personnel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E6732E" w:rsidRPr="00E6732E" w:rsidRDefault="00E6732E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</w:tcPr>
                <w:p w:rsidR="00812FF0" w:rsidRDefault="006342D7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hyperlink r:id="rId8" w:history="1">
                    <w:r w:rsidR="00E6732E" w:rsidRPr="00E6732E">
                      <w:rPr>
                        <w:rStyle w:val="Hyperlink"/>
                        <w:rFonts w:ascii="Arial" w:hAnsi="Arial" w:cs="Arial"/>
                        <w:sz w:val="20"/>
                      </w:rPr>
                      <w:t>HI 1.19 Handling Tissues That May Contain Radioactive Material</w:t>
                    </w:r>
                  </w:hyperlink>
                </w:p>
                <w:p w:rsidR="00E6732E" w:rsidRPr="00170C0E" w:rsidRDefault="00E6732E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7</w:t>
                  </w:r>
                </w:p>
              </w:tc>
              <w:tc>
                <w:tcPr>
                  <w:tcW w:w="6030" w:type="dxa"/>
                  <w:vAlign w:val="center"/>
                </w:tcPr>
                <w:p w:rsidR="00812FF0" w:rsidRPr="00170C0E" w:rsidRDefault="00812FF0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Decontaminate work surfaces at the completion of a task, when known to be contaminated</w:t>
                  </w:r>
                  <w:r w:rsidR="00E6732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2B12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and at a minimum, </w:t>
                  </w:r>
                  <w:r w:rsidR="000B7625">
                    <w:rPr>
                      <w:rFonts w:ascii="Arial" w:hAnsi="Arial" w:cs="Arial"/>
                      <w:sz w:val="20"/>
                      <w:szCs w:val="20"/>
                    </w:rPr>
                    <w:t>at the completion of the autopsy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12FF0" w:rsidRPr="00170C0E" w:rsidRDefault="00812FF0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Flush away formaldehyde spills with soap and water BEFORE using bleach to prevent the formation of carcinogenic gas from the combination of formaldehyde and bleach.</w:t>
                  </w:r>
                </w:p>
              </w:tc>
              <w:tc>
                <w:tcPr>
                  <w:tcW w:w="2042" w:type="dxa"/>
                </w:tcPr>
                <w:p w:rsidR="00812FF0" w:rsidRPr="00170C0E" w:rsidRDefault="00812FF0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284646" w:rsidRPr="00170C0E" w:rsidTr="008F5810">
              <w:tc>
                <w:tcPr>
                  <w:tcW w:w="697" w:type="dxa"/>
                  <w:vAlign w:val="center"/>
                </w:tcPr>
                <w:p w:rsidR="00284646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6030" w:type="dxa"/>
                  <w:vAlign w:val="center"/>
                </w:tcPr>
                <w:p w:rsidR="00284646" w:rsidRPr="00170C0E" w:rsidRDefault="00634669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Discard fresh and fixed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patient 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ample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not needed for retention or testing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 in a container lined with a red biohazard bag.</w:t>
                  </w:r>
                </w:p>
              </w:tc>
              <w:tc>
                <w:tcPr>
                  <w:tcW w:w="2042" w:type="dxa"/>
                </w:tcPr>
                <w:p w:rsidR="00284646" w:rsidRPr="00170C0E" w:rsidRDefault="00284646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812FF0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70C0E">
                    <w:rPr>
                      <w:rFonts w:ascii="Arial" w:hAnsi="Arial" w:cs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6030" w:type="dxa"/>
                  <w:vAlign w:val="center"/>
                </w:tcPr>
                <w:p w:rsidR="00812FF0" w:rsidRPr="00170C0E" w:rsidRDefault="00634669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Discard</w:t>
                  </w:r>
                  <w:r w:rsidR="00284646"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 disposable scalpel blades</w:t>
                  </w:r>
                  <w:r w:rsidR="00284646">
                    <w:rPr>
                      <w:rFonts w:ascii="Arial" w:hAnsi="Arial" w:cs="Arial"/>
                      <w:sz w:val="20"/>
                      <w:szCs w:val="20"/>
                    </w:rPr>
                    <w:t>, needles,</w:t>
                  </w:r>
                  <w:r w:rsidR="00284646"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 and other sharps in a puncture resistant biohazard container.</w:t>
                  </w:r>
                </w:p>
              </w:tc>
              <w:tc>
                <w:tcPr>
                  <w:tcW w:w="2042" w:type="dxa"/>
                </w:tcPr>
                <w:p w:rsidR="00812FF0" w:rsidRPr="00170C0E" w:rsidRDefault="00812FF0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284646" w:rsidRPr="00170C0E" w:rsidTr="008F5810">
              <w:tc>
                <w:tcPr>
                  <w:tcW w:w="697" w:type="dxa"/>
                  <w:vAlign w:val="center"/>
                </w:tcPr>
                <w:p w:rsidR="00284646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6030" w:type="dxa"/>
                  <w:vAlign w:val="center"/>
                </w:tcPr>
                <w:p w:rsidR="00284646" w:rsidRPr="00170C0E" w:rsidRDefault="00284646" w:rsidP="00630506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Soak reusable instruments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/tools in liquid cleanser, scrub clean, rinse with water and place into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Cavicide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 xml:space="preserve">for a minimum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 one half hour</w:t>
                  </w:r>
                  <w:r w:rsidRPr="00170C0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Rinse with water, dry and replace properly.</w:t>
                  </w:r>
                </w:p>
              </w:tc>
              <w:tc>
                <w:tcPr>
                  <w:tcW w:w="2042" w:type="dxa"/>
                </w:tcPr>
                <w:p w:rsidR="00663F99" w:rsidRDefault="006342D7" w:rsidP="00663F99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hyperlink r:id="rId9" w:history="1">
                    <w:r w:rsidR="00663F99" w:rsidRPr="00BC1EDD">
                      <w:rPr>
                        <w:rStyle w:val="Hyperlink"/>
                        <w:rFonts w:ascii="Arial" w:hAnsi="Arial" w:cs="Arial"/>
                        <w:sz w:val="20"/>
                      </w:rPr>
                      <w:t>A 1.01 Autopsy Protocol</w:t>
                    </w:r>
                  </w:hyperlink>
                </w:p>
                <w:p w:rsidR="00284646" w:rsidRPr="00170C0E" w:rsidRDefault="00284646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812FF0" w:rsidRPr="00170C0E" w:rsidTr="008F5810">
              <w:tc>
                <w:tcPr>
                  <w:tcW w:w="697" w:type="dxa"/>
                  <w:vAlign w:val="center"/>
                </w:tcPr>
                <w:p w:rsidR="00812FF0" w:rsidRPr="00170C0E" w:rsidRDefault="00E03E5E" w:rsidP="008F581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6030" w:type="dxa"/>
                  <w:vAlign w:val="center"/>
                </w:tcPr>
                <w:p w:rsidR="00634669" w:rsidRDefault="0045018E" w:rsidP="0063050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Oxivir Tb wipes &amp; </w:t>
                  </w:r>
                  <w:r w:rsidR="00634669">
                    <w:rPr>
                      <w:rFonts w:ascii="Arial" w:hAnsi="Arial" w:cs="Arial"/>
                      <w:sz w:val="20"/>
                      <w:szCs w:val="20"/>
                    </w:rPr>
                    <w:t>Sani-Cloth wipes</w:t>
                  </w:r>
                  <w:r w:rsidR="00634669" w:rsidRPr="00F05EBD">
                    <w:rPr>
                      <w:rFonts w:ascii="Arial" w:hAnsi="Arial" w:cs="Arial"/>
                      <w:sz w:val="20"/>
                      <w:szCs w:val="20"/>
                    </w:rPr>
                    <w:t xml:space="preserve"> may be used to clean other equipment used (sink</w:t>
                  </w:r>
                  <w:r w:rsidR="00634669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634669" w:rsidRPr="00F05EBD">
                    <w:rPr>
                      <w:rFonts w:ascii="Arial" w:hAnsi="Arial" w:cs="Arial"/>
                      <w:sz w:val="20"/>
                      <w:szCs w:val="20"/>
                    </w:rPr>
                    <w:t>bone saw, flooring if necessary)</w:t>
                  </w:r>
                  <w:r w:rsidR="0063466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12FF0" w:rsidRPr="00170C0E" w:rsidRDefault="00634669" w:rsidP="0063050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EBD">
                    <w:rPr>
                      <w:rFonts w:ascii="Arial" w:hAnsi="Arial" w:cs="Arial"/>
                      <w:sz w:val="20"/>
                      <w:szCs w:val="20"/>
                    </w:rPr>
                    <w:t>Do not immerse the bone saw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’s </w:t>
                  </w:r>
                  <w:r w:rsidRPr="00F05EBD">
                    <w:rPr>
                      <w:rFonts w:ascii="Arial" w:hAnsi="Arial" w:cs="Arial"/>
                      <w:sz w:val="20"/>
                      <w:szCs w:val="20"/>
                    </w:rPr>
                    <w:t>handle/motors in 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ater. Unplug the saw</w:t>
                  </w:r>
                  <w:r w:rsidRPr="00F05EBD">
                    <w:rPr>
                      <w:rFonts w:ascii="Arial" w:hAnsi="Arial" w:cs="Arial"/>
                      <w:sz w:val="20"/>
                      <w:szCs w:val="20"/>
                    </w:rPr>
                    <w:t xml:space="preserve"> before removing the blades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for cleaning.</w:t>
                  </w:r>
                </w:p>
              </w:tc>
              <w:tc>
                <w:tcPr>
                  <w:tcW w:w="2042" w:type="dxa"/>
                </w:tcPr>
                <w:p w:rsidR="00663F99" w:rsidRDefault="006342D7" w:rsidP="00663F99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  <w:hyperlink r:id="rId10" w:history="1">
                    <w:r w:rsidR="00663F99" w:rsidRPr="00BC1EDD">
                      <w:rPr>
                        <w:rStyle w:val="Hyperlink"/>
                        <w:rFonts w:ascii="Arial" w:hAnsi="Arial" w:cs="Arial"/>
                        <w:sz w:val="20"/>
                      </w:rPr>
                      <w:t>A 1.01 Autopsy Protocol</w:t>
                    </w:r>
                  </w:hyperlink>
                </w:p>
                <w:p w:rsidR="00812FF0" w:rsidRPr="00170C0E" w:rsidRDefault="00812FF0" w:rsidP="00170C0E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6550E4" w:rsidRDefault="006550E4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264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 w:rsidP="00726453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26453" w:rsidRDefault="00726453" w:rsidP="00726453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453" w:rsidRDefault="00726453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BC1EDD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1" w:history="1">
              <w:r w:rsidR="00BC1EDD" w:rsidRPr="00BC1EDD">
                <w:rPr>
                  <w:rStyle w:val="Hyperlink"/>
                  <w:rFonts w:ascii="Arial" w:hAnsi="Arial" w:cs="Arial"/>
                  <w:sz w:val="20"/>
                </w:rPr>
                <w:t>SA 10.01 Standard Precautions</w:t>
              </w:r>
            </w:hyperlink>
          </w:p>
          <w:p w:rsidR="00BC1EDD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2" w:history="1">
              <w:r w:rsidR="00BC1EDD" w:rsidRPr="00BC1EDD">
                <w:rPr>
                  <w:rStyle w:val="Hyperlink"/>
                  <w:rFonts w:ascii="Arial" w:hAnsi="Arial" w:cs="Arial"/>
                  <w:sz w:val="20"/>
                </w:rPr>
                <w:t>SA 10.04 Personal Protective Practices</w:t>
              </w:r>
            </w:hyperlink>
          </w:p>
          <w:p w:rsidR="00BC1EDD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3" w:history="1">
              <w:r w:rsidR="00BC1EDD" w:rsidRPr="00BC1EDD">
                <w:rPr>
                  <w:rStyle w:val="Hyperlink"/>
                  <w:rFonts w:ascii="Arial" w:hAnsi="Arial" w:cs="Arial"/>
                  <w:sz w:val="20"/>
                </w:rPr>
                <w:t>A 1.01 Autopsy Protocol</w:t>
              </w:r>
            </w:hyperlink>
          </w:p>
          <w:p w:rsidR="00E6732E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4" w:history="1">
              <w:r w:rsidR="00E6732E" w:rsidRPr="00BC1EDD">
                <w:rPr>
                  <w:rStyle w:val="Hyperlink"/>
                  <w:rFonts w:ascii="Arial" w:hAnsi="Arial" w:cs="Arial"/>
                  <w:sz w:val="20"/>
                </w:rPr>
                <w:t>HI 1.18 CJD Disinfection Procedure</w:t>
              </w:r>
            </w:hyperlink>
          </w:p>
          <w:p w:rsidR="00E6732E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5" w:history="1">
              <w:r w:rsidR="00E6732E" w:rsidRPr="00E6732E">
                <w:rPr>
                  <w:rStyle w:val="Hyperlink"/>
                  <w:rFonts w:ascii="Arial" w:hAnsi="Arial" w:cs="Arial"/>
                  <w:sz w:val="20"/>
                </w:rPr>
                <w:t>HI 1.19 Handling Tissues That May Contain Radioactive Material</w:t>
              </w:r>
            </w:hyperlink>
          </w:p>
          <w:p w:rsidR="00BC1EDD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6" w:history="1">
              <w:r w:rsidR="00BC1EDD" w:rsidRPr="00BC1EDD">
                <w:rPr>
                  <w:rStyle w:val="Hyperlink"/>
                  <w:rFonts w:ascii="Arial" w:hAnsi="Arial" w:cs="Arial"/>
                  <w:sz w:val="20"/>
                </w:rPr>
                <w:t>A 2.14 Personal Protective Equipment</w:t>
              </w:r>
            </w:hyperlink>
          </w:p>
          <w:p w:rsidR="00601211" w:rsidRDefault="006342D7" w:rsidP="0072645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7" w:history="1">
              <w:r w:rsidR="00601211" w:rsidRPr="00601211">
                <w:rPr>
                  <w:rStyle w:val="Hyperlink"/>
                  <w:rFonts w:ascii="Arial" w:hAnsi="Arial" w:cs="Arial"/>
                  <w:sz w:val="20"/>
                </w:rPr>
                <w:t>1201.01 Standard Precautions for Infection Prevention and Control</w:t>
              </w:r>
            </w:hyperlink>
          </w:p>
          <w:p w:rsidR="00726453" w:rsidRDefault="00726453" w:rsidP="0060121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264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726453" w:rsidRDefault="0072645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726453" w:rsidRDefault="00726453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6453" w:rsidRDefault="0072645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26453" w:rsidRDefault="00B75394" w:rsidP="000D5FB3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OSHA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Bloodborne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Pathogen Standard 1910.1030</w:t>
            </w:r>
            <w:r w:rsidR="00F05EBD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B75394" w:rsidRDefault="00B75394" w:rsidP="000D5FB3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CDC Guideline for Isolation Precautions: Preventing Transmission of Infectious Agents in Healthcare Settings. 2007.</w:t>
            </w:r>
          </w:p>
          <w:p w:rsidR="00F05EBD" w:rsidRDefault="00F05EBD" w:rsidP="000D5FB3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CLSI. Protection of Laboratory Workers from Occupationally Acquired Infections; Approved Guideline-Fourth Edition. CLSI document M29-A4. Wayne, PA: Clinical and Laboratory Standards Institute; 2014.</w:t>
            </w:r>
          </w:p>
          <w:p w:rsidR="000D5FB3" w:rsidRPr="00A02751" w:rsidRDefault="000D5FB3" w:rsidP="000D5FB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 w:cs="Arial"/>
                <w:i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</w:rPr>
              <w:t>SARS</w:t>
            </w:r>
            <w:r w:rsidRPr="00A02751">
              <w:rPr>
                <w:rFonts w:ascii="Arial" w:hAnsi="Arial" w:cs="Arial"/>
                <w:iCs/>
                <w:sz w:val="20"/>
              </w:rPr>
              <w:t xml:space="preserve">, </w:t>
            </w:r>
            <w:r w:rsidRPr="00A02751">
              <w:rPr>
                <w:rFonts w:ascii="Arial" w:hAnsi="Arial" w:cs="Arial"/>
                <w:i/>
                <w:color w:val="000000"/>
                <w:kern w:val="36"/>
                <w:sz w:val="20"/>
                <w:szCs w:val="20"/>
              </w:rPr>
              <w:t>Appendix F5— Laboratory Biosafety Guidelines for Handling and Processing Sp</w:t>
            </w:r>
            <w:r>
              <w:rPr>
                <w:rFonts w:ascii="Arial" w:hAnsi="Arial" w:cs="Arial"/>
                <w:i/>
                <w:color w:val="000000"/>
                <w:kern w:val="36"/>
                <w:sz w:val="20"/>
                <w:szCs w:val="20"/>
              </w:rPr>
              <w:t>ecimens Associated with SARS-</w:t>
            </w:r>
            <w:proofErr w:type="spellStart"/>
            <w:r>
              <w:rPr>
                <w:rFonts w:ascii="Arial" w:hAnsi="Arial" w:cs="Arial"/>
                <w:i/>
                <w:color w:val="000000"/>
                <w:kern w:val="36"/>
                <w:sz w:val="20"/>
                <w:szCs w:val="20"/>
              </w:rPr>
              <w:t>CoV</w:t>
            </w:r>
            <w:proofErr w:type="spellEnd"/>
            <w:r>
              <w:rPr>
                <w:rFonts w:ascii="Arial" w:hAnsi="Arial" w:cs="Arial"/>
                <w:i/>
                <w:color w:val="000000"/>
                <w:kern w:val="3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CDC; Dec 6, 2017.</w:t>
            </w:r>
          </w:p>
          <w:p w:rsidR="000D5FB3" w:rsidRPr="009C03FF" w:rsidRDefault="000D5FB3" w:rsidP="000D5FB3">
            <w:pPr>
              <w:pStyle w:val="ListParagraph"/>
              <w:numPr>
                <w:ilvl w:val="0"/>
                <w:numId w:val="18"/>
              </w:numPr>
              <w:rPr>
                <w:strike/>
              </w:rPr>
            </w:pPr>
            <w:r w:rsidRPr="009C03FF">
              <w:rPr>
                <w:rFonts w:ascii="Arial" w:hAnsi="Arial" w:cs="Arial"/>
                <w:iCs/>
                <w:sz w:val="20"/>
              </w:rPr>
              <w:t xml:space="preserve">MERS, </w:t>
            </w:r>
            <w:r w:rsidRPr="009C03FF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Lab Biosafety Guidelines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CDC; Aug 2, 2019.</w:t>
            </w:r>
          </w:p>
          <w:p w:rsidR="000D5FB3" w:rsidRDefault="000D5FB3" w:rsidP="000D5FB3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COVID-19,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Laboratory Biosafety Guidelines, </w:t>
            </w:r>
            <w:r>
              <w:rPr>
                <w:rFonts w:ascii="Arial" w:hAnsi="Arial" w:cs="Arial"/>
                <w:iCs/>
                <w:sz w:val="20"/>
              </w:rPr>
              <w:t>CDC; Aug 11, 2020.</w:t>
            </w:r>
          </w:p>
          <w:p w:rsidR="000D5FB3" w:rsidRPr="000D5FB3" w:rsidRDefault="000D5FB3" w:rsidP="000D5FB3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Influenza (Flu), </w:t>
            </w:r>
            <w:r>
              <w:rPr>
                <w:rFonts w:ascii="Arial" w:hAnsi="Arial" w:cs="Arial"/>
                <w:i/>
                <w:iCs/>
                <w:sz w:val="20"/>
              </w:rPr>
              <w:t>CDC and USDA: Interim Risk Assessment and Biosafety Level Recommendations for Working with Influenza A (H7N9) Viruses</w:t>
            </w:r>
            <w:r>
              <w:rPr>
                <w:rFonts w:ascii="Arial" w:hAnsi="Arial" w:cs="Arial"/>
                <w:iCs/>
                <w:sz w:val="20"/>
              </w:rPr>
              <w:t>, CDC; Jun 6, 2013.</w:t>
            </w:r>
          </w:p>
          <w:p w:rsidR="00726453" w:rsidRDefault="0072645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264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6453" w:rsidRDefault="0072645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264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26453" w:rsidTr="00B753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B753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3" w:rsidRDefault="0072645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B75394" w:rsidTr="00B753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75394" w:rsidRDefault="00B7539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B753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B753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B753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B75394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75394" w:rsidTr="009F0C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75394" w:rsidRDefault="00B7539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9F0C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9F0C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Daniel Olson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9F0C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09/30/2010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94" w:rsidRDefault="009F0C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Reformatted.</w:t>
            </w:r>
          </w:p>
          <w:p w:rsidR="009F0CCA" w:rsidRDefault="009F0C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related documents.</w:t>
            </w:r>
          </w:p>
        </w:tc>
      </w:tr>
      <w:tr w:rsidR="009F0CCA" w:rsidTr="00F05E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9F0CCA" w:rsidRDefault="009F0CC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A" w:rsidRDefault="009F0C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A" w:rsidRDefault="009F0C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A" w:rsidRDefault="009F0C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10/31/2014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CA" w:rsidRDefault="009F0C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10.5.3.</w:t>
            </w:r>
          </w:p>
          <w:p w:rsidR="009F0CCA" w:rsidRDefault="009F0CCA" w:rsidP="009F0C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radiation safety information.</w:t>
            </w:r>
          </w:p>
          <w:p w:rsidR="009F0CCA" w:rsidRDefault="009F0CCA" w:rsidP="009F0C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F05EBD" w:rsidTr="000D5FB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05EBD" w:rsidRDefault="00F05EB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D" w:rsidRDefault="00F05E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D" w:rsidRDefault="00F05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D" w:rsidRDefault="00D755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11/03</w:t>
            </w:r>
            <w:r w:rsidR="00F05EBD">
              <w:rPr>
                <w:rFonts w:ascii="Arial" w:hAnsi="Arial" w:cs="Arial"/>
                <w:sz w:val="20"/>
              </w:rPr>
              <w:t>/2015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D" w:rsidRDefault="00F05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Listed additional PPE: Sleeve protectors, cut-resistant glove liners.</w:t>
            </w:r>
          </w:p>
          <w:p w:rsidR="00E03E5E" w:rsidRDefault="00E03E5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Included safety features on bone saw: blade shield &amp; vacuum with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Hepa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filter.</w:t>
            </w:r>
          </w:p>
          <w:p w:rsidR="00E6732E" w:rsidRDefault="00E6732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H 1.19 Handling Tissues That May Contain Radioactive Material to Supporting Documents.</w:t>
            </w:r>
          </w:p>
          <w:p w:rsidR="00F05EBD" w:rsidRDefault="00F05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CLSI reference.</w:t>
            </w:r>
          </w:p>
        </w:tc>
      </w:tr>
      <w:tr w:rsidR="000D5FB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D5FB3" w:rsidRDefault="000D5FB3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3" w:rsidRDefault="000D5F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3" w:rsidRDefault="000D5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3" w:rsidRDefault="000D5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10/14/2020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B3" w:rsidRDefault="000D5FB3" w:rsidP="000D5FB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Clarified necessary PPE for dealing with</w:t>
            </w:r>
            <w:r w:rsidR="0082130A">
              <w:rPr>
                <w:rFonts w:ascii="Arial" w:hAnsi="Arial" w:cs="Arial"/>
                <w:iCs/>
                <w:sz w:val="20"/>
              </w:rPr>
              <w:t xml:space="preserve"> patients</w:t>
            </w:r>
            <w:r>
              <w:rPr>
                <w:rFonts w:ascii="Arial" w:hAnsi="Arial" w:cs="Arial"/>
                <w:iCs/>
                <w:sz w:val="20"/>
              </w:rPr>
              <w:t xml:space="preserve"> suspected </w:t>
            </w:r>
            <w:r w:rsidR="0082130A">
              <w:rPr>
                <w:rFonts w:ascii="Arial" w:hAnsi="Arial" w:cs="Arial"/>
                <w:iCs/>
                <w:sz w:val="20"/>
              </w:rPr>
              <w:t>of having a highly infectious disease</w:t>
            </w:r>
            <w:r>
              <w:rPr>
                <w:rFonts w:ascii="Arial" w:hAnsi="Arial" w:cs="Arial"/>
                <w:iCs/>
                <w:sz w:val="20"/>
              </w:rPr>
              <w:t xml:space="preserve">. </w:t>
            </w:r>
          </w:p>
          <w:p w:rsidR="000D5FB3" w:rsidRDefault="000D5FB3" w:rsidP="000D5FB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</w:tbl>
    <w:p w:rsidR="0064550B" w:rsidRDefault="0064550B">
      <w:pPr>
        <w:rPr>
          <w:rFonts w:ascii="Arial" w:hAnsi="Arial" w:cs="Arial"/>
        </w:rPr>
      </w:pPr>
      <w:bookmarkStart w:id="0" w:name="_GoBack"/>
      <w:bookmarkEnd w:id="0"/>
    </w:p>
    <w:sectPr w:rsidR="0064550B" w:rsidSect="008D74B9">
      <w:headerReference w:type="default" r:id="rId18"/>
      <w:footerReference w:type="even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99" w:rsidRDefault="00C92299">
      <w:r>
        <w:separator/>
      </w:r>
    </w:p>
  </w:endnote>
  <w:endnote w:type="continuationSeparator" w:id="0">
    <w:p w:rsidR="00C92299" w:rsidRDefault="00C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32E" w:rsidRDefault="00D37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3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32E" w:rsidRDefault="00E673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32E" w:rsidRDefault="00E6732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</w:t>
    </w:r>
    <w:r w:rsidR="004F304C">
      <w:rPr>
        <w:rFonts w:ascii="Arial" w:hAnsi="Arial" w:cs="Arial"/>
        <w:sz w:val="16"/>
      </w:rPr>
      <w:t>sota Laboratory, Minneapolis/St</w:t>
    </w:r>
    <w:r>
      <w:rPr>
        <w:rFonts w:ascii="Arial" w:hAnsi="Arial" w:cs="Arial"/>
        <w:sz w:val="16"/>
      </w:rPr>
      <w:t xml:space="preserve"> Paul, MN</w:t>
    </w:r>
  </w:p>
  <w:p w:rsidR="00E6732E" w:rsidRDefault="00E6732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D37CD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37CD3">
      <w:rPr>
        <w:rFonts w:ascii="Arial" w:hAnsi="Arial" w:cs="Arial"/>
        <w:sz w:val="16"/>
      </w:rPr>
      <w:fldChar w:fldCharType="separate"/>
    </w:r>
    <w:r w:rsidR="006342D7">
      <w:rPr>
        <w:rFonts w:ascii="Arial" w:hAnsi="Arial" w:cs="Arial"/>
        <w:noProof/>
        <w:sz w:val="16"/>
      </w:rPr>
      <w:t>2</w:t>
    </w:r>
    <w:r w:rsidR="00D37CD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D37CD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D37CD3">
      <w:rPr>
        <w:rFonts w:ascii="Arial" w:hAnsi="Arial" w:cs="Arial"/>
        <w:sz w:val="16"/>
      </w:rPr>
      <w:fldChar w:fldCharType="separate"/>
    </w:r>
    <w:r w:rsidR="006342D7">
      <w:rPr>
        <w:rFonts w:ascii="Arial" w:hAnsi="Arial" w:cs="Arial"/>
        <w:noProof/>
        <w:sz w:val="16"/>
      </w:rPr>
      <w:t>3</w:t>
    </w:r>
    <w:r w:rsidR="00D37CD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99" w:rsidRDefault="00C92299">
      <w:r>
        <w:separator/>
      </w:r>
    </w:p>
  </w:footnote>
  <w:footnote w:type="continuationSeparator" w:id="0">
    <w:p w:rsidR="00C92299" w:rsidRDefault="00C9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32E" w:rsidRPr="0064550B" w:rsidRDefault="00E6732E">
    <w:pPr>
      <w:ind w:left="-72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SA 10.07 Safely Obtaining and Handling Autopsy Samples for Analysis</w:t>
    </w:r>
    <w:r w:rsidR="008D74B9">
      <w:rPr>
        <w:rFonts w:ascii="Arial" w:hAnsi="Arial" w:cs="Arial"/>
        <w:bCs/>
        <w:sz w:val="18"/>
        <w:szCs w:val="18"/>
      </w:rPr>
      <w:tab/>
    </w:r>
    <w:r w:rsidR="008D74B9">
      <w:rPr>
        <w:rFonts w:ascii="Arial" w:hAnsi="Arial" w:cs="Arial"/>
        <w:bCs/>
        <w:sz w:val="18"/>
        <w:szCs w:val="18"/>
      </w:rPr>
      <w:tab/>
    </w:r>
    <w:r w:rsidR="008D74B9">
      <w:rPr>
        <w:rFonts w:ascii="Arial" w:hAnsi="Arial" w:cs="Arial"/>
        <w:bCs/>
        <w:sz w:val="18"/>
        <w:szCs w:val="18"/>
      </w:rPr>
      <w:tab/>
    </w:r>
    <w:r w:rsidR="008D74B9">
      <w:rPr>
        <w:rFonts w:ascii="Arial" w:hAnsi="Arial" w:cs="Arial"/>
        <w:bCs/>
        <w:sz w:val="18"/>
        <w:szCs w:val="18"/>
      </w:rPr>
      <w:tab/>
    </w:r>
    <w:r w:rsidR="00860E0D">
      <w:rPr>
        <w:noProof/>
      </w:rPr>
      <w:drawing>
        <wp:inline distT="0" distB="0" distL="0" distR="0">
          <wp:extent cx="851535" cy="273050"/>
          <wp:effectExtent l="19050" t="0" r="571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732E" w:rsidRDefault="00E6732E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Version </w:t>
    </w:r>
    <w:r w:rsidR="006342D7">
      <w:rPr>
        <w:rFonts w:ascii="Arial" w:hAnsi="Arial" w:cs="Arial"/>
        <w:bCs/>
        <w:sz w:val="18"/>
      </w:rPr>
      <w:t>6</w:t>
    </w:r>
  </w:p>
  <w:p w:rsidR="00E6732E" w:rsidRPr="008D74B9" w:rsidRDefault="00E6732E" w:rsidP="008D74B9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</w:t>
    </w:r>
    <w:r w:rsidR="00D75526">
      <w:rPr>
        <w:rFonts w:ascii="Arial" w:hAnsi="Arial" w:cs="Arial"/>
        <w:bCs/>
        <w:sz w:val="18"/>
      </w:rPr>
      <w:t xml:space="preserve">e: </w:t>
    </w:r>
    <w:r w:rsidR="00E95AAB"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847E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  <w:r w:rsidR="006342D7">
      <w:rPr>
        <w:rFonts w:ascii="Arial" w:hAnsi="Arial" w:cs="Arial"/>
        <w:bCs/>
        <w:sz w:val="18"/>
      </w:rPr>
      <w:t>10/14/2020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520"/>
    <w:multiLevelType w:val="hybridMultilevel"/>
    <w:tmpl w:val="2FBCB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D61AD"/>
    <w:multiLevelType w:val="hybridMultilevel"/>
    <w:tmpl w:val="0F881A84"/>
    <w:lvl w:ilvl="0" w:tplc="ACACB6B4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32A1E"/>
    <w:multiLevelType w:val="hybridMultilevel"/>
    <w:tmpl w:val="06E4A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D18F0"/>
    <w:multiLevelType w:val="hybridMultilevel"/>
    <w:tmpl w:val="78782858"/>
    <w:lvl w:ilvl="0" w:tplc="17100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1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6A"/>
    <w:rsid w:val="0005398E"/>
    <w:rsid w:val="000B7625"/>
    <w:rsid w:val="000D5FB3"/>
    <w:rsid w:val="00170C0E"/>
    <w:rsid w:val="00223233"/>
    <w:rsid w:val="0023234A"/>
    <w:rsid w:val="00284646"/>
    <w:rsid w:val="00286BC0"/>
    <w:rsid w:val="002965A2"/>
    <w:rsid w:val="002B1281"/>
    <w:rsid w:val="00343483"/>
    <w:rsid w:val="003B5734"/>
    <w:rsid w:val="003C2416"/>
    <w:rsid w:val="0045018E"/>
    <w:rsid w:val="004F304C"/>
    <w:rsid w:val="0050069B"/>
    <w:rsid w:val="00601211"/>
    <w:rsid w:val="00630506"/>
    <w:rsid w:val="006342D7"/>
    <w:rsid w:val="00634669"/>
    <w:rsid w:val="0064550B"/>
    <w:rsid w:val="006550E4"/>
    <w:rsid w:val="00663F99"/>
    <w:rsid w:val="006742B5"/>
    <w:rsid w:val="006A6A6C"/>
    <w:rsid w:val="00705779"/>
    <w:rsid w:val="00726453"/>
    <w:rsid w:val="00760652"/>
    <w:rsid w:val="007706DE"/>
    <w:rsid w:val="007862BE"/>
    <w:rsid w:val="007904DE"/>
    <w:rsid w:val="00812FF0"/>
    <w:rsid w:val="0082130A"/>
    <w:rsid w:val="00860E0D"/>
    <w:rsid w:val="008D74B9"/>
    <w:rsid w:val="008F5810"/>
    <w:rsid w:val="00953F8A"/>
    <w:rsid w:val="009F0CCA"/>
    <w:rsid w:val="00A24573"/>
    <w:rsid w:val="00B75394"/>
    <w:rsid w:val="00B9266B"/>
    <w:rsid w:val="00BA0394"/>
    <w:rsid w:val="00BB47E1"/>
    <w:rsid w:val="00BC1EDD"/>
    <w:rsid w:val="00C92299"/>
    <w:rsid w:val="00D37CD3"/>
    <w:rsid w:val="00D41542"/>
    <w:rsid w:val="00D619FC"/>
    <w:rsid w:val="00D75526"/>
    <w:rsid w:val="00E03E5E"/>
    <w:rsid w:val="00E6732E"/>
    <w:rsid w:val="00E8606A"/>
    <w:rsid w:val="00E95AAB"/>
    <w:rsid w:val="00F05EBD"/>
    <w:rsid w:val="00F16DDF"/>
    <w:rsid w:val="00F20400"/>
    <w:rsid w:val="00F51A07"/>
    <w:rsid w:val="00F920EC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gray"/>
    </o:shapedefaults>
    <o:shapelayout v:ext="edit">
      <o:idmap v:ext="edit" data="1"/>
    </o:shapelayout>
  </w:shapeDefaults>
  <w:decimalSymbol w:val="."/>
  <w:listSeparator w:val=","/>
  <w15:docId w15:val="{7DA10ED8-EAE5-43D3-86F8-4BDE776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D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37CD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37CD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37CD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37CD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37CD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37CD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37CD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37CD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37CD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37CD3"/>
    <w:rPr>
      <w:bCs/>
      <w:iCs/>
      <w:color w:val="000000"/>
    </w:rPr>
  </w:style>
  <w:style w:type="paragraph" w:styleId="Header">
    <w:name w:val="header"/>
    <w:basedOn w:val="Normal"/>
    <w:link w:val="HeaderChar"/>
    <w:rsid w:val="00D37CD3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D37CD3"/>
    <w:pPr>
      <w:ind w:left="360" w:hanging="360"/>
    </w:pPr>
  </w:style>
  <w:style w:type="paragraph" w:styleId="Title">
    <w:name w:val="Title"/>
    <w:basedOn w:val="Normal"/>
    <w:qFormat/>
    <w:rsid w:val="00D37CD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D37CD3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D37CD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37CD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37CD3"/>
    <w:pPr>
      <w:numPr>
        <w:numId w:val="0"/>
      </w:numPr>
    </w:pPr>
  </w:style>
  <w:style w:type="paragraph" w:customStyle="1" w:styleId="TableText">
    <w:name w:val="Table Text"/>
    <w:basedOn w:val="Normal"/>
    <w:rsid w:val="00D37CD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37CD3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D37CD3"/>
    <w:rPr>
      <w:b/>
      <w:color w:val="0000FF"/>
    </w:rPr>
  </w:style>
  <w:style w:type="paragraph" w:customStyle="1" w:styleId="Sec2Hdr1">
    <w:name w:val="Sec2 Hdr1"/>
    <w:rsid w:val="00D37CD3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D37CD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37CD3"/>
    <w:rPr>
      <w:color w:val="800080"/>
      <w:u w:val="single"/>
    </w:rPr>
  </w:style>
  <w:style w:type="character" w:styleId="PageNumber">
    <w:name w:val="page number"/>
    <w:basedOn w:val="DefaultParagraphFont"/>
    <w:semiHidden/>
    <w:rsid w:val="00D37CD3"/>
  </w:style>
  <w:style w:type="table" w:styleId="TableGrid">
    <w:name w:val="Table Grid"/>
    <w:basedOn w:val="TableNormal"/>
    <w:uiPriority w:val="59"/>
    <w:rsid w:val="00726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D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D5FB3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0D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HIS/CytProc/184555.pdf" TargetMode="External"/><Relationship Id="rId13" Type="http://schemas.openxmlformats.org/officeDocument/2006/relationships/hyperlink" Target="http://khan.childrensmn.org/Manuals/Lab/SOP/HIS/AutProc/191065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han.childrensmn.org/Manuals/Lab/SOP/HIS/AutProc/191071.pdf" TargetMode="External"/><Relationship Id="rId12" Type="http://schemas.openxmlformats.org/officeDocument/2006/relationships/hyperlink" Target="http://khan.childrensmn.org/Manuals/Lab/SOP/Gen/Safety/SA/205901.pdf" TargetMode="External"/><Relationship Id="rId17" Type="http://schemas.openxmlformats.org/officeDocument/2006/relationships/hyperlink" Target="http://khan.childrensmn.org/manuals/policy/1200/0056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Lab/SOP/HIS/AutProc/197677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SA/20767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Lab/SOP/HIS/CytProc/184555.pdf" TargetMode="External"/><Relationship Id="rId10" Type="http://schemas.openxmlformats.org/officeDocument/2006/relationships/hyperlink" Target="http://khan.childrensmn.org/Manuals/Lab/SOP/HIS/AutProc/191065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HIS/AutProc/191065.pdf" TargetMode="External"/><Relationship Id="rId14" Type="http://schemas.openxmlformats.org/officeDocument/2006/relationships/hyperlink" Target="http://khan.childrensmn.org/Manuals/Lab/SOP/HIS/AutProc/19107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5975</CharactersWithSpaces>
  <SharedDoc>false</SharedDoc>
  <HLinks>
    <vt:vector size="66" baseType="variant">
      <vt:variant>
        <vt:i4>2883629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http://khan.childrensmn.org/manuals/policy/1200/005603.pdf</vt:lpwstr>
      </vt:variant>
      <vt:variant>
        <vt:lpwstr/>
      </vt:variant>
      <vt:variant>
        <vt:i4>8192105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http://khan.childrensmn.org/Manuals/Lab/SOP/HIS/AutProc/197677.pdf</vt:lpwstr>
      </vt:variant>
      <vt:variant>
        <vt:lpwstr/>
      </vt:variant>
      <vt:variant>
        <vt:i4>7405674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http://khan.childrensmn.org/Manuals/Lab/SOP/HIS/CytProc/184555.pdf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http://khan.childrensmn.org/Manuals/Lab/SOP/HIS/AutProc/191071.pdf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http://khan.childrensmn.org/Manuals/Lab/SOP/HIS/AutProc/191065.pdf</vt:lpwstr>
      </vt:variant>
      <vt:variant>
        <vt:lpwstr/>
      </vt:variant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1704019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http://khan.childrensmn.org/Manuals/Lab/SOP/Gen/Safety/SA/207671.pdf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http://khan.childrensmn.org/Manuals/Lab/SOP/HIS/AutProc/191065.pdf</vt:lpwstr>
      </vt:variant>
      <vt:variant>
        <vt:lpwstr/>
      </vt:variant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http://khan.childrensmn.org/Manuals/Lab/SOP/HIS/AutProc/191065.pdf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http://khan.childrensmn.org/Manuals/Lab/SOP/HIS/CytProc/184555.pdf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http://khan.childrensmn.org/Manuals/Lab/SOP/HIS/AutProc/191071.pdf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7</cp:revision>
  <cp:lastPrinted>2015-10-29T20:02:00Z</cp:lastPrinted>
  <dcterms:created xsi:type="dcterms:W3CDTF">2020-09-04T12:29:00Z</dcterms:created>
  <dcterms:modified xsi:type="dcterms:W3CDTF">2020-09-10T16:21:00Z</dcterms:modified>
</cp:coreProperties>
</file>