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828"/>
        <w:gridCol w:w="972"/>
        <w:gridCol w:w="900"/>
        <w:gridCol w:w="540"/>
        <w:gridCol w:w="1080"/>
        <w:gridCol w:w="1476"/>
        <w:gridCol w:w="339"/>
        <w:gridCol w:w="1515"/>
        <w:gridCol w:w="2682"/>
      </w:tblGrid>
      <w:tr w:rsidR="004E4DB2" w:rsidTr="00C329E8">
        <w:trPr>
          <w:gridAfter w:val="1"/>
          <w:wAfter w:w="2682" w:type="dxa"/>
          <w:cantSplit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4DB2" w:rsidRDefault="002C334E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Emergency Eyewashes and Safety Showers</w:t>
            </w:r>
            <w:r w:rsidR="004E4DB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C329E8">
        <w:trPr>
          <w:gridAfter w:val="1"/>
          <w:wAfter w:w="2682" w:type="dxa"/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2C334E" w:rsidRDefault="002C334E" w:rsidP="002C334E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instructions for testing and using EMERGENCY EYEWASHES AND SAFETY SHOWERS.</w:t>
            </w:r>
          </w:p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4DB2" w:rsidTr="00C329E8">
        <w:trPr>
          <w:gridAfter w:val="1"/>
          <w:wAfter w:w="2682" w:type="dxa"/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34E" w:rsidRDefault="002C334E" w:rsidP="002C334E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C334E" w:rsidRDefault="002C334E" w:rsidP="00493C3C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Eyewashes and safety showers are provided in the laboratory for the emergency treatment of </w:t>
            </w:r>
            <w:r w:rsidR="00E70B79">
              <w:rPr>
                <w:rFonts w:ascii="Arial" w:hAnsi="Arial" w:cs="Arial"/>
                <w:sz w:val="20"/>
                <w:szCs w:val="20"/>
              </w:rPr>
              <w:t xml:space="preserve">eyes and </w:t>
            </w:r>
            <w:r>
              <w:rPr>
                <w:rFonts w:ascii="Arial" w:hAnsi="Arial" w:cs="Arial"/>
                <w:sz w:val="20"/>
                <w:szCs w:val="20"/>
              </w:rPr>
              <w:t>body of persons that may be</w:t>
            </w:r>
            <w:r w:rsidR="00E70B79">
              <w:rPr>
                <w:rFonts w:ascii="Arial" w:hAnsi="Arial" w:cs="Arial"/>
                <w:sz w:val="20"/>
                <w:szCs w:val="20"/>
              </w:rPr>
              <w:t xml:space="preserve"> exposed to hazardous materials;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acids, caustics, </w:t>
            </w:r>
            <w:r w:rsidR="00AE4853">
              <w:rPr>
                <w:rFonts w:ascii="Arial" w:hAnsi="Arial" w:cs="Arial"/>
                <w:sz w:val="20"/>
                <w:szCs w:val="20"/>
              </w:rPr>
              <w:t>corrosives,</w:t>
            </w:r>
            <w:r w:rsidR="00E70B79">
              <w:rPr>
                <w:rFonts w:ascii="Arial" w:hAnsi="Arial" w:cs="Arial"/>
                <w:sz w:val="20"/>
                <w:szCs w:val="20"/>
              </w:rPr>
              <w:t xml:space="preserve"> or microbial pathogens. </w:t>
            </w:r>
            <w:r>
              <w:rPr>
                <w:rFonts w:ascii="Arial" w:hAnsi="Arial" w:cs="Arial"/>
                <w:sz w:val="20"/>
                <w:szCs w:val="20"/>
              </w:rPr>
              <w:t>These devices are not substitutes for</w:t>
            </w:r>
            <w:r w:rsidR="00E70B79">
              <w:rPr>
                <w:rFonts w:ascii="Arial" w:hAnsi="Arial" w:cs="Arial"/>
                <w:sz w:val="20"/>
                <w:szCs w:val="20"/>
              </w:rPr>
              <w:t xml:space="preserve"> primary protective equipment. </w:t>
            </w:r>
            <w:r>
              <w:rPr>
                <w:rFonts w:ascii="Arial" w:hAnsi="Arial" w:cs="Arial"/>
                <w:sz w:val="20"/>
                <w:szCs w:val="20"/>
              </w:rPr>
              <w:t>Workers must wear eye protection, face protection, gloves</w:t>
            </w:r>
            <w:r w:rsidR="00E70B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lab coats as necessary.   Eyewashes and safety showers are tested weekly.  </w:t>
            </w:r>
          </w:p>
          <w:p w:rsidR="002C334E" w:rsidRDefault="002C334E" w:rsidP="002C334E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C334E" w:rsidRDefault="002C334E" w:rsidP="00493C3C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policy applies to all laboratory staff.</w:t>
            </w:r>
          </w:p>
          <w:p w:rsidR="004E4DB2" w:rsidRDefault="004E4DB2" w:rsidP="002C334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C3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72"/>
        </w:trPr>
        <w:tc>
          <w:tcPr>
            <w:tcW w:w="1800" w:type="dxa"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2C334E" w:rsidTr="00C3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2C334E" w:rsidTr="00C3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2C334E" w:rsidRDefault="002C33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4E" w:rsidRDefault="002C334E" w:rsidP="007D63C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Maintenance tag/form</w:t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34E" w:rsidRPr="002C334E" w:rsidRDefault="002C334E" w:rsidP="007D63C0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Shower testing kit</w:t>
            </w:r>
          </w:p>
          <w:p w:rsidR="002C334E" w:rsidRPr="00FA3E09" w:rsidRDefault="00FA3E09" w:rsidP="007D63C0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Funnel</w:t>
            </w:r>
          </w:p>
          <w:p w:rsidR="00FA3E09" w:rsidRDefault="00FA3E09" w:rsidP="007D63C0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Collection bucket</w:t>
            </w:r>
          </w:p>
        </w:tc>
      </w:tr>
      <w:tr w:rsidR="002C334E" w:rsidTr="00C3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2C334E" w:rsidRDefault="002C33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4E" w:rsidRDefault="00FA3E0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Minneapolis</w:t>
            </w:r>
          </w:p>
          <w:p w:rsidR="00FA3E09" w:rsidRDefault="00314399">
            <w:pPr>
              <w:jc w:val="left"/>
              <w:rPr>
                <w:rFonts w:ascii="Arial" w:hAnsi="Arial" w:cs="Arial"/>
                <w:sz w:val="20"/>
              </w:rPr>
            </w:pPr>
            <w:hyperlink r:id="rId7" w:history="1">
              <w:r w:rsidR="00704B05">
                <w:rPr>
                  <w:rStyle w:val="Hyperlink"/>
                  <w:rFonts w:ascii="Arial" w:hAnsi="Arial" w:cs="Arial"/>
                  <w:sz w:val="20"/>
                </w:rPr>
                <w:t>Minneapolis Laboratory Safety Equipment Map</w:t>
              </w:r>
            </w:hyperlink>
          </w:p>
          <w:p w:rsidR="00FA3E09" w:rsidRDefault="00314399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 w:rsidR="00A00D44">
                <w:rPr>
                  <w:rStyle w:val="Hyperlink"/>
                  <w:rFonts w:ascii="Arial" w:hAnsi="Arial" w:cs="Arial"/>
                  <w:sz w:val="20"/>
                </w:rPr>
                <w:t>Minneapolis</w:t>
              </w:r>
              <w:r w:rsidR="00FA3E09" w:rsidRPr="00E41A42">
                <w:rPr>
                  <w:rStyle w:val="Hyperlink"/>
                  <w:rFonts w:ascii="Arial" w:hAnsi="Arial" w:cs="Arial"/>
                  <w:sz w:val="20"/>
                </w:rPr>
                <w:t xml:space="preserve"> Histology Safety Equipment Map</w:t>
              </w:r>
            </w:hyperlink>
          </w:p>
          <w:p w:rsidR="00675340" w:rsidRDefault="00314399">
            <w:pPr>
              <w:jc w:val="left"/>
              <w:rPr>
                <w:rFonts w:ascii="Arial" w:hAnsi="Arial" w:cs="Arial"/>
                <w:sz w:val="20"/>
              </w:rPr>
            </w:pPr>
            <w:hyperlink r:id="rId9" w:history="1">
              <w:r w:rsidR="00704B05">
                <w:rPr>
                  <w:rStyle w:val="Hyperlink"/>
                  <w:rFonts w:ascii="Arial" w:hAnsi="Arial" w:cs="Arial"/>
                  <w:sz w:val="20"/>
                </w:rPr>
                <w:t>Minneapolis CSC Outpatient Lab Safety Equipment Map</w:t>
              </w:r>
            </w:hyperlink>
          </w:p>
          <w:p w:rsidR="00C329E8" w:rsidRPr="00FA3E09" w:rsidRDefault="00C329E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340" w:rsidRDefault="00FA3E09" w:rsidP="00FA2A1E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</w:t>
            </w:r>
            <w:r w:rsidR="00B47AA0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Paul</w:t>
            </w:r>
          </w:p>
          <w:p w:rsidR="00675340" w:rsidRPr="00675340" w:rsidRDefault="00314399" w:rsidP="00704B05">
            <w:pPr>
              <w:ind w:left="72"/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675340" w:rsidRPr="00E41A42">
                <w:rPr>
                  <w:rStyle w:val="Hyperlink"/>
                  <w:rFonts w:ascii="Arial" w:hAnsi="Arial" w:cs="Arial"/>
                  <w:sz w:val="20"/>
                </w:rPr>
                <w:t>St</w:t>
              </w:r>
              <w:r w:rsidR="00704B05">
                <w:rPr>
                  <w:rStyle w:val="Hyperlink"/>
                  <w:rFonts w:ascii="Arial" w:hAnsi="Arial" w:cs="Arial"/>
                  <w:sz w:val="20"/>
                </w:rPr>
                <w:t>. Paul</w:t>
              </w:r>
              <w:r w:rsidR="00675340" w:rsidRPr="00E41A42">
                <w:rPr>
                  <w:rStyle w:val="Hyperlink"/>
                  <w:rFonts w:ascii="Arial" w:hAnsi="Arial" w:cs="Arial"/>
                  <w:sz w:val="20"/>
                </w:rPr>
                <w:t xml:space="preserve"> Laboratory Safety Equipment Map</w:t>
              </w:r>
            </w:hyperlink>
          </w:p>
        </w:tc>
      </w:tr>
      <w:tr w:rsidR="00675340" w:rsidTr="00C3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675340" w:rsidRDefault="0067534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340" w:rsidRDefault="00675340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75340">
              <w:rPr>
                <w:rFonts w:ascii="Arial" w:hAnsi="Arial" w:cs="Arial"/>
                <w:sz w:val="20"/>
                <w:u w:val="single"/>
              </w:rPr>
              <w:t>Emergency Eyewash</w:t>
            </w:r>
          </w:p>
          <w:p w:rsid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lab (2)</w:t>
            </w:r>
          </w:p>
          <w:p w:rsid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Microbiology</w:t>
            </w:r>
          </w:p>
          <w:p w:rsid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314399">
              <w:rPr>
                <w:rFonts w:ascii="Arial" w:hAnsi="Arial" w:cs="Arial"/>
                <w:sz w:val="20"/>
              </w:rPr>
              <w:t>ycology</w:t>
            </w:r>
            <w:bookmarkStart w:id="0" w:name="_GoBack"/>
            <w:bookmarkEnd w:id="0"/>
          </w:p>
          <w:p w:rsid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Histology (3)</w:t>
            </w:r>
          </w:p>
          <w:p w:rsid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Chemical recycler room - B366</w:t>
            </w:r>
          </w:p>
          <w:p w:rsid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Morgue</w:t>
            </w:r>
          </w:p>
          <w:p w:rsidR="00675340" w:rsidRPr="00675340" w:rsidRDefault="00675340" w:rsidP="007D63C0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CSC outpatient lab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340" w:rsidRDefault="00675340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Safety Shower</w:t>
            </w:r>
          </w:p>
          <w:p w:rsidR="00675340" w:rsidRPr="00675340" w:rsidRDefault="00675340" w:rsidP="007D63C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Main lab</w:t>
            </w:r>
          </w:p>
          <w:p w:rsidR="00675340" w:rsidRPr="00675340" w:rsidRDefault="00675340" w:rsidP="007D63C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Back hallway between Micro &amp; Molecular</w:t>
            </w:r>
          </w:p>
          <w:p w:rsidR="00675340" w:rsidRPr="00675340" w:rsidRDefault="00675340" w:rsidP="007D63C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Histology</w:t>
            </w:r>
          </w:p>
          <w:p w:rsidR="00675340" w:rsidRPr="00675340" w:rsidRDefault="00675340" w:rsidP="007D63C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Chemical recycler room – B366</w:t>
            </w:r>
          </w:p>
          <w:p w:rsidR="00675340" w:rsidRPr="00675340" w:rsidRDefault="00675340" w:rsidP="007D63C0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 w:rsidRPr="00675340">
              <w:rPr>
                <w:rFonts w:ascii="Arial" w:hAnsi="Arial" w:cs="Arial"/>
                <w:sz w:val="20"/>
              </w:rPr>
              <w:t>Morgue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340" w:rsidRDefault="00675340" w:rsidP="00675340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  <w:r w:rsidRPr="00675340">
              <w:rPr>
                <w:rFonts w:ascii="Arial" w:hAnsi="Arial" w:cs="Arial"/>
                <w:sz w:val="20"/>
                <w:u w:val="single"/>
              </w:rPr>
              <w:t>Emergency Eyewash</w:t>
            </w:r>
          </w:p>
          <w:p w:rsidR="00675340" w:rsidRPr="00675340" w:rsidRDefault="00675340" w:rsidP="007D63C0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Main lab (2)</w:t>
            </w:r>
          </w:p>
          <w:p w:rsidR="00675340" w:rsidRPr="00675340" w:rsidRDefault="00675340" w:rsidP="007D63C0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Histology</w:t>
            </w:r>
          </w:p>
          <w:p w:rsidR="00675340" w:rsidRPr="00AE4853" w:rsidRDefault="00675340" w:rsidP="007D63C0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Morgue</w:t>
            </w:r>
          </w:p>
          <w:p w:rsidR="00AE4853" w:rsidRPr="00675340" w:rsidRDefault="00AE4853" w:rsidP="007D63C0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Garden View outpatient lab</w:t>
            </w:r>
          </w:p>
          <w:p w:rsidR="00675340" w:rsidRPr="00675340" w:rsidRDefault="00675340" w:rsidP="00E70B79">
            <w:pPr>
              <w:ind w:left="36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40" w:rsidRDefault="00675340" w:rsidP="00675340">
            <w:pPr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Safety Shower</w:t>
            </w:r>
          </w:p>
          <w:p w:rsidR="00675340" w:rsidRDefault="00675340" w:rsidP="007D63C0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lab (2)</w:t>
            </w:r>
          </w:p>
          <w:p w:rsidR="00675340" w:rsidRPr="00675340" w:rsidRDefault="00675340" w:rsidP="007D63C0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Morgue</w:t>
            </w:r>
          </w:p>
        </w:tc>
        <w:tc>
          <w:tcPr>
            <w:tcW w:w="2682" w:type="dxa"/>
          </w:tcPr>
          <w:p w:rsidR="00675340" w:rsidRDefault="00675340" w:rsidP="002C334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334E" w:rsidTr="00C3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Special Safety Precautions </w:t>
            </w:r>
          </w:p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90" w:type="dxa"/>
            <w:gridSpan w:val="10"/>
            <w:tcBorders>
              <w:bottom w:val="single" w:sz="6" w:space="0" w:color="auto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/>
                <w:sz w:val="20"/>
              </w:rPr>
            </w:pPr>
          </w:p>
          <w:p w:rsidR="00E70B79" w:rsidRDefault="00936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few seconds after exposure to a hazardous chemical (especially a corrosive chemical) are critical.  Delaying treatment, even for a few seconds, may result in irreparable tissue damage.  Never hesitate to use safety equipment.</w:t>
            </w:r>
          </w:p>
          <w:p w:rsidR="00F61165" w:rsidRPr="00E70B79" w:rsidRDefault="00F611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4E" w:rsidTr="00C329E8">
        <w:trPr>
          <w:gridAfter w:val="1"/>
          <w:wAfter w:w="2682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334E" w:rsidRDefault="002C334E">
            <w:pPr>
              <w:rPr>
                <w:rFonts w:ascii="Arial" w:hAnsi="Arial" w:cs="Arial"/>
                <w:b/>
                <w:sz w:val="20"/>
              </w:rPr>
            </w:pPr>
          </w:p>
          <w:p w:rsidR="002C334E" w:rsidRDefault="002C334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090" w:type="dxa"/>
            <w:gridSpan w:val="10"/>
            <w:tcBorders>
              <w:left w:val="nil"/>
              <w:bottom w:val="nil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sz w:val="20"/>
              </w:rPr>
            </w:pPr>
          </w:p>
          <w:p w:rsidR="00936916" w:rsidRDefault="00936916" w:rsidP="00936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activities in the table below for WEEKLY TESTING OF EMERGENCY EYEWASHES.</w:t>
            </w:r>
          </w:p>
          <w:p w:rsidR="002C334E" w:rsidRDefault="002C334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6916" w:rsidTr="00E94D47">
        <w:trPr>
          <w:gridAfter w:val="1"/>
          <w:wAfter w:w="2682" w:type="dxa"/>
          <w:cantSplit/>
          <w:trHeight w:val="1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Default="009369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6916" w:rsidRDefault="009369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</w:tcBorders>
          </w:tcPr>
          <w:p w:rsidR="00936916" w:rsidRDefault="0093691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936916" w:rsidTr="006C73E1">
        <w:trPr>
          <w:gridAfter w:val="1"/>
          <w:wAfter w:w="2682" w:type="dxa"/>
          <w:cantSplit/>
          <w:trHeight w:val="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Default="009369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36916" w:rsidRDefault="00936916" w:rsidP="006C73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10" w:type="dxa"/>
            <w:gridSpan w:val="9"/>
            <w:vAlign w:val="center"/>
          </w:tcPr>
          <w:p w:rsidR="00936916" w:rsidRDefault="00936916" w:rsidP="006C73E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Activate the eyewash and flush for three minutes. This helps to reduce bacterial and amoebic contamination.</w:t>
            </w:r>
          </w:p>
        </w:tc>
      </w:tr>
      <w:tr w:rsidR="00936916" w:rsidTr="006C73E1">
        <w:trPr>
          <w:gridAfter w:val="1"/>
          <w:wAfter w:w="2682" w:type="dxa"/>
          <w:cantSplit/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Default="009369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936916" w:rsidRDefault="00936916" w:rsidP="006C73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10" w:type="dxa"/>
            <w:gridSpan w:val="9"/>
            <w:tcBorders>
              <w:bottom w:val="nil"/>
            </w:tcBorders>
            <w:vAlign w:val="center"/>
          </w:tcPr>
          <w:p w:rsidR="00936916" w:rsidRDefault="00936916" w:rsidP="006C7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any clutter around the eyewash so access is not impaired.</w:t>
            </w:r>
          </w:p>
        </w:tc>
      </w:tr>
      <w:tr w:rsidR="00936916" w:rsidTr="006C73E1">
        <w:trPr>
          <w:gridAfter w:val="1"/>
          <w:wAfter w:w="2682" w:type="dxa"/>
          <w:cantSplit/>
          <w:trHeight w:val="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Default="009369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936916" w:rsidRDefault="00936916" w:rsidP="006C73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10" w:type="dxa"/>
            <w:gridSpan w:val="9"/>
            <w:tcBorders>
              <w:bottom w:val="nil"/>
            </w:tcBorders>
            <w:vAlign w:val="center"/>
          </w:tcPr>
          <w:p w:rsidR="00936916" w:rsidRDefault="00936916" w:rsidP="006C7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water pressure, temperature</w:t>
            </w:r>
            <w:r w:rsidR="00E70B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colo</w:t>
            </w:r>
            <w:r w:rsidR="00414E4D">
              <w:rPr>
                <w:rFonts w:ascii="Arial" w:hAnsi="Arial" w:cs="Arial"/>
                <w:sz w:val="20"/>
                <w:szCs w:val="20"/>
              </w:rPr>
              <w:t>r appear</w:t>
            </w:r>
            <w:r w:rsidR="00E70B79">
              <w:rPr>
                <w:rFonts w:ascii="Arial" w:hAnsi="Arial" w:cs="Arial"/>
                <w:sz w:val="20"/>
                <w:szCs w:val="20"/>
              </w:rPr>
              <w:t>s</w:t>
            </w:r>
            <w:r w:rsidR="00414E4D">
              <w:rPr>
                <w:rFonts w:ascii="Arial" w:hAnsi="Arial" w:cs="Arial"/>
                <w:sz w:val="20"/>
                <w:szCs w:val="20"/>
              </w:rPr>
              <w:t xml:space="preserve"> abnormal, contact the Facilities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department.</w:t>
            </w:r>
          </w:p>
        </w:tc>
      </w:tr>
      <w:tr w:rsidR="00936916" w:rsidTr="006C73E1">
        <w:trPr>
          <w:gridAfter w:val="1"/>
          <w:wAfter w:w="2682" w:type="dxa"/>
          <w:cantSplit/>
          <w:trHeight w:val="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Default="009369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936916" w:rsidRDefault="00936916" w:rsidP="006C73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10" w:type="dxa"/>
            <w:gridSpan w:val="9"/>
            <w:tcBorders>
              <w:bottom w:val="nil"/>
            </w:tcBorders>
            <w:vAlign w:val="center"/>
          </w:tcPr>
          <w:p w:rsidR="00936916" w:rsidRDefault="00936916" w:rsidP="006C73E1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flushing, ensure nozzle caps are back in place to protect them from airborne contaminants.</w:t>
            </w:r>
          </w:p>
        </w:tc>
      </w:tr>
      <w:tr w:rsidR="00936916" w:rsidTr="006C73E1">
        <w:trPr>
          <w:gridAfter w:val="1"/>
          <w:wAfter w:w="2682" w:type="dxa"/>
          <w:cantSplit/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Default="009369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916" w:rsidRDefault="00936916" w:rsidP="006C73E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</w:tcBorders>
            <w:vAlign w:val="center"/>
          </w:tcPr>
          <w:p w:rsidR="00936916" w:rsidRDefault="00936916" w:rsidP="006C73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the date and tester initials on the maintenance tag/form.</w:t>
            </w:r>
          </w:p>
        </w:tc>
      </w:tr>
      <w:tr w:rsidR="00A22C39" w:rsidTr="00C329E8">
        <w:trPr>
          <w:gridAfter w:val="1"/>
          <w:wAfter w:w="2682" w:type="dxa"/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2C39" w:rsidRDefault="00A22C3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A22C39" w:rsidRDefault="00A22C3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0" w:type="dxa"/>
            <w:gridSpan w:val="9"/>
            <w:tcBorders>
              <w:left w:val="nil"/>
              <w:bottom w:val="nil"/>
              <w:right w:val="nil"/>
            </w:tcBorders>
          </w:tcPr>
          <w:p w:rsidR="00A22C39" w:rsidRDefault="00A22C39" w:rsidP="00936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16" w:rsidTr="00C329E8">
        <w:trPr>
          <w:gridAfter w:val="1"/>
          <w:wAfter w:w="2682" w:type="dxa"/>
          <w:cantSplit/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6916" w:rsidRPr="00A22C39" w:rsidRDefault="00936916" w:rsidP="00936916">
            <w:pPr>
              <w:rPr>
                <w:rFonts w:ascii="Arial" w:hAnsi="Arial" w:cs="Arial"/>
                <w:b/>
                <w:sz w:val="20"/>
              </w:rPr>
            </w:pPr>
          </w:p>
          <w:p w:rsidR="00936916" w:rsidRPr="00A22C39" w:rsidRDefault="00936916" w:rsidP="00936916">
            <w:pPr>
              <w:jc w:val="left"/>
              <w:rPr>
                <w:rFonts w:ascii="Arial" w:hAnsi="Arial" w:cs="Arial"/>
                <w:sz w:val="20"/>
              </w:rPr>
            </w:pPr>
            <w:r w:rsidRPr="00A22C39"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916" w:rsidRPr="00A22C39" w:rsidRDefault="00936916" w:rsidP="00936916">
            <w:pPr>
              <w:jc w:val="left"/>
              <w:rPr>
                <w:rFonts w:ascii="Arial" w:hAnsi="Arial" w:cs="Arial"/>
                <w:sz w:val="20"/>
              </w:rPr>
            </w:pPr>
          </w:p>
          <w:p w:rsidR="00936916" w:rsidRPr="00A22C39" w:rsidRDefault="00936916" w:rsidP="009369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C39">
              <w:rPr>
                <w:rFonts w:ascii="Arial" w:hAnsi="Arial" w:cs="Arial"/>
                <w:sz w:val="20"/>
                <w:szCs w:val="20"/>
              </w:rPr>
              <w:t>Follow the activities in the table below for WEEKLY TESTING OF SAFETY SHOWERS.</w:t>
            </w:r>
          </w:p>
          <w:p w:rsidR="00936916" w:rsidRPr="00A22C39" w:rsidRDefault="00936916" w:rsidP="00936916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7909"/>
            </w:tblGrid>
            <w:tr w:rsidR="00A22C39" w:rsidRPr="00E41A42" w:rsidTr="00E41A42">
              <w:tc>
                <w:tcPr>
                  <w:tcW w:w="967" w:type="dxa"/>
                </w:tcPr>
                <w:p w:rsidR="00A22C39" w:rsidRPr="00E41A42" w:rsidRDefault="00A22C39" w:rsidP="00E41A42">
                  <w:pPr>
                    <w:pStyle w:val="Heading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8162" w:type="dxa"/>
                </w:tcPr>
                <w:p w:rsidR="00A22C39" w:rsidRPr="00E41A42" w:rsidRDefault="00A22C39" w:rsidP="00E41A42">
                  <w:pPr>
                    <w:pStyle w:val="Heading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sz w:val="20"/>
                      <w:szCs w:val="20"/>
                    </w:rPr>
                    <w:t>Action</w:t>
                  </w:r>
                </w:p>
              </w:tc>
            </w:tr>
            <w:tr w:rsidR="00A22C39" w:rsidRPr="00E41A42" w:rsidTr="00244E4E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Obtain the shower testing kit.</w:t>
                  </w:r>
                </w:p>
              </w:tc>
            </w:tr>
            <w:tr w:rsidR="00A22C39" w:rsidRPr="00E41A42" w:rsidTr="00244E4E"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Hold the funnel around the showerhead and ensure the funnel is draining into the collection bucket.</w:t>
                  </w:r>
                </w:p>
              </w:tc>
            </w:tr>
            <w:tr w:rsidR="00A22C39" w:rsidRPr="00E41A42" w:rsidTr="00244E4E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Pull the ring to activate the shower.</w:t>
                  </w:r>
                </w:p>
              </w:tc>
            </w:tr>
            <w:tr w:rsidR="00A22C39" w:rsidRPr="00E41A42" w:rsidTr="00244E4E"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If water pressure, temperature</w:t>
                  </w:r>
                  <w:r w:rsidR="00E70B7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,</w:t>
                  </w: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or colo</w:t>
                  </w:r>
                  <w:r w:rsidR="00414E4D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r appear</w:t>
                  </w:r>
                  <w:r w:rsidR="00E70B7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s</w:t>
                  </w:r>
                  <w:r w:rsidR="00414E4D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abnormal, contact the Facilities</w:t>
                  </w: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department.</w:t>
                  </w:r>
                </w:p>
              </w:tc>
            </w:tr>
            <w:tr w:rsidR="00A22C39" w:rsidRPr="00E41A42" w:rsidTr="00244E4E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Remove any clutter around the shower so access is not impaired.</w:t>
                  </w:r>
                </w:p>
              </w:tc>
            </w:tr>
            <w:tr w:rsidR="00A22C39" w:rsidRPr="00E41A42" w:rsidTr="00244E4E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Empty collection bucket and return shower tester kit to storage.</w:t>
                  </w:r>
                </w:p>
              </w:tc>
            </w:tr>
            <w:tr w:rsidR="00A22C39" w:rsidRPr="00E41A42" w:rsidTr="00244E4E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E41A42" w:rsidRDefault="00A22C39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E41A42" w:rsidRDefault="00A22C39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41A42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Document the date and tester initials on the maintenance tag/form.</w:t>
                  </w:r>
                </w:p>
              </w:tc>
            </w:tr>
            <w:tr w:rsidR="00E94D47" w:rsidRPr="00E41A42" w:rsidTr="00244E4E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E94D47" w:rsidRPr="00E41A42" w:rsidRDefault="00E94D47" w:rsidP="000F0AEF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62" w:type="dxa"/>
                  <w:vAlign w:val="center"/>
                </w:tcPr>
                <w:p w:rsidR="00E94D47" w:rsidRPr="00E94D47" w:rsidRDefault="00E94D47" w:rsidP="00244E4E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E94D47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St</w:t>
                  </w:r>
                  <w:r w:rsidR="00244E4E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. Paul</w:t>
                  </w:r>
                  <w:r w:rsidRPr="00E94D47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laboratory safety showers are activated weekly by the United Facilities department.</w:t>
                  </w:r>
                </w:p>
                <w:p w:rsidR="00E94D47" w:rsidRPr="00E94D47" w:rsidRDefault="00E94D47" w:rsidP="00244E4E">
                  <w:pPr>
                    <w:jc w:val="left"/>
                  </w:pPr>
                  <w:r w:rsidRPr="00E94D47">
                    <w:rPr>
                      <w:rFonts w:ascii="Arial" w:hAnsi="Arial" w:cs="Arial"/>
                      <w:sz w:val="20"/>
                      <w:szCs w:val="20"/>
                    </w:rPr>
                    <w:t>Documentation is retained by United Hospital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36916" w:rsidRPr="00A22C39" w:rsidRDefault="00936916" w:rsidP="0093691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22C39" w:rsidTr="00C329E8">
        <w:trPr>
          <w:gridAfter w:val="1"/>
          <w:wAfter w:w="2682" w:type="dxa"/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2C39" w:rsidRDefault="00A22C39" w:rsidP="00A22C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A22C39" w:rsidRDefault="00A22C39" w:rsidP="00A22C3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Procedure</w:t>
            </w:r>
          </w:p>
        </w:tc>
        <w:tc>
          <w:tcPr>
            <w:tcW w:w="90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C39" w:rsidRDefault="00A22C39" w:rsidP="00A22C39">
            <w:pPr>
              <w:pStyle w:val="Heading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A22C39" w:rsidRPr="004C0151" w:rsidRDefault="00A22C39" w:rsidP="00A22C3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activities in the table below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</w:t>
            </w:r>
            <w:r w:rsidR="004C0151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EYEWASH</w:t>
            </w:r>
            <w:r w:rsidR="004C0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151">
              <w:rPr>
                <w:rFonts w:ascii="Arial" w:hAnsi="Arial" w:cs="Arial"/>
                <w:b/>
                <w:sz w:val="20"/>
                <w:szCs w:val="20"/>
              </w:rPr>
              <w:t xml:space="preserve">IN AN </w:t>
            </w:r>
            <w:r w:rsidR="004C0151">
              <w:rPr>
                <w:rFonts w:ascii="Arial" w:hAnsi="Arial" w:cs="Arial"/>
                <w:b/>
                <w:bCs/>
                <w:sz w:val="20"/>
                <w:szCs w:val="20"/>
              </w:rPr>
              <w:t>EMERGENCY.</w:t>
            </w:r>
          </w:p>
          <w:p w:rsidR="00A22C39" w:rsidRDefault="00A22C39" w:rsidP="00A22C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7909"/>
            </w:tblGrid>
            <w:tr w:rsidR="00A22C39" w:rsidRPr="00A22C39" w:rsidTr="000D6D96">
              <w:tc>
                <w:tcPr>
                  <w:tcW w:w="967" w:type="dxa"/>
                </w:tcPr>
                <w:p w:rsidR="00A22C39" w:rsidRPr="00A22C39" w:rsidRDefault="00A22C39" w:rsidP="00A22C39">
                  <w:pPr>
                    <w:pStyle w:val="Heading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8162" w:type="dxa"/>
                </w:tcPr>
                <w:p w:rsidR="00A22C39" w:rsidRPr="00A22C39" w:rsidRDefault="00A22C39" w:rsidP="00A22C39">
                  <w:pPr>
                    <w:pStyle w:val="Heading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sz w:val="20"/>
                      <w:szCs w:val="20"/>
                    </w:rPr>
                    <w:t>Action</w:t>
                  </w:r>
                </w:p>
              </w:tc>
            </w:tr>
            <w:tr w:rsidR="00A22C39" w:rsidRPr="00A22C39" w:rsidTr="003E5BA4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Call out for help.</w:t>
                  </w:r>
                </w:p>
              </w:tc>
            </w:tr>
            <w:tr w:rsidR="00A22C39" w:rsidRPr="00A22C39" w:rsidTr="003E5BA4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Go as quickly as possible to the nearest emergency eyewash.</w:t>
                  </w:r>
                </w:p>
              </w:tc>
            </w:tr>
            <w:tr w:rsidR="00A22C39" w:rsidRPr="00A22C39" w:rsidTr="003E5BA4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Activate the eyewash.</w:t>
                  </w:r>
                </w:p>
              </w:tc>
            </w:tr>
            <w:tr w:rsidR="00A22C39" w:rsidRPr="00A22C39" w:rsidTr="003E5BA4"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Flush for a minimum of 15 minutes.   Eyelids should be held open and eyeballs rolled back </w:t>
                  </w:r>
                  <w:r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to allow</w:t>
                  </w: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all surfaces of the eye and under the eyelid </w:t>
                  </w:r>
                  <w:r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to be</w:t>
                  </w: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flushed.</w:t>
                  </w:r>
                </w:p>
              </w:tc>
            </w:tr>
            <w:tr w:rsidR="00A22C39" w:rsidRPr="00A22C39" w:rsidTr="003E5BA4"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Seek medical attention immediately after flushing.  Report to the Employee Health Service, Abbott Northwestern or United Emergency Depart</w:t>
                  </w:r>
                  <w:r w:rsidR="00E70B7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ments.  If possible, obtain a Safety Data Sheet (</w:t>
                  </w: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SDS</w:t>
                  </w:r>
                  <w:r w:rsidR="00E70B7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)</w:t>
                  </w: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 for the chemical that was the source of the exposure and bring it along or have it faxed.</w:t>
                  </w:r>
                </w:p>
                <w:p w:rsidR="00F61165" w:rsidRPr="00E70B79" w:rsidRDefault="00E70B79" w:rsidP="003E5BA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B79">
                    <w:rPr>
                      <w:rFonts w:ascii="Arial" w:hAnsi="Arial" w:cs="Arial"/>
                      <w:sz w:val="20"/>
                      <w:szCs w:val="20"/>
                    </w:rPr>
                    <w:t>SDS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E70B79">
                    <w:rPr>
                      <w:rFonts w:ascii="Arial" w:hAnsi="Arial" w:cs="Arial"/>
                      <w:sz w:val="20"/>
                      <w:szCs w:val="20"/>
                    </w:rPr>
                    <w:t xml:space="preserve"> are located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online on Star Net und</w:t>
                  </w:r>
                  <w:r w:rsidR="00F61165">
                    <w:rPr>
                      <w:rFonts w:ascii="Arial" w:hAnsi="Arial" w:cs="Arial"/>
                      <w:sz w:val="20"/>
                      <w:szCs w:val="20"/>
                    </w:rPr>
                    <w:t>er the Emergency and Safety tab or click this link:</w:t>
                  </w:r>
                  <w:r w:rsidR="00C765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="00C765C2" w:rsidRPr="00C765C2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MSDS Online</w:t>
                    </w:r>
                  </w:hyperlink>
                </w:p>
              </w:tc>
            </w:tr>
            <w:tr w:rsidR="00A22C39" w:rsidRPr="00A22C39" w:rsidTr="003E5BA4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color w:val="202020"/>
                      <w:sz w:val="20"/>
                      <w:szCs w:val="20"/>
                    </w:rPr>
                    <w:t>Complete</w:t>
                  </w:r>
                  <w:r w:rsidRPr="00A22C39">
                    <w:rPr>
                      <w:rFonts w:ascii="Arial" w:hAnsi="Arial"/>
                      <w:color w:val="202020"/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Pr="00E41A42">
                      <w:rPr>
                        <w:rStyle w:val="Hyperlink"/>
                        <w:rFonts w:ascii="Arial" w:hAnsi="Arial"/>
                        <w:b w:val="0"/>
                        <w:bCs w:val="0"/>
                        <w:sz w:val="20"/>
                        <w:szCs w:val="20"/>
                      </w:rPr>
                      <w:t>Employee Incident/Injury Report Form</w:t>
                    </w:r>
                  </w:hyperlink>
                </w:p>
              </w:tc>
            </w:tr>
            <w:tr w:rsidR="00A22C39" w:rsidRPr="00A22C39" w:rsidTr="003E5BA4">
              <w:trPr>
                <w:trHeight w:val="288"/>
              </w:trPr>
              <w:tc>
                <w:tcPr>
                  <w:tcW w:w="967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center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62" w:type="dxa"/>
                  <w:vAlign w:val="center"/>
                </w:tcPr>
                <w:p w:rsidR="00A22C39" w:rsidRPr="00A22C39" w:rsidRDefault="00A22C39" w:rsidP="003E5BA4">
                  <w:pPr>
                    <w:pStyle w:val="Heading"/>
                    <w:jc w:val="left"/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</w:pP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 xml:space="preserve">Report the event to </w:t>
                  </w:r>
                  <w:r w:rsidR="004C0151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laboratory leadership</w:t>
                  </w:r>
                  <w:r w:rsidRPr="00A22C39">
                    <w:rPr>
                      <w:rFonts w:ascii="Arial" w:hAnsi="Arial"/>
                      <w:b w:val="0"/>
                      <w:bCs w:val="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22C39" w:rsidRDefault="00A22C39" w:rsidP="00A22C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1A8" w:rsidTr="00E94D47">
        <w:trPr>
          <w:gridAfter w:val="1"/>
          <w:wAfter w:w="2682" w:type="dxa"/>
          <w:cantSplit/>
          <w:trHeight w:val="685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371A8" w:rsidRDefault="00B371A8" w:rsidP="00B371A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B371A8" w:rsidRDefault="00B371A8" w:rsidP="00B371A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Procedure</w:t>
            </w:r>
          </w:p>
        </w:tc>
        <w:tc>
          <w:tcPr>
            <w:tcW w:w="90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71A8" w:rsidRDefault="00B371A8" w:rsidP="00B371A8">
            <w:pPr>
              <w:pStyle w:val="Heading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B371A8" w:rsidRDefault="00B371A8" w:rsidP="00B371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activities in the table below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USING THE SAFETY SHOWER IN AN EMERGENCY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71A8" w:rsidRDefault="00B371A8" w:rsidP="00B371A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4"/>
              <w:gridCol w:w="7910"/>
            </w:tblGrid>
            <w:tr w:rsidR="00B371A8" w:rsidRPr="00B371A8" w:rsidTr="000D6D96">
              <w:trPr>
                <w:trHeight w:val="23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1A8" w:rsidRPr="00B371A8" w:rsidRDefault="00B371A8" w:rsidP="00B371A8">
                  <w:pPr>
                    <w:pStyle w:val="Heading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1A8" w:rsidRPr="00B371A8" w:rsidRDefault="00B371A8" w:rsidP="00B371A8">
                  <w:pPr>
                    <w:pStyle w:val="Heading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/>
                      <w:sz w:val="20"/>
                      <w:szCs w:val="20"/>
                    </w:rPr>
                    <w:t>Action</w:t>
                  </w:r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Call out for help.</w:t>
                  </w:r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pStyle w:val="List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Go as quickly as possible to the nearest safety shower.</w:t>
                  </w:r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Activate the shower.</w:t>
                  </w:r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Make sure the victim is completely drenched. Flush for at least 15 minutes.</w:t>
                  </w:r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Protect the eyes from inadvertent contamination.</w:t>
                  </w:r>
                </w:p>
              </w:tc>
            </w:tr>
            <w:tr w:rsidR="00B371A8" w:rsidRPr="00B371A8" w:rsidTr="0012237F">
              <w:trPr>
                <w:trHeight w:val="172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Remove contaminated clothing, jewelry and shoes.  Don’t let modesty slow you down.  Every</w:t>
                  </w:r>
                  <w:r w:rsidR="00414E4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second counts.  Use a clean lab coat to provide privacy and warmth.</w:t>
                  </w:r>
                </w:p>
              </w:tc>
            </w:tr>
            <w:tr w:rsidR="00B371A8" w:rsidRPr="00B371A8" w:rsidTr="0012237F">
              <w:trPr>
                <w:trHeight w:val="172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Contain contaminated water with absorbent material, if safe and possible to do so.  Call Facilities as soon as possible to help collect water.</w:t>
                  </w:r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Helpers may also need to be decontaminated.</w:t>
                  </w:r>
                </w:p>
              </w:tc>
            </w:tr>
            <w:tr w:rsidR="00B371A8" w:rsidRPr="00B371A8" w:rsidTr="0012237F">
              <w:trPr>
                <w:trHeight w:val="172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When indicated, dispose of contaminated clothing and other items as hazardous material.</w:t>
                  </w:r>
                  <w:r w:rsidR="002F0F15">
                    <w:rPr>
                      <w:rFonts w:ascii="Arial" w:hAnsi="Arial" w:cs="Arial"/>
                      <w:sz w:val="20"/>
                      <w:szCs w:val="20"/>
                    </w:rPr>
                    <w:t xml:space="preserve"> Contact the Laboratory Safety Officer to determine how to handle contaminated clothing (will vary depending on contents of spill).  </w:t>
                  </w:r>
                </w:p>
                <w:p w:rsidR="002F0F15" w:rsidRDefault="002F0F15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If new clothing is necessary:</w:t>
                  </w:r>
                </w:p>
                <w:p w:rsidR="002F0F15" w:rsidRDefault="0012237F" w:rsidP="0012237F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Minneapolis</w:t>
                  </w:r>
                  <w:r w:rsidR="002F0F15">
                    <w:rPr>
                      <w:rFonts w:ascii="Arial" w:hAnsi="Arial" w:cs="Arial"/>
                      <w:sz w:val="20"/>
                      <w:szCs w:val="20"/>
                    </w:rPr>
                    <w:t>: Go to Surgery &amp; obtain a set of scrub clothing.</w:t>
                  </w:r>
                </w:p>
                <w:p w:rsidR="002F0F15" w:rsidRPr="002F0F15" w:rsidRDefault="002F0F15" w:rsidP="0012237F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</w:t>
                  </w:r>
                  <w:r w:rsidR="0012237F">
                    <w:rPr>
                      <w:rFonts w:ascii="Arial" w:hAnsi="Arial" w:cs="Arial"/>
                      <w:sz w:val="20"/>
                      <w:szCs w:val="20"/>
                    </w:rPr>
                    <w:t>. Paul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Go to EVS &amp; obtain a set of scrub clothing. </w:t>
                  </w:r>
                </w:p>
              </w:tc>
            </w:tr>
            <w:tr w:rsidR="00B371A8" w:rsidRPr="00B371A8" w:rsidTr="0012237F">
              <w:trPr>
                <w:trHeight w:val="172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Seek medical attention immediately after flushing.  Report to the Employee Health Service, Abbott Northwestern or United Emergency Depart</w:t>
                  </w:r>
                  <w:r w:rsidR="00414E4D">
                    <w:rPr>
                      <w:rFonts w:ascii="Arial" w:hAnsi="Arial" w:cs="Arial"/>
                      <w:sz w:val="20"/>
                      <w:szCs w:val="20"/>
                    </w:rPr>
                    <w:t xml:space="preserve">ments.  If possible, obtain an </w:t>
                  </w: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SDS for the chemical that was the source of the exposure and bring it along or have it faxed.</w:t>
                  </w:r>
                </w:p>
                <w:p w:rsidR="00F61165" w:rsidRPr="00B371A8" w:rsidRDefault="00F61165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0B79">
                    <w:rPr>
                      <w:rFonts w:ascii="Arial" w:hAnsi="Arial" w:cs="Arial"/>
                      <w:sz w:val="20"/>
                      <w:szCs w:val="20"/>
                    </w:rPr>
                    <w:t>SDS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E70B79">
                    <w:rPr>
                      <w:rFonts w:ascii="Arial" w:hAnsi="Arial" w:cs="Arial"/>
                      <w:sz w:val="20"/>
                      <w:szCs w:val="20"/>
                    </w:rPr>
                    <w:t xml:space="preserve"> are located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online on Star Net under the Emergency and Safety tab or click this link:</w:t>
                  </w:r>
                  <w:r w:rsidR="00C765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="00C765C2" w:rsidRPr="00C765C2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MSDS Online</w:t>
                    </w:r>
                  </w:hyperlink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color w:val="202020"/>
                      <w:sz w:val="20"/>
                      <w:szCs w:val="16"/>
                    </w:rPr>
                    <w:t xml:space="preserve">Complete </w:t>
                  </w:r>
                  <w:hyperlink r:id="rId14" w:history="1">
                    <w:r w:rsidRPr="00E41A42">
                      <w:rPr>
                        <w:rStyle w:val="Hyperlink"/>
                        <w:rFonts w:ascii="Arial" w:hAnsi="Arial" w:cs="Arial"/>
                        <w:sz w:val="20"/>
                        <w:szCs w:val="16"/>
                      </w:rPr>
                      <w:t>Employee Incident/Injury Report Form</w:t>
                    </w:r>
                  </w:hyperlink>
                </w:p>
              </w:tc>
            </w:tr>
            <w:tr w:rsidR="00B371A8" w:rsidRPr="00B371A8" w:rsidTr="0012237F">
              <w:trPr>
                <w:trHeight w:val="28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A8" w:rsidRPr="00B371A8" w:rsidRDefault="00B371A8" w:rsidP="0012237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 xml:space="preserve">Report the event to </w:t>
                  </w:r>
                  <w:r w:rsidR="00F61165">
                    <w:rPr>
                      <w:rFonts w:ascii="Arial" w:hAnsi="Arial" w:cs="Arial"/>
                      <w:sz w:val="20"/>
                      <w:szCs w:val="20"/>
                    </w:rPr>
                    <w:t>laboratory leadership</w:t>
                  </w:r>
                  <w:r w:rsidRPr="00B371A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371A8" w:rsidRDefault="00B371A8" w:rsidP="00B371A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C334E" w:rsidTr="00C329E8">
        <w:trPr>
          <w:gridAfter w:val="1"/>
          <w:wAfter w:w="2682" w:type="dxa"/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334E" w:rsidRDefault="002C334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C334E" w:rsidRDefault="000D6D9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Related Documents</w:t>
            </w:r>
          </w:p>
          <w:p w:rsidR="002C334E" w:rsidRDefault="002C334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/>
                <w:sz w:val="20"/>
              </w:rPr>
            </w:pPr>
          </w:p>
          <w:p w:rsidR="002C334E" w:rsidRDefault="00314399" w:rsidP="000D6D96">
            <w:pPr>
              <w:jc w:val="left"/>
              <w:rPr>
                <w:rFonts w:ascii="Arial" w:hAnsi="Arial"/>
                <w:sz w:val="20"/>
              </w:rPr>
            </w:pPr>
            <w:hyperlink r:id="rId15" w:history="1">
              <w:r w:rsidR="00046778" w:rsidRPr="00E41A42">
                <w:rPr>
                  <w:rStyle w:val="Hyperlink"/>
                  <w:rFonts w:ascii="Arial" w:hAnsi="Arial"/>
                  <w:sz w:val="20"/>
                </w:rPr>
                <w:t>Hospital Emergency Eyewash and Shower Stations</w:t>
              </w:r>
            </w:hyperlink>
          </w:p>
          <w:p w:rsidR="00046778" w:rsidRDefault="00314399" w:rsidP="000D6D96">
            <w:pPr>
              <w:jc w:val="left"/>
              <w:rPr>
                <w:rFonts w:ascii="Arial" w:hAnsi="Arial"/>
                <w:sz w:val="20"/>
              </w:rPr>
            </w:pPr>
            <w:hyperlink r:id="rId16" w:history="1">
              <w:r w:rsidR="00046778" w:rsidRPr="00E41A42">
                <w:rPr>
                  <w:rStyle w:val="Hyperlink"/>
                  <w:rFonts w:ascii="Arial" w:hAnsi="Arial"/>
                  <w:sz w:val="20"/>
                </w:rPr>
                <w:t>1067.00 Work Related Injury/Illness Reporting and Management</w:t>
              </w:r>
            </w:hyperlink>
          </w:p>
          <w:p w:rsidR="00046778" w:rsidRDefault="00314399" w:rsidP="000D6D96">
            <w:pPr>
              <w:jc w:val="left"/>
              <w:rPr>
                <w:rStyle w:val="Hyperlink"/>
                <w:rFonts w:ascii="Arial" w:hAnsi="Arial"/>
                <w:sz w:val="20"/>
              </w:rPr>
            </w:pPr>
            <w:hyperlink r:id="rId17" w:history="1">
              <w:r w:rsidR="004618F4">
                <w:rPr>
                  <w:rStyle w:val="Hyperlink"/>
                  <w:rFonts w:ascii="Arial" w:hAnsi="Arial"/>
                  <w:sz w:val="20"/>
                </w:rPr>
                <w:t>1213.00 Blood or Body Fluid Post-Exposure Management – Health Care Workers</w:t>
              </w:r>
            </w:hyperlink>
          </w:p>
          <w:p w:rsidR="002F0F15" w:rsidRDefault="00314399" w:rsidP="000D6D96">
            <w:pPr>
              <w:jc w:val="left"/>
              <w:rPr>
                <w:rFonts w:ascii="Arial" w:hAnsi="Arial"/>
                <w:sz w:val="20"/>
              </w:rPr>
            </w:pPr>
            <w:hyperlink r:id="rId18" w:history="1">
              <w:r w:rsidR="002F0F15" w:rsidRPr="002F0F15">
                <w:rPr>
                  <w:rStyle w:val="Hyperlink"/>
                  <w:rFonts w:ascii="Arial" w:hAnsi="Arial"/>
                  <w:sz w:val="20"/>
                </w:rPr>
                <w:t>SA 7.06 Hazardous Chemical Spill Cleanup</w:t>
              </w:r>
            </w:hyperlink>
          </w:p>
          <w:p w:rsidR="00046778" w:rsidRDefault="00046778" w:rsidP="000D6D9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C334E" w:rsidTr="00C329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</w:trPr>
        <w:tc>
          <w:tcPr>
            <w:tcW w:w="1800" w:type="dxa"/>
            <w:tcBorders>
              <w:left w:val="nil"/>
            </w:tcBorders>
          </w:tcPr>
          <w:p w:rsidR="002C334E" w:rsidRDefault="002C334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09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86909" w:rsidRDefault="00113DF6" w:rsidP="007D63C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ANSI Z358.1–2009</w:t>
            </w:r>
            <w:r w:rsidR="00786909">
              <w:rPr>
                <w:rFonts w:ascii="Arial" w:hAnsi="Arial" w:cs="Arial"/>
                <w:sz w:val="20"/>
              </w:rPr>
              <w:t>, American National Stan</w:t>
            </w:r>
            <w:r>
              <w:rPr>
                <w:rFonts w:ascii="Arial" w:hAnsi="Arial" w:cs="Arial"/>
                <w:sz w:val="20"/>
              </w:rPr>
              <w:t>dards Institute; Eyewash Standard, 2009.</w:t>
            </w:r>
          </w:p>
          <w:p w:rsidR="00113DF6" w:rsidRDefault="00113DF6" w:rsidP="007D63C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CLSI. Clinical Laboratory Safety; Approved Guideline-Third Edition. CLSI document GP17-A3.</w:t>
            </w:r>
          </w:p>
          <w:p w:rsidR="000D6D96" w:rsidRDefault="00113DF6" w:rsidP="00113DF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Wayne, PA: Clinical and Laboratory Standards Institute; 2012.</w:t>
            </w:r>
          </w:p>
          <w:p w:rsidR="00113DF6" w:rsidRPr="00113DF6" w:rsidRDefault="00113DF6" w:rsidP="007D63C0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Bloodborne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Pathogens (29 CFR 1910.1030).</w:t>
            </w:r>
          </w:p>
          <w:p w:rsidR="00113DF6" w:rsidRPr="00113DF6" w:rsidRDefault="00113DF6" w:rsidP="007D63C0">
            <w:pPr>
              <w:numPr>
                <w:ilvl w:val="0"/>
                <w:numId w:val="8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OSHA Occupational Exposure to Hazardous Chemicals in Laboratories (29 CFR 1910.1450).</w:t>
            </w:r>
          </w:p>
          <w:p w:rsidR="00113DF6" w:rsidRDefault="00113DF6" w:rsidP="00113DF6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2C334E" w:rsidTr="00C329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2C334E" w:rsidRDefault="002C334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C334E" w:rsidTr="00C329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4E" w:rsidRDefault="002C334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86909" w:rsidTr="00C329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86909" w:rsidRDefault="0078690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tabs>
                <w:tab w:val="left" w:pos="16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 Cram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08/26/99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786909" w:rsidTr="00C329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786909" w:rsidRDefault="0078690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Kerstin Halverson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07/01/03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86909" w:rsidTr="00C329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786909" w:rsidRDefault="0078690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Kerstin Halverson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 w:rsidP="0078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07/11/05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09" w:rsidRDefault="007869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329E8" w:rsidTr="00F611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C329E8" w:rsidRDefault="00C329E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 w:rsidP="007869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 Buhl &amp; Daniel Olson</w:t>
            </w:r>
          </w:p>
          <w:p w:rsidR="00C329E8" w:rsidRPr="00C329E8" w:rsidRDefault="00C329E8" w:rsidP="00C329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9E8" w:rsidRPr="00C329E8" w:rsidRDefault="00C329E8" w:rsidP="00C329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9E8" w:rsidRDefault="00C329E8" w:rsidP="00C329E8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9E8" w:rsidRPr="00C329E8" w:rsidRDefault="00C329E8" w:rsidP="00C329E8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 w:rsidP="007869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10/27/11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 w:rsidP="007869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Reformatted.</w:t>
            </w:r>
          </w:p>
          <w:p w:rsidR="00C329E8" w:rsidRDefault="00C329E8" w:rsidP="007869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locations of eyewashes and safety showers. </w:t>
            </w:r>
          </w:p>
          <w:p w:rsidR="00C329E8" w:rsidRDefault="00C329E8" w:rsidP="007869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installation instructions. Updated references.</w:t>
            </w:r>
          </w:p>
        </w:tc>
      </w:tr>
      <w:tr w:rsidR="00C329E8" w:rsidTr="00F611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C329E8" w:rsidRDefault="00C329E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F61165" w:rsidP="00F6116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 w:rsidP="00C329E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07/31/14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8" w:rsidRDefault="00C329E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 7.3.</w:t>
            </w:r>
          </w:p>
          <w:p w:rsidR="00C329E8" w:rsidRDefault="00C329E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</w:t>
            </w:r>
            <w:r w:rsidR="00414E4D">
              <w:rPr>
                <w:rFonts w:ascii="Arial" w:hAnsi="Arial" w:cs="Arial"/>
                <w:sz w:val="20"/>
              </w:rPr>
              <w:t>‘</w:t>
            </w:r>
            <w:r>
              <w:rPr>
                <w:rFonts w:ascii="Arial" w:hAnsi="Arial" w:cs="Arial"/>
                <w:sz w:val="20"/>
              </w:rPr>
              <w:t>Related Documents</w:t>
            </w:r>
            <w:r w:rsidR="00414E4D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 xml:space="preserve"> section.</w:t>
            </w:r>
          </w:p>
          <w:p w:rsidR="00C329E8" w:rsidRDefault="00C329E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references.</w:t>
            </w:r>
          </w:p>
        </w:tc>
      </w:tr>
      <w:tr w:rsidR="00F61165" w:rsidTr="00E94D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61165" w:rsidRDefault="00F6116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5" w:rsidRDefault="00F61165" w:rsidP="00F6116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5" w:rsidRDefault="00F61165" w:rsidP="00C329E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65" w:rsidRDefault="00F6116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07/31/15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5" w:rsidRDefault="00640B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Corrected date for version 4.</w:t>
            </w:r>
          </w:p>
          <w:p w:rsidR="00640B25" w:rsidRDefault="00640B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hyperlink to SDS.</w:t>
            </w:r>
          </w:p>
        </w:tc>
      </w:tr>
      <w:tr w:rsidR="00E94D47" w:rsidTr="00F611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82" w:type="dxa"/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E94D47" w:rsidRDefault="00E94D4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47" w:rsidRDefault="00E94D47" w:rsidP="00F6116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47" w:rsidRDefault="00E94D47" w:rsidP="00C329E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 &amp; Laboratory Safety Committee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47" w:rsidRDefault="00E94D4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06/28/17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DC" w:rsidRDefault="00E94D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weekly shower testing </w:t>
            </w:r>
            <w:r w:rsidR="00C765C2">
              <w:rPr>
                <w:rFonts w:ascii="Arial" w:hAnsi="Arial" w:cs="Arial"/>
                <w:sz w:val="20"/>
              </w:rPr>
              <w:t xml:space="preserve">in the </w:t>
            </w:r>
            <w:proofErr w:type="spellStart"/>
            <w:r w:rsidR="00C765C2">
              <w:rPr>
                <w:rFonts w:ascii="Arial" w:hAnsi="Arial" w:cs="Arial"/>
                <w:sz w:val="20"/>
              </w:rPr>
              <w:t>Stp</w:t>
            </w:r>
            <w:proofErr w:type="spellEnd"/>
            <w:r w:rsidR="00C765C2">
              <w:rPr>
                <w:rFonts w:ascii="Arial" w:hAnsi="Arial" w:cs="Arial"/>
                <w:sz w:val="20"/>
              </w:rPr>
              <w:t xml:space="preserve"> laboratory is </w:t>
            </w:r>
            <w:r>
              <w:rPr>
                <w:rFonts w:ascii="Arial" w:hAnsi="Arial" w:cs="Arial"/>
                <w:sz w:val="20"/>
              </w:rPr>
              <w:t>perfor</w:t>
            </w:r>
            <w:r w:rsidR="00C765C2">
              <w:rPr>
                <w:rFonts w:ascii="Arial" w:hAnsi="Arial" w:cs="Arial"/>
                <w:sz w:val="20"/>
              </w:rPr>
              <w:t>med by United.</w:t>
            </w:r>
            <w:r w:rsidR="002777DC">
              <w:rPr>
                <w:rFonts w:ascii="Arial" w:hAnsi="Arial" w:cs="Arial"/>
                <w:sz w:val="20"/>
              </w:rPr>
              <w:t xml:space="preserve"> </w:t>
            </w:r>
          </w:p>
          <w:p w:rsidR="00E94D47" w:rsidRDefault="002777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hyperlinks to SDS information and Incident/Injury Report Form.</w:t>
            </w:r>
          </w:p>
        </w:tc>
      </w:tr>
    </w:tbl>
    <w:p w:rsidR="004E4DB2" w:rsidRPr="00786909" w:rsidRDefault="004E4DB2" w:rsidP="00F61165">
      <w:pPr>
        <w:rPr>
          <w:rFonts w:ascii="Arial" w:hAnsi="Arial" w:cs="Arial"/>
        </w:rPr>
      </w:pPr>
    </w:p>
    <w:sectPr w:rsidR="004E4DB2" w:rsidRPr="00786909" w:rsidSect="004C0151">
      <w:headerReference w:type="default" r:id="rId19"/>
      <w:footerReference w:type="default" r:id="rId20"/>
      <w:pgSz w:w="12240" w:h="15840" w:code="1"/>
      <w:pgMar w:top="1440" w:right="1440" w:bottom="1008" w:left="1440" w:header="432" w:footer="432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C2" w:rsidRDefault="00C765C2">
      <w:r>
        <w:separator/>
      </w:r>
    </w:p>
  </w:endnote>
  <w:endnote w:type="continuationSeparator" w:id="0">
    <w:p w:rsidR="00C765C2" w:rsidRDefault="00C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2" w:rsidRDefault="00C765C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4852B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4852B6">
      <w:rPr>
        <w:rFonts w:ascii="Arial" w:hAnsi="Arial" w:cs="Arial"/>
        <w:sz w:val="16"/>
      </w:rPr>
      <w:fldChar w:fldCharType="separate"/>
    </w:r>
    <w:r w:rsidR="00314399">
      <w:rPr>
        <w:rFonts w:ascii="Arial" w:hAnsi="Arial" w:cs="Arial"/>
        <w:noProof/>
        <w:sz w:val="16"/>
      </w:rPr>
      <w:t>4</w:t>
    </w:r>
    <w:r w:rsidR="004852B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4852B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4852B6">
      <w:rPr>
        <w:rFonts w:ascii="Arial" w:hAnsi="Arial" w:cs="Arial"/>
        <w:sz w:val="16"/>
      </w:rPr>
      <w:fldChar w:fldCharType="separate"/>
    </w:r>
    <w:r w:rsidR="00314399">
      <w:rPr>
        <w:rFonts w:ascii="Arial" w:hAnsi="Arial" w:cs="Arial"/>
        <w:noProof/>
        <w:sz w:val="16"/>
      </w:rPr>
      <w:t>4</w:t>
    </w:r>
    <w:r w:rsidR="004852B6">
      <w:rPr>
        <w:rFonts w:ascii="Arial" w:hAnsi="Arial" w:cs="Arial"/>
        <w:sz w:val="16"/>
      </w:rPr>
      <w:fldChar w:fldCharType="end"/>
    </w:r>
  </w:p>
  <w:p w:rsidR="00C765C2" w:rsidRDefault="00C765C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C2" w:rsidRDefault="00C765C2">
      <w:r>
        <w:separator/>
      </w:r>
    </w:p>
  </w:footnote>
  <w:footnote w:type="continuationSeparator" w:id="0">
    <w:p w:rsidR="00C765C2" w:rsidRDefault="00C7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2" w:rsidRDefault="00C765C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SA 11.03 Emergency Eyewashes and Safety Showers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5947BC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19050" t="0" r="952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ab/>
    </w:r>
  </w:p>
  <w:p w:rsidR="00C765C2" w:rsidRDefault="00C765C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:rsidR="00C765C2" w:rsidRDefault="00C765C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06/28/2017</w:t>
    </w:r>
  </w:p>
  <w:p w:rsidR="00C765C2" w:rsidRDefault="00C765C2" w:rsidP="00E94D47">
    <w:pPr>
      <w:pStyle w:val="Header"/>
      <w:tabs>
        <w:tab w:val="clear" w:pos="8640"/>
        <w:tab w:val="left" w:pos="4380"/>
        <w:tab w:val="right" w:pos="9900"/>
      </w:tabs>
      <w:jc w:val="left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222CD"/>
    <w:multiLevelType w:val="hybridMultilevel"/>
    <w:tmpl w:val="83D4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2DD"/>
    <w:multiLevelType w:val="hybridMultilevel"/>
    <w:tmpl w:val="0F3E0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52C2A"/>
    <w:multiLevelType w:val="hybridMultilevel"/>
    <w:tmpl w:val="2E168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58B2477"/>
    <w:multiLevelType w:val="hybridMultilevel"/>
    <w:tmpl w:val="4BFC6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E72B2"/>
    <w:multiLevelType w:val="hybridMultilevel"/>
    <w:tmpl w:val="466E6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45229D"/>
    <w:multiLevelType w:val="hybridMultilevel"/>
    <w:tmpl w:val="53323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2058B"/>
    <w:multiLevelType w:val="hybridMultilevel"/>
    <w:tmpl w:val="B2E48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2304E"/>
    <w:multiLevelType w:val="hybridMultilevel"/>
    <w:tmpl w:val="ADF41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331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46778"/>
    <w:rsid w:val="000D6D96"/>
    <w:rsid w:val="000F0AEF"/>
    <w:rsid w:val="000F4773"/>
    <w:rsid w:val="00113DF6"/>
    <w:rsid w:val="0012237F"/>
    <w:rsid w:val="00244E4E"/>
    <w:rsid w:val="0025767A"/>
    <w:rsid w:val="002777DC"/>
    <w:rsid w:val="002C334E"/>
    <w:rsid w:val="002F0F15"/>
    <w:rsid w:val="00314399"/>
    <w:rsid w:val="003E5BA4"/>
    <w:rsid w:val="00414E4D"/>
    <w:rsid w:val="004618F4"/>
    <w:rsid w:val="004852B6"/>
    <w:rsid w:val="00493C3C"/>
    <w:rsid w:val="004C0151"/>
    <w:rsid w:val="004E4DB2"/>
    <w:rsid w:val="005048B7"/>
    <w:rsid w:val="005947BC"/>
    <w:rsid w:val="00626E5A"/>
    <w:rsid w:val="00640B25"/>
    <w:rsid w:val="00675340"/>
    <w:rsid w:val="006C0EF8"/>
    <w:rsid w:val="006C73E1"/>
    <w:rsid w:val="00704B05"/>
    <w:rsid w:val="00786909"/>
    <w:rsid w:val="007D63C0"/>
    <w:rsid w:val="00936916"/>
    <w:rsid w:val="00A00D44"/>
    <w:rsid w:val="00A025AF"/>
    <w:rsid w:val="00A22C39"/>
    <w:rsid w:val="00AE4853"/>
    <w:rsid w:val="00B371A8"/>
    <w:rsid w:val="00B47AA0"/>
    <w:rsid w:val="00C164A6"/>
    <w:rsid w:val="00C329E8"/>
    <w:rsid w:val="00C765C2"/>
    <w:rsid w:val="00E1296E"/>
    <w:rsid w:val="00E41A42"/>
    <w:rsid w:val="00E70B79"/>
    <w:rsid w:val="00E74630"/>
    <w:rsid w:val="00E94D47"/>
    <w:rsid w:val="00F61165"/>
    <w:rsid w:val="00FA2A1E"/>
    <w:rsid w:val="00FA3E09"/>
    <w:rsid w:val="00FD7FAC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26C369F9-6293-4E30-803B-EBC20F8A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B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852B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852B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852B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852B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852B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852B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852B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852B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852B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52B6"/>
    <w:rPr>
      <w:bCs/>
      <w:iCs/>
      <w:color w:val="000000"/>
    </w:rPr>
  </w:style>
  <w:style w:type="paragraph" w:styleId="Header">
    <w:name w:val="header"/>
    <w:basedOn w:val="Normal"/>
    <w:rsid w:val="004852B6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852B6"/>
    <w:pPr>
      <w:ind w:left="360" w:hanging="360"/>
    </w:pPr>
  </w:style>
  <w:style w:type="paragraph" w:styleId="Title">
    <w:name w:val="Title"/>
    <w:basedOn w:val="Normal"/>
    <w:qFormat/>
    <w:rsid w:val="004852B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4852B6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4852B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852B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852B6"/>
    <w:pPr>
      <w:numPr>
        <w:numId w:val="0"/>
      </w:numPr>
    </w:pPr>
  </w:style>
  <w:style w:type="paragraph" w:customStyle="1" w:styleId="TableText">
    <w:name w:val="Table Text"/>
    <w:basedOn w:val="Normal"/>
    <w:rsid w:val="004852B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852B6"/>
    <w:pPr>
      <w:jc w:val="center"/>
    </w:pPr>
    <w:rPr>
      <w:b/>
      <w:bCs/>
    </w:rPr>
  </w:style>
  <w:style w:type="paragraph" w:styleId="BodyText3">
    <w:name w:val="Body Text 3"/>
    <w:basedOn w:val="Normal"/>
    <w:rsid w:val="004852B6"/>
    <w:rPr>
      <w:b/>
      <w:color w:val="0000FF"/>
    </w:rPr>
  </w:style>
  <w:style w:type="paragraph" w:styleId="BodyTextIndent">
    <w:name w:val="Body Text Indent"/>
    <w:basedOn w:val="Normal"/>
    <w:rsid w:val="004852B6"/>
    <w:pPr>
      <w:spacing w:after="120"/>
      <w:ind w:left="360"/>
    </w:pPr>
  </w:style>
  <w:style w:type="character" w:styleId="Hyperlink">
    <w:name w:val="Hyperlink"/>
    <w:basedOn w:val="DefaultParagraphFont"/>
    <w:rsid w:val="00FA3E09"/>
    <w:rPr>
      <w:color w:val="0000FF"/>
      <w:u w:val="single"/>
    </w:rPr>
  </w:style>
  <w:style w:type="character" w:styleId="FollowedHyperlink">
    <w:name w:val="FollowedHyperlink"/>
    <w:basedOn w:val="DefaultParagraphFont"/>
    <w:rsid w:val="00FA3E09"/>
    <w:rPr>
      <w:color w:val="800080"/>
      <w:u w:val="single"/>
    </w:rPr>
  </w:style>
  <w:style w:type="table" w:styleId="TableGrid">
    <w:name w:val="Table Grid"/>
    <w:basedOn w:val="TableNormal"/>
    <w:rsid w:val="00A22C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Res/207199.pdf" TargetMode="External"/><Relationship Id="rId13" Type="http://schemas.openxmlformats.org/officeDocument/2006/relationships/hyperlink" Target="https://msdsmanagement.msdsonline.com/a07dc954-23d8-42a9-b591-ef5763cdfd33/ebinder/?nas=True" TargetMode="External"/><Relationship Id="rId18" Type="http://schemas.openxmlformats.org/officeDocument/2006/relationships/hyperlink" Target="https://starnet.childrenshc.org/References/labsop/gen/safety/sa/sa-7.06-hazardous-chemical-spill-cleanup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han.childrensmn.org/Manuals/Lab/SOP/Gen/Safety/Res/207198.pdf" TargetMode="External"/><Relationship Id="rId12" Type="http://schemas.openxmlformats.org/officeDocument/2006/relationships/hyperlink" Target="http://intranet.childrensmn.org/forms/EmployeeIncident/EmployeeIncident.asp" TargetMode="External"/><Relationship Id="rId17" Type="http://schemas.openxmlformats.org/officeDocument/2006/relationships/hyperlink" Target="http://khan.childrensmn.org/manuals/policy/1200/03269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han.childrensmn.org/Manuals/Policy/1000/004975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dsmanagement.msdsonline.com/a07dc954-23d8-42a9-b591-ef5763cdfd33/ebinder/?nas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han.childrensmn.org/Manuals/Safety/Emp/Eye/124719.pdf" TargetMode="External"/><Relationship Id="rId10" Type="http://schemas.openxmlformats.org/officeDocument/2006/relationships/hyperlink" Target="http://khan.childrensmn.org/Manuals/Lab/SOP/Gen/Safety/Res/2072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Res/207200.pdf" TargetMode="External"/><Relationship Id="rId14" Type="http://schemas.openxmlformats.org/officeDocument/2006/relationships/hyperlink" Target="http://intranet.childrensmn.org/forms/EmployeeIncident/EmployeeIncident.as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7718</CharactersWithSpaces>
  <SharedDoc>false</SharedDoc>
  <HLinks>
    <vt:vector size="66" baseType="variant">
      <vt:variant>
        <vt:i4>2687011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http://khan.childrensmn.org/manuals/policy/1200/032695.pdf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http://khan.childrensmn.org/Manuals/Policy/1000/004975.asp</vt:lpwstr>
      </vt:variant>
      <vt:variant>
        <vt:lpwstr/>
      </vt:variant>
      <vt:variant>
        <vt:i4>4718614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http://khan.childrensmn.org/Manuals/Safety/Emp/Eye/124719.pdf</vt:lpwstr>
      </vt:variant>
      <vt:variant>
        <vt:lpwstr/>
      </vt:variant>
      <vt:variant>
        <vt:i4>4915293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http://khan.childrensmn.org/Web/EmpHealthSrv/Form/184769.dot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  <vt:variant>
        <vt:i4>4915293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http://khan.childrensmn.org/Web/EmpHealthSrv/Form/184769.dot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  <vt:variant>
        <vt:i4>1638467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http://khan.childrensmn.org/Manuals/Lab/SOP/Gen/Safety/Res/207201.pdf</vt:lpwstr>
      </vt:variant>
      <vt:variant>
        <vt:lpwstr/>
      </vt:variant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http://khan.childrensmn.org/Manuals/Lab/SOP/Gen/Safety/Res/207200.pdf</vt:lpwstr>
      </vt:variant>
      <vt:variant>
        <vt:lpwstr/>
      </vt:variant>
      <vt:variant>
        <vt:i4>1048648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http://khan.childrensmn.org/Manuals/Lab/SOP/Gen/Safety/Res/207199.pdf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http://khan.childrensmn.org/Manuals/Lab/SOP/Gen/Safety/Res/207198.pdf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11</cp:revision>
  <cp:lastPrinted>2015-07-31T19:42:00Z</cp:lastPrinted>
  <dcterms:created xsi:type="dcterms:W3CDTF">2020-06-02T16:48:00Z</dcterms:created>
  <dcterms:modified xsi:type="dcterms:W3CDTF">2020-06-08T15:28:00Z</dcterms:modified>
</cp:coreProperties>
</file>