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RPr="00946E69" w14:paraId="5CCFFF73" w14:textId="77777777" w:rsidTr="007132A9">
        <w:trPr>
          <w:tblHeader/>
        </w:trPr>
        <w:tc>
          <w:tcPr>
            <w:tcW w:w="11160" w:type="dxa"/>
            <w:gridSpan w:val="5"/>
            <w:tcBorders>
              <w:top w:val="nil"/>
              <w:left w:val="nil"/>
              <w:bottom w:val="nil"/>
              <w:right w:val="nil"/>
            </w:tcBorders>
          </w:tcPr>
          <w:p w14:paraId="5CCFFF72" w14:textId="4BB83206" w:rsidR="006C5661" w:rsidRPr="00946E69" w:rsidRDefault="007B29CD">
            <w:pPr>
              <w:rPr>
                <w:rFonts w:cs="Arial"/>
                <w:b/>
                <w:bCs/>
                <w:color w:val="0000FF"/>
              </w:rPr>
            </w:pPr>
            <w:r w:rsidRPr="00946E69">
              <w:rPr>
                <w:rFonts w:cs="Arial"/>
                <w:b/>
                <w:bCs/>
                <w:color w:val="0000FF"/>
                <w:sz w:val="36"/>
              </w:rPr>
              <w:t>TSH</w:t>
            </w:r>
          </w:p>
        </w:tc>
      </w:tr>
      <w:tr w:rsidR="00E3253B" w:rsidRPr="00946E69" w14:paraId="5CCFFF77" w14:textId="77777777" w:rsidTr="007132A9">
        <w:trPr>
          <w:tblHeader/>
        </w:trPr>
        <w:tc>
          <w:tcPr>
            <w:tcW w:w="1800" w:type="dxa"/>
            <w:tcBorders>
              <w:top w:val="nil"/>
              <w:left w:val="nil"/>
              <w:bottom w:val="nil"/>
              <w:right w:val="nil"/>
            </w:tcBorders>
          </w:tcPr>
          <w:p w14:paraId="5CCFFF74" w14:textId="77777777" w:rsidR="00E3253B" w:rsidRPr="00946E69" w:rsidRDefault="00E3253B">
            <w:pPr>
              <w:rPr>
                <w:rFonts w:cs="Arial"/>
                <w:b/>
                <w:bCs/>
                <w:color w:val="0000FF"/>
                <w:szCs w:val="20"/>
              </w:rPr>
            </w:pPr>
            <w:r w:rsidRPr="00946E69">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6ED16957" w:rsidR="00E3253B" w:rsidRPr="00946E69" w:rsidRDefault="00A34EE2" w:rsidP="00B7757F">
            <w:pPr>
              <w:autoSpaceDE w:val="0"/>
              <w:autoSpaceDN w:val="0"/>
              <w:adjustRightInd w:val="0"/>
              <w:rPr>
                <w:rFonts w:cs="Arial"/>
                <w:color w:val="000000"/>
                <w:szCs w:val="20"/>
              </w:rPr>
            </w:pPr>
            <w:r w:rsidRPr="00946E69">
              <w:rPr>
                <w:rStyle w:val="A7"/>
                <w:rFonts w:cs="Arial"/>
                <w:b w:val="0"/>
                <w:bCs w:val="0"/>
                <w:sz w:val="20"/>
                <w:szCs w:val="20"/>
              </w:rPr>
              <w:t>This procedure provides instructions</w:t>
            </w:r>
            <w:r w:rsidR="00B7757F" w:rsidRPr="00946E69">
              <w:rPr>
                <w:rStyle w:val="A7"/>
                <w:rFonts w:cs="Arial"/>
                <w:b w:val="0"/>
                <w:bCs w:val="0"/>
                <w:sz w:val="20"/>
                <w:szCs w:val="20"/>
              </w:rPr>
              <w:t xml:space="preserve"> for performing</w:t>
            </w:r>
            <w:r w:rsidR="007B29CD" w:rsidRPr="00946E69">
              <w:rPr>
                <w:rStyle w:val="A7"/>
                <w:rFonts w:cs="Arial"/>
                <w:b w:val="0"/>
                <w:bCs w:val="0"/>
                <w:sz w:val="20"/>
                <w:szCs w:val="20"/>
              </w:rPr>
              <w:t xml:space="preserve"> TSH </w:t>
            </w:r>
            <w:r w:rsidR="00B7757F" w:rsidRPr="00946E69">
              <w:rPr>
                <w:rStyle w:val="A7"/>
                <w:rFonts w:cs="Arial"/>
                <w:b w:val="0"/>
                <w:bCs w:val="0"/>
                <w:sz w:val="20"/>
                <w:szCs w:val="20"/>
              </w:rPr>
              <w:t>testing on</w:t>
            </w:r>
            <w:r w:rsidRPr="00946E69">
              <w:rPr>
                <w:rStyle w:val="A7"/>
                <w:rFonts w:cs="Arial"/>
                <w:b w:val="0"/>
                <w:bCs w:val="0"/>
                <w:sz w:val="20"/>
                <w:szCs w:val="20"/>
              </w:rPr>
              <w:t xml:space="preserve"> ABBOTT INSTRUMENTATION. </w:t>
            </w:r>
            <w:r w:rsidR="00B7757F" w:rsidRPr="00946E69">
              <w:rPr>
                <w:rStyle w:val="A7"/>
                <w:rFonts w:cs="Arial"/>
                <w:b w:val="0"/>
                <w:bCs w:val="0"/>
                <w:sz w:val="20"/>
                <w:szCs w:val="20"/>
              </w:rPr>
              <w:t xml:space="preserve">The Alinity i </w:t>
            </w:r>
            <w:r w:rsidR="00E8154B" w:rsidRPr="00946E69">
              <w:rPr>
                <w:rStyle w:val="A7"/>
                <w:rFonts w:cs="Arial"/>
                <w:b w:val="0"/>
                <w:bCs w:val="0"/>
                <w:sz w:val="20"/>
                <w:szCs w:val="20"/>
              </w:rPr>
              <w:t xml:space="preserve">and Architect </w:t>
            </w:r>
            <w:r w:rsidR="00B7757F" w:rsidRPr="00946E69">
              <w:rPr>
                <w:rStyle w:val="A7"/>
                <w:rFonts w:cs="Arial"/>
                <w:b w:val="0"/>
                <w:bCs w:val="0"/>
                <w:sz w:val="20"/>
                <w:szCs w:val="20"/>
              </w:rPr>
              <w:t>TSH assay</w:t>
            </w:r>
            <w:r w:rsidR="00E8154B" w:rsidRPr="00946E69">
              <w:rPr>
                <w:rStyle w:val="A7"/>
                <w:rFonts w:cs="Arial"/>
                <w:b w:val="0"/>
                <w:bCs w:val="0"/>
                <w:sz w:val="20"/>
                <w:szCs w:val="20"/>
              </w:rPr>
              <w:t>s are</w:t>
            </w:r>
            <w:r w:rsidR="00B7757F" w:rsidRPr="00946E69">
              <w:rPr>
                <w:rStyle w:val="A7"/>
                <w:rFonts w:cs="Arial"/>
                <w:b w:val="0"/>
                <w:bCs w:val="0"/>
                <w:sz w:val="20"/>
                <w:szCs w:val="20"/>
              </w:rPr>
              <w:t xml:space="preserve"> a chemiluminescent microparticle immunoassay (CMIA) used for the quantitative determination of human Thyroid Stimulating Hormone (TSH) in human serum and plasma on the Alinity </w:t>
            </w:r>
            <w:r w:rsidR="00E8154B" w:rsidRPr="00946E69">
              <w:rPr>
                <w:rStyle w:val="A7"/>
                <w:rFonts w:cs="Arial"/>
                <w:b w:val="0"/>
                <w:bCs w:val="0"/>
                <w:sz w:val="20"/>
                <w:szCs w:val="20"/>
              </w:rPr>
              <w:t>I and Architect i1000SR</w:t>
            </w:r>
            <w:r w:rsidR="00B7757F" w:rsidRPr="00946E69">
              <w:rPr>
                <w:rStyle w:val="A7"/>
                <w:rFonts w:cs="Arial"/>
                <w:b w:val="0"/>
                <w:bCs w:val="0"/>
                <w:sz w:val="20"/>
                <w:szCs w:val="20"/>
              </w:rPr>
              <w:t xml:space="preserve"> analyzer</w:t>
            </w:r>
            <w:r w:rsidR="00E8154B" w:rsidRPr="00946E69">
              <w:rPr>
                <w:rStyle w:val="A7"/>
                <w:rFonts w:cs="Arial"/>
                <w:b w:val="0"/>
                <w:bCs w:val="0"/>
                <w:sz w:val="20"/>
                <w:szCs w:val="20"/>
              </w:rPr>
              <w:t>s</w:t>
            </w:r>
            <w:r w:rsidR="00B7757F" w:rsidRPr="00946E69">
              <w:rPr>
                <w:rStyle w:val="A7"/>
                <w:rFonts w:cs="Arial"/>
                <w:b w:val="0"/>
                <w:bCs w:val="0"/>
                <w:sz w:val="20"/>
                <w:szCs w:val="20"/>
              </w:rPr>
              <w:t>.</w:t>
            </w:r>
          </w:p>
          <w:p w14:paraId="5CCFFF76" w14:textId="69B68757" w:rsidR="00CD06C7" w:rsidRPr="00946E69" w:rsidRDefault="00CD06C7" w:rsidP="00CD06C7">
            <w:pPr>
              <w:autoSpaceDE w:val="0"/>
              <w:autoSpaceDN w:val="0"/>
              <w:adjustRightInd w:val="0"/>
              <w:rPr>
                <w:rFonts w:cs="Arial"/>
                <w:color w:val="000000"/>
                <w:szCs w:val="20"/>
              </w:rPr>
            </w:pPr>
          </w:p>
        </w:tc>
      </w:tr>
      <w:tr w:rsidR="00E3253B" w:rsidRPr="00946E69" w14:paraId="5CCFFF7B" w14:textId="77777777" w:rsidTr="007132A9">
        <w:trPr>
          <w:tblHeader/>
        </w:trPr>
        <w:tc>
          <w:tcPr>
            <w:tcW w:w="1800" w:type="dxa"/>
            <w:tcBorders>
              <w:top w:val="nil"/>
              <w:left w:val="nil"/>
              <w:bottom w:val="nil"/>
              <w:right w:val="nil"/>
            </w:tcBorders>
          </w:tcPr>
          <w:p w14:paraId="5CCFFF78" w14:textId="77777777" w:rsidR="00E3253B" w:rsidRPr="00946E69" w:rsidRDefault="00E3253B">
            <w:pPr>
              <w:rPr>
                <w:rFonts w:cs="Arial"/>
                <w:b/>
                <w:bCs/>
                <w:color w:val="0000FF"/>
                <w:szCs w:val="20"/>
              </w:rPr>
            </w:pPr>
            <w:r w:rsidRPr="00946E69">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0F5A4969" w:rsidR="001A1584" w:rsidRPr="00946E69" w:rsidRDefault="001A1584" w:rsidP="001A1584">
            <w:pPr>
              <w:rPr>
                <w:rFonts w:cs="Arial"/>
                <w:szCs w:val="20"/>
              </w:rPr>
            </w:pPr>
            <w:r w:rsidRPr="00946E69">
              <w:rPr>
                <w:rFonts w:cs="Arial"/>
                <w:szCs w:val="20"/>
              </w:rPr>
              <w:t>This procedure applies to all personnel responsible for operating Alinity</w:t>
            </w:r>
            <w:r w:rsidR="00E8154B" w:rsidRPr="00946E69">
              <w:rPr>
                <w:rFonts w:cs="Arial"/>
                <w:szCs w:val="20"/>
              </w:rPr>
              <w:t xml:space="preserve"> i or Architect i1000SR</w:t>
            </w:r>
            <w:r w:rsidRPr="00946E69">
              <w:rPr>
                <w:rFonts w:cs="Arial"/>
                <w:szCs w:val="20"/>
              </w:rPr>
              <w:t xml:space="preserve"> at </w:t>
            </w:r>
            <w:r w:rsidR="00E8154B" w:rsidRPr="00946E69">
              <w:rPr>
                <w:rFonts w:cs="Arial"/>
                <w:szCs w:val="20"/>
              </w:rPr>
              <w:t>Children’s Minnesota Laboratory in Minneapolis.</w:t>
            </w:r>
          </w:p>
          <w:p w14:paraId="5CCFFF7A" w14:textId="77777777" w:rsidR="00E3253B" w:rsidRPr="00946E69" w:rsidRDefault="00E3253B" w:rsidP="00DF6343">
            <w:pPr>
              <w:rPr>
                <w:rFonts w:cs="Arial"/>
                <w:szCs w:val="20"/>
              </w:rPr>
            </w:pPr>
          </w:p>
        </w:tc>
      </w:tr>
      <w:tr w:rsidR="00E3253B" w:rsidRPr="00946E69" w14:paraId="5CCFFF82" w14:textId="77777777" w:rsidTr="007132A9">
        <w:trPr>
          <w:tblHeader/>
        </w:trPr>
        <w:tc>
          <w:tcPr>
            <w:tcW w:w="1800" w:type="dxa"/>
            <w:tcBorders>
              <w:top w:val="nil"/>
              <w:left w:val="nil"/>
              <w:bottom w:val="nil"/>
              <w:right w:val="nil"/>
            </w:tcBorders>
          </w:tcPr>
          <w:p w14:paraId="5CCFFF7C" w14:textId="77777777" w:rsidR="00E3253B" w:rsidRPr="00946E69" w:rsidRDefault="00E3253B">
            <w:pPr>
              <w:rPr>
                <w:rFonts w:cs="Arial"/>
                <w:b/>
                <w:bCs/>
                <w:color w:val="0000FF"/>
                <w:szCs w:val="20"/>
              </w:rPr>
            </w:pPr>
            <w:r w:rsidRPr="00946E69">
              <w:rPr>
                <w:rFonts w:cs="Arial"/>
                <w:b/>
                <w:bCs/>
                <w:color w:val="0000FF"/>
                <w:szCs w:val="20"/>
              </w:rPr>
              <w:t>Principle</w:t>
            </w:r>
          </w:p>
          <w:p w14:paraId="5CCFFF7D" w14:textId="77777777" w:rsidR="00E3253B" w:rsidRPr="00946E69"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3868BB7" w14:textId="14E0D6CA" w:rsidR="0055321A" w:rsidRPr="00946E69" w:rsidRDefault="0055321A" w:rsidP="0055321A">
            <w:pPr>
              <w:pStyle w:val="Header"/>
              <w:rPr>
                <w:rFonts w:cs="Arial"/>
                <w:color w:val="000000"/>
                <w:szCs w:val="20"/>
              </w:rPr>
            </w:pPr>
            <w:r w:rsidRPr="00946E69">
              <w:rPr>
                <w:rFonts w:cs="Arial"/>
                <w:color w:val="000000"/>
                <w:szCs w:val="20"/>
              </w:rPr>
              <w:t>This assay is a two-step immunoassay for the quantitative determination of human Thyroid Stimulating Hormone (TSH) in human serum and plasma using chemiluminescent microparticle immunoassay (CMIA) technology.</w:t>
            </w:r>
          </w:p>
          <w:p w14:paraId="109CB643" w14:textId="77777777" w:rsidR="0055321A" w:rsidRPr="00946E69" w:rsidRDefault="0055321A" w:rsidP="0055321A">
            <w:pPr>
              <w:pStyle w:val="Header"/>
              <w:rPr>
                <w:rFonts w:cs="Arial"/>
                <w:color w:val="000000"/>
                <w:szCs w:val="20"/>
              </w:rPr>
            </w:pPr>
          </w:p>
          <w:p w14:paraId="2CA0AB11" w14:textId="77777777" w:rsidR="00B7757F" w:rsidRPr="00946E69" w:rsidRDefault="0055321A" w:rsidP="0055321A">
            <w:pPr>
              <w:pStyle w:val="Header"/>
              <w:rPr>
                <w:rFonts w:cs="Arial"/>
                <w:color w:val="000000"/>
                <w:szCs w:val="20"/>
              </w:rPr>
            </w:pPr>
            <w:r w:rsidRPr="00946E69">
              <w:rPr>
                <w:rFonts w:cs="Arial"/>
                <w:color w:val="000000"/>
                <w:szCs w:val="20"/>
              </w:rPr>
              <w:t>Sample, anti-</w:t>
            </w:r>
            <w:r w:rsidRPr="00946E69">
              <w:rPr>
                <w:rFonts w:cs="Arial" w:hint="eastAsia"/>
                <w:color w:val="000000"/>
                <w:szCs w:val="20"/>
              </w:rPr>
              <w:t>β</w:t>
            </w:r>
            <w:r w:rsidRPr="00946E69">
              <w:rPr>
                <w:rFonts w:cs="Arial"/>
                <w:color w:val="000000"/>
                <w:szCs w:val="20"/>
              </w:rPr>
              <w:t xml:space="preserve"> TSH antibody coated paramagnetic </w:t>
            </w:r>
            <w:proofErr w:type="spellStart"/>
            <w:r w:rsidRPr="00946E69">
              <w:rPr>
                <w:rFonts w:cs="Arial"/>
                <w:color w:val="000000"/>
                <w:szCs w:val="20"/>
              </w:rPr>
              <w:t>microparticles</w:t>
            </w:r>
            <w:proofErr w:type="spellEnd"/>
            <w:r w:rsidRPr="00946E69">
              <w:rPr>
                <w:rFonts w:cs="Arial"/>
                <w:color w:val="000000"/>
                <w:szCs w:val="20"/>
              </w:rPr>
              <w:t xml:space="preserve">, and TSH assay diluent are combined and incubated. The TSH present in the sample binds to the anti-TSH antibody coated </w:t>
            </w:r>
            <w:proofErr w:type="spellStart"/>
            <w:r w:rsidRPr="00946E69">
              <w:rPr>
                <w:rFonts w:cs="Arial"/>
                <w:color w:val="000000"/>
                <w:szCs w:val="20"/>
              </w:rPr>
              <w:t>microparticles</w:t>
            </w:r>
            <w:proofErr w:type="spellEnd"/>
            <w:r w:rsidRPr="00946E69">
              <w:rPr>
                <w:rFonts w:cs="Arial"/>
                <w:color w:val="000000"/>
                <w:szCs w:val="20"/>
              </w:rPr>
              <w:t>. The mixture is washed. Anti-</w:t>
            </w:r>
            <w:r w:rsidRPr="00946E69">
              <w:rPr>
                <w:rFonts w:cs="Arial" w:hint="eastAsia"/>
                <w:color w:val="000000"/>
                <w:szCs w:val="20"/>
              </w:rPr>
              <w:t>α</w:t>
            </w:r>
            <w:r w:rsidRPr="00946E69">
              <w:rPr>
                <w:rFonts w:cs="Arial"/>
                <w:color w:val="000000"/>
                <w:szCs w:val="20"/>
              </w:rPr>
              <w:t xml:space="preserve"> TSH </w:t>
            </w:r>
            <w:proofErr w:type="spellStart"/>
            <w:r w:rsidRPr="00946E69">
              <w:rPr>
                <w:rFonts w:cs="Arial"/>
                <w:color w:val="000000"/>
                <w:szCs w:val="20"/>
              </w:rPr>
              <w:t>acridinium</w:t>
            </w:r>
            <w:proofErr w:type="spellEnd"/>
            <w:r w:rsidRPr="00946E69">
              <w:rPr>
                <w:rFonts w:cs="Arial"/>
                <w:color w:val="000000"/>
                <w:szCs w:val="20"/>
              </w:rPr>
              <w:t xml:space="preserve">-labeled conjugate is added to create a reaction mixture and incubated. Following a wash cycle, Pre-Trigger and Trigger Solutions are added. The resulting chemiluminescent reaction is measured as relative light units (RLUs). There is a direct relationship between the amount of TSH in the sample and the RLUs detected by the system optics. </w:t>
            </w:r>
          </w:p>
          <w:p w14:paraId="734EDD3B" w14:textId="77777777" w:rsidR="00B7757F" w:rsidRPr="00946E69" w:rsidRDefault="00B7757F" w:rsidP="0055321A">
            <w:pPr>
              <w:pStyle w:val="Header"/>
              <w:rPr>
                <w:rFonts w:cs="Arial"/>
                <w:color w:val="000000"/>
                <w:szCs w:val="20"/>
              </w:rPr>
            </w:pPr>
          </w:p>
          <w:p w14:paraId="5F4D763B" w14:textId="2ACF71D6" w:rsidR="006C5661" w:rsidRPr="00946E69" w:rsidRDefault="0055321A" w:rsidP="0055321A">
            <w:pPr>
              <w:pStyle w:val="Header"/>
              <w:rPr>
                <w:rFonts w:cs="Arial"/>
                <w:color w:val="000000"/>
                <w:szCs w:val="20"/>
              </w:rPr>
            </w:pPr>
            <w:r w:rsidRPr="00946E69">
              <w:rPr>
                <w:rFonts w:cs="Arial"/>
                <w:color w:val="000000"/>
                <w:szCs w:val="20"/>
              </w:rPr>
              <w:t>For additional information on system and assay technology, refer to the Alinity ci-series Operations Manual, Section 3.</w:t>
            </w:r>
          </w:p>
          <w:p w14:paraId="5CCFFF81" w14:textId="259928ED" w:rsidR="00B7757F" w:rsidRPr="00946E69" w:rsidRDefault="00B7757F" w:rsidP="0055321A">
            <w:pPr>
              <w:pStyle w:val="Header"/>
              <w:rPr>
                <w:rFonts w:cs="Arial"/>
                <w:color w:val="000000"/>
                <w:szCs w:val="20"/>
              </w:rPr>
            </w:pPr>
          </w:p>
        </w:tc>
      </w:tr>
      <w:tr w:rsidR="00E3253B" w:rsidRPr="00946E69" w14:paraId="5CCFFF87" w14:textId="77777777" w:rsidTr="007132A9">
        <w:trPr>
          <w:tblHeader/>
        </w:trPr>
        <w:tc>
          <w:tcPr>
            <w:tcW w:w="1800" w:type="dxa"/>
            <w:tcBorders>
              <w:top w:val="nil"/>
              <w:left w:val="nil"/>
              <w:bottom w:val="nil"/>
              <w:right w:val="nil"/>
            </w:tcBorders>
          </w:tcPr>
          <w:p w14:paraId="5CCFFF83" w14:textId="77777777" w:rsidR="00E3253B" w:rsidRPr="00946E69" w:rsidRDefault="00E3253B">
            <w:pPr>
              <w:rPr>
                <w:rFonts w:cs="Arial"/>
                <w:b/>
                <w:bCs/>
                <w:color w:val="0000FF"/>
                <w:szCs w:val="20"/>
              </w:rPr>
            </w:pPr>
            <w:r w:rsidRPr="00946E69">
              <w:rPr>
                <w:rFonts w:cs="Arial"/>
                <w:b/>
                <w:bCs/>
                <w:color w:val="0000FF"/>
                <w:szCs w:val="20"/>
              </w:rPr>
              <w:lastRenderedPageBreak/>
              <w:t>Clinical Significance</w:t>
            </w:r>
          </w:p>
          <w:p w14:paraId="5CCFFF84" w14:textId="77777777" w:rsidR="00E3253B" w:rsidRPr="00946E69"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4DA33E2" w14:textId="450FF080" w:rsidR="0055321A" w:rsidRPr="00946E69" w:rsidRDefault="0055321A" w:rsidP="0055321A">
            <w:pPr>
              <w:autoSpaceDE w:val="0"/>
              <w:autoSpaceDN w:val="0"/>
              <w:adjustRightInd w:val="0"/>
              <w:rPr>
                <w:rFonts w:eastAsia="HelenPro-Regular" w:cs="Arial"/>
                <w:szCs w:val="20"/>
              </w:rPr>
            </w:pPr>
            <w:r w:rsidRPr="00946E69">
              <w:rPr>
                <w:rFonts w:eastAsia="HelenPro-Regular" w:cs="Arial"/>
                <w:szCs w:val="20"/>
              </w:rPr>
              <w:t xml:space="preserve">Human Thyroid Stimulating Hormone (TSH) or thyrotropin is a glycoprotein with a molecular weight of approximately 28 000 </w:t>
            </w:r>
            <w:proofErr w:type="spellStart"/>
            <w:r w:rsidRPr="00946E69">
              <w:rPr>
                <w:rFonts w:eastAsia="HelenPro-Regular" w:cs="Arial"/>
                <w:szCs w:val="20"/>
              </w:rPr>
              <w:t>daltons</w:t>
            </w:r>
            <w:proofErr w:type="spellEnd"/>
            <w:r w:rsidRPr="00946E69">
              <w:rPr>
                <w:rFonts w:eastAsia="HelenPro-Regular" w:cs="Arial"/>
                <w:szCs w:val="20"/>
              </w:rPr>
              <w:t>, synthesized by the basophilic cells (</w:t>
            </w:r>
            <w:proofErr w:type="spellStart"/>
            <w:r w:rsidRPr="00946E69">
              <w:rPr>
                <w:rFonts w:eastAsia="HelenPro-Regular" w:cs="Arial"/>
                <w:szCs w:val="20"/>
              </w:rPr>
              <w:t>thyrotropes</w:t>
            </w:r>
            <w:proofErr w:type="spellEnd"/>
            <w:r w:rsidRPr="00946E69">
              <w:rPr>
                <w:rFonts w:eastAsia="HelenPro-Regular" w:cs="Arial"/>
                <w:szCs w:val="20"/>
              </w:rPr>
              <w:t>) of the anterior pituitary. TSH is composed of two non-covalently linked subunits designated alpha and beta. Although the alpha subunit of TSH is common to the luteinizing hormone (LH), follicle stimulating hormone (FSH) and human chorionic gonadotropin (</w:t>
            </w:r>
            <w:proofErr w:type="spellStart"/>
            <w:r w:rsidRPr="00946E69">
              <w:rPr>
                <w:rFonts w:eastAsia="HelenPro-Regular" w:cs="Arial"/>
                <w:szCs w:val="20"/>
              </w:rPr>
              <w:t>hCG</w:t>
            </w:r>
            <w:proofErr w:type="spellEnd"/>
            <w:r w:rsidRPr="00946E69">
              <w:rPr>
                <w:rFonts w:eastAsia="HelenPro-Regular" w:cs="Arial"/>
                <w:szCs w:val="20"/>
              </w:rPr>
              <w:t>), the beta subunits of these glycoproteins are hormone specific and confer biological as well as immunological specificity. Both alpha and beta subunits are required for biological activity. TSH stimulates the production and secretion of the metabolically active thyroid hormones, thyroxine (T4) and triiodothyronine (T3), by interacting with a specific receptor on the thyroid cell surface. T3 and T4 are responsible for regulating diverse biochemical processes throughout the body which are essential for normal development and metabolic and neural activity.</w:t>
            </w:r>
          </w:p>
          <w:p w14:paraId="50728363" w14:textId="77777777" w:rsidR="0055321A" w:rsidRPr="00946E69" w:rsidRDefault="0055321A" w:rsidP="0055321A">
            <w:pPr>
              <w:autoSpaceDE w:val="0"/>
              <w:autoSpaceDN w:val="0"/>
              <w:adjustRightInd w:val="0"/>
              <w:rPr>
                <w:rFonts w:eastAsia="HelenPro-Regular" w:cs="Arial"/>
                <w:szCs w:val="20"/>
              </w:rPr>
            </w:pPr>
          </w:p>
          <w:p w14:paraId="400E470B" w14:textId="1D46DC80" w:rsidR="0055321A" w:rsidRPr="00946E69" w:rsidRDefault="0055321A" w:rsidP="0055321A">
            <w:pPr>
              <w:autoSpaceDE w:val="0"/>
              <w:autoSpaceDN w:val="0"/>
              <w:adjustRightInd w:val="0"/>
              <w:rPr>
                <w:rFonts w:eastAsia="HelenPro-Regular" w:cs="Arial"/>
                <w:szCs w:val="20"/>
              </w:rPr>
            </w:pPr>
            <w:r w:rsidRPr="00946E69">
              <w:rPr>
                <w:rFonts w:eastAsia="HelenPro-Regular" w:cs="Arial"/>
                <w:szCs w:val="20"/>
              </w:rPr>
              <w:t>The synthesis and secretion of TSH is stimulated by thyrotropin releasing hormone (TRH), the hypothalamic tripeptide, in response to low levels of circulating thyroid hormones. Elevated levels of T3 and T4 suppress the production of TSH via a classic negative feedback mechanism. Other evidence also indicates that somatostatin and dopamine exert inhibitory control over TSH release, suggesting that the hypothalamus may provide both inhibitory and stimulatory influence on pituitary TSH production. Failure at any level of regulation of the hypothalamic-pituitary-thyroid axis will result in either underproduction (hypothyroidism) or overproduction (hyperthyroidism) of T4 and/or T3.</w:t>
            </w:r>
          </w:p>
          <w:p w14:paraId="4285E488" w14:textId="77777777" w:rsidR="0055321A" w:rsidRPr="00946E69" w:rsidRDefault="0055321A" w:rsidP="0055321A">
            <w:pPr>
              <w:autoSpaceDE w:val="0"/>
              <w:autoSpaceDN w:val="0"/>
              <w:adjustRightInd w:val="0"/>
              <w:rPr>
                <w:rFonts w:eastAsia="HelenPro-Regular" w:cs="Arial"/>
                <w:szCs w:val="20"/>
              </w:rPr>
            </w:pPr>
          </w:p>
          <w:p w14:paraId="6F21E462" w14:textId="6A7E515A" w:rsidR="0055321A" w:rsidRPr="00946E69" w:rsidRDefault="0055321A" w:rsidP="0055321A">
            <w:pPr>
              <w:autoSpaceDE w:val="0"/>
              <w:autoSpaceDN w:val="0"/>
              <w:adjustRightInd w:val="0"/>
              <w:rPr>
                <w:rFonts w:eastAsia="HelenPro-Regular" w:cs="Arial"/>
                <w:szCs w:val="20"/>
              </w:rPr>
            </w:pPr>
            <w:r w:rsidRPr="00946E69">
              <w:rPr>
                <w:rFonts w:eastAsia="HelenPro-Regular" w:cs="Arial"/>
                <w:szCs w:val="20"/>
              </w:rPr>
              <w:t>In cases of primary hypothyroidism, T3 and T4 levels are low and TSH levels are significantly elevated. In the case of pituitary dysfunction, either due to intrinsic hypothalamic or pituitary disease; i.e., central hypothyroidism, normal or marginally elevated basal TSH levels are often seen despite significant reduction in T4 and/or T3 levels. These inappropriate TSH values are due to a reduction in TSH bioactivity which is frequently observed in such cases. Routine TRH stimulation is advised to confirm the diagnosis in such cases. Secondary hypothyroidism typically results in an impaired TSH response to TRH, while in tertiary hypothyroidism the TSH response to TRH may be normal, prolonged or exaggerated.</w:t>
            </w:r>
          </w:p>
          <w:p w14:paraId="632F82C5" w14:textId="77777777" w:rsidR="0055321A" w:rsidRPr="00946E69" w:rsidRDefault="0055321A" w:rsidP="0055321A">
            <w:pPr>
              <w:autoSpaceDE w:val="0"/>
              <w:autoSpaceDN w:val="0"/>
              <w:adjustRightInd w:val="0"/>
              <w:rPr>
                <w:rFonts w:eastAsia="HelenPro-Regular" w:cs="Arial"/>
                <w:szCs w:val="20"/>
              </w:rPr>
            </w:pPr>
          </w:p>
          <w:p w14:paraId="46F2BE57" w14:textId="28C36050" w:rsidR="0055321A" w:rsidRPr="00946E69" w:rsidRDefault="0055321A" w:rsidP="0055321A">
            <w:pPr>
              <w:autoSpaceDE w:val="0"/>
              <w:autoSpaceDN w:val="0"/>
              <w:adjustRightInd w:val="0"/>
              <w:rPr>
                <w:rFonts w:eastAsia="HelenPro-Regular" w:cs="Arial"/>
                <w:szCs w:val="20"/>
              </w:rPr>
            </w:pPr>
            <w:r w:rsidRPr="00946E69">
              <w:rPr>
                <w:rFonts w:eastAsia="HelenPro-Regular" w:cs="Arial"/>
                <w:szCs w:val="20"/>
              </w:rPr>
              <w:t>Primary hyperthyroidism (e.g., Grave’s Disease, nodular goiter) is associated with high levels of thyroid hormones and depressed or undetectable levels of TSH. The TRH stimulation test has been used in diagnosis of hyperthyroidism. Hyperthyroid patients show a subnormal response to the TRH test. In addition, large doses of glucocorticoids, somatostatin, dopamine and replacement doses of thyroid hormones reduce or totally blunt the TSH response to TRH.</w:t>
            </w:r>
          </w:p>
          <w:p w14:paraId="0D2DD9E3" w14:textId="77777777" w:rsidR="0055321A" w:rsidRPr="00946E69" w:rsidRDefault="0055321A" w:rsidP="0055321A">
            <w:pPr>
              <w:autoSpaceDE w:val="0"/>
              <w:autoSpaceDN w:val="0"/>
              <w:adjustRightInd w:val="0"/>
              <w:rPr>
                <w:rFonts w:eastAsia="HelenPro-Regular" w:cs="Arial"/>
                <w:szCs w:val="20"/>
              </w:rPr>
            </w:pPr>
          </w:p>
          <w:p w14:paraId="01B3404F" w14:textId="19F3E94F" w:rsidR="0055321A" w:rsidRPr="00946E69" w:rsidRDefault="0055321A" w:rsidP="0055321A">
            <w:pPr>
              <w:autoSpaceDE w:val="0"/>
              <w:autoSpaceDN w:val="0"/>
              <w:adjustRightInd w:val="0"/>
              <w:rPr>
                <w:rFonts w:eastAsia="HelenPro-Regular" w:cs="Arial"/>
                <w:szCs w:val="20"/>
              </w:rPr>
            </w:pPr>
            <w:r w:rsidRPr="00946E69">
              <w:rPr>
                <w:rFonts w:eastAsia="HelenPro-Regular" w:cs="Arial"/>
                <w:szCs w:val="20"/>
              </w:rPr>
              <w:t xml:space="preserve">Earlier assays for serum TSH lacked the sensitivity to be used as a primary test of thyroid function. Sensitive TSH assays now available, with increased ability to clearly distinguish between </w:t>
            </w:r>
            <w:proofErr w:type="spellStart"/>
            <w:r w:rsidRPr="00946E69">
              <w:rPr>
                <w:rFonts w:eastAsia="HelenPro-Regular" w:cs="Arial"/>
                <w:szCs w:val="20"/>
              </w:rPr>
              <w:t>euthyroid</w:t>
            </w:r>
            <w:proofErr w:type="spellEnd"/>
            <w:r w:rsidRPr="00946E69">
              <w:rPr>
                <w:rFonts w:eastAsia="HelenPro-Regular" w:cs="Arial"/>
                <w:szCs w:val="20"/>
              </w:rPr>
              <w:t xml:space="preserve"> and hyperthyroid populations, are changing thyroid function testing. Analytical sensitivity, as a means of assessing low concentration accuracy, is being replaced by functional sensitivity. The American Thyroid Association has formally recommended the use of functional sensitivity as the means to quantify the sensitivity of TSH assays although analytical sensitivity is still widely used. Third generation TSH assays exhibit 20% </w:t>
            </w:r>
            <w:proofErr w:type="spellStart"/>
            <w:r w:rsidRPr="00946E69">
              <w:rPr>
                <w:rFonts w:eastAsia="HelenPro-Regular" w:cs="Arial"/>
                <w:szCs w:val="20"/>
              </w:rPr>
              <w:t>interassay</w:t>
            </w:r>
            <w:proofErr w:type="spellEnd"/>
            <w:r w:rsidRPr="00946E69">
              <w:rPr>
                <w:rFonts w:eastAsia="HelenPro-Regular" w:cs="Arial"/>
                <w:szCs w:val="20"/>
              </w:rPr>
              <w:t xml:space="preserve"> CVs at &lt; 0.02 </w:t>
            </w:r>
            <w:proofErr w:type="spellStart"/>
            <w:r w:rsidRPr="00946E69">
              <w:rPr>
                <w:rFonts w:eastAsia="HelenPro-Regular" w:cs="Arial"/>
                <w:szCs w:val="20"/>
              </w:rPr>
              <w:t>μIU</w:t>
            </w:r>
            <w:proofErr w:type="spellEnd"/>
            <w:r w:rsidRPr="00946E69">
              <w:rPr>
                <w:rFonts w:eastAsia="HelenPro-Regular" w:cs="Arial"/>
                <w:szCs w:val="20"/>
              </w:rPr>
              <w:t>/mL and are useful in the discrimination of patients with true hyperthyroidism from those with TSH suppression seen in subclinical hyperthyroidism and some non-thyroidal illnesses. Other thyroid tests (Free T4 estimate, Total T4, T-Uptake, and Total T3) combined with the ability to accurately measure low levels of TSH, improve the efficiency of thyroid diagnosis.</w:t>
            </w:r>
          </w:p>
          <w:p w14:paraId="330C80BA" w14:textId="77777777" w:rsidR="0055321A" w:rsidRPr="00946E69" w:rsidRDefault="0055321A" w:rsidP="0055321A">
            <w:pPr>
              <w:autoSpaceDE w:val="0"/>
              <w:autoSpaceDN w:val="0"/>
              <w:adjustRightInd w:val="0"/>
              <w:rPr>
                <w:rFonts w:eastAsia="HelenPro-Regular" w:cs="Arial"/>
                <w:szCs w:val="20"/>
              </w:rPr>
            </w:pPr>
          </w:p>
          <w:p w14:paraId="58DBF776" w14:textId="49B3970E" w:rsidR="002462C0" w:rsidRPr="00946E69" w:rsidRDefault="0055321A" w:rsidP="0055321A">
            <w:pPr>
              <w:autoSpaceDE w:val="0"/>
              <w:autoSpaceDN w:val="0"/>
              <w:adjustRightInd w:val="0"/>
              <w:rPr>
                <w:rFonts w:eastAsia="HelenPro-Regular" w:cs="Arial"/>
                <w:szCs w:val="20"/>
              </w:rPr>
            </w:pPr>
            <w:r w:rsidRPr="00946E69">
              <w:rPr>
                <w:rFonts w:eastAsia="HelenPro-Regular" w:cs="Arial"/>
                <w:szCs w:val="20"/>
              </w:rPr>
              <w:t xml:space="preserve">The Alinity i </w:t>
            </w:r>
            <w:r w:rsidR="00E8154B" w:rsidRPr="00946E69">
              <w:rPr>
                <w:rFonts w:eastAsia="HelenPro-Regular" w:cs="Arial"/>
                <w:szCs w:val="20"/>
              </w:rPr>
              <w:t xml:space="preserve">and Architect </w:t>
            </w:r>
            <w:r w:rsidRPr="00946E69">
              <w:rPr>
                <w:rFonts w:eastAsia="HelenPro-Regular" w:cs="Arial"/>
                <w:szCs w:val="20"/>
              </w:rPr>
              <w:t>TSH assay</w:t>
            </w:r>
            <w:r w:rsidR="00E8154B" w:rsidRPr="00946E69">
              <w:rPr>
                <w:rFonts w:eastAsia="HelenPro-Regular" w:cs="Arial"/>
                <w:szCs w:val="20"/>
              </w:rPr>
              <w:t>s are</w:t>
            </w:r>
            <w:r w:rsidRPr="00946E69">
              <w:rPr>
                <w:rFonts w:eastAsia="HelenPro-Regular" w:cs="Arial"/>
                <w:szCs w:val="20"/>
              </w:rPr>
              <w:t xml:space="preserve"> to be used as an aid in the assessment of thyroid status, diagnosis of thyroid disease, and treatment of thyroid disease.</w:t>
            </w:r>
          </w:p>
          <w:p w14:paraId="5CCFFF86" w14:textId="52BA5E6F" w:rsidR="00342EC1" w:rsidRPr="00946E69" w:rsidRDefault="00342EC1" w:rsidP="0055321A">
            <w:pPr>
              <w:autoSpaceDE w:val="0"/>
              <w:autoSpaceDN w:val="0"/>
              <w:adjustRightInd w:val="0"/>
              <w:rPr>
                <w:rFonts w:eastAsia="HelenPro-Regular" w:cs="Arial"/>
                <w:szCs w:val="20"/>
              </w:rPr>
            </w:pPr>
          </w:p>
        </w:tc>
      </w:tr>
      <w:tr w:rsidR="00E3253B" w:rsidRPr="00946E69" w14:paraId="5CCFFF8A" w14:textId="77777777" w:rsidTr="00504F3B">
        <w:trPr>
          <w:trHeight w:val="450"/>
          <w:tblHeader/>
        </w:trPr>
        <w:tc>
          <w:tcPr>
            <w:tcW w:w="1800" w:type="dxa"/>
            <w:tcBorders>
              <w:top w:val="nil"/>
              <w:left w:val="nil"/>
              <w:bottom w:val="nil"/>
              <w:right w:val="nil"/>
            </w:tcBorders>
          </w:tcPr>
          <w:p w14:paraId="5CCFFF88" w14:textId="77777777" w:rsidR="00E3253B" w:rsidRPr="00946E69" w:rsidRDefault="00E3253B">
            <w:pPr>
              <w:rPr>
                <w:rFonts w:cs="Arial"/>
                <w:b/>
                <w:bCs/>
                <w:color w:val="0000FF"/>
                <w:szCs w:val="20"/>
              </w:rPr>
            </w:pPr>
            <w:r w:rsidRPr="00946E69">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5AE4CEB1" w:rsidR="006200C0" w:rsidRPr="00946E69" w:rsidRDefault="006200C0" w:rsidP="006200C0">
            <w:pPr>
              <w:autoSpaceDE w:val="0"/>
              <w:autoSpaceDN w:val="0"/>
              <w:adjustRightInd w:val="0"/>
              <w:rPr>
                <w:rFonts w:cs="Arial"/>
                <w:bCs/>
                <w:szCs w:val="20"/>
              </w:rPr>
            </w:pPr>
            <w:r w:rsidRPr="00946E69">
              <w:rPr>
                <w:rFonts w:cs="Arial"/>
                <w:b/>
                <w:bCs/>
                <w:color w:val="7030A0"/>
                <w:szCs w:val="20"/>
              </w:rPr>
              <w:t>Minneapolis: Abbott Alinit</w:t>
            </w:r>
            <w:r w:rsidR="00342EC1" w:rsidRPr="00946E69">
              <w:rPr>
                <w:rFonts w:cs="Arial"/>
                <w:b/>
                <w:bCs/>
                <w:color w:val="7030A0"/>
                <w:szCs w:val="20"/>
              </w:rPr>
              <w:t>y ci (Sunquest method code: MACI</w:t>
            </w:r>
            <w:r w:rsidRPr="00946E69">
              <w:rPr>
                <w:rFonts w:cs="Arial"/>
                <w:b/>
                <w:bCs/>
                <w:color w:val="7030A0"/>
                <w:szCs w:val="20"/>
              </w:rPr>
              <w:t>)</w:t>
            </w:r>
          </w:p>
          <w:p w14:paraId="6EADE43A" w14:textId="77777777" w:rsidR="006200C0" w:rsidRPr="00946E69" w:rsidRDefault="00342EC1" w:rsidP="006B78CE">
            <w:pPr>
              <w:pStyle w:val="BodyText2"/>
              <w:spacing w:after="60" w:line="240" w:lineRule="auto"/>
              <w:rPr>
                <w:rFonts w:cs="Arial"/>
                <w:b/>
                <w:bCs/>
                <w:color w:val="984806" w:themeColor="accent6" w:themeShade="80"/>
                <w:szCs w:val="20"/>
              </w:rPr>
            </w:pPr>
            <w:r w:rsidRPr="00946E69">
              <w:rPr>
                <w:rFonts w:cs="Arial"/>
                <w:b/>
                <w:bCs/>
                <w:color w:val="984806" w:themeColor="accent6" w:themeShade="80"/>
                <w:szCs w:val="20"/>
              </w:rPr>
              <w:t>Backup</w:t>
            </w:r>
            <w:r w:rsidR="007B29CD" w:rsidRPr="00946E69">
              <w:rPr>
                <w:rFonts w:cs="Arial"/>
                <w:b/>
                <w:bCs/>
                <w:color w:val="984806" w:themeColor="accent6" w:themeShade="80"/>
                <w:szCs w:val="20"/>
              </w:rPr>
              <w:t xml:space="preserve">: </w:t>
            </w:r>
            <w:r w:rsidRPr="00946E69">
              <w:rPr>
                <w:rFonts w:cs="Arial"/>
                <w:b/>
                <w:bCs/>
                <w:color w:val="984806" w:themeColor="accent6" w:themeShade="80"/>
                <w:szCs w:val="20"/>
              </w:rPr>
              <w:t>Architect i1000</w:t>
            </w:r>
            <w:r w:rsidR="007B29CD" w:rsidRPr="00946E69">
              <w:rPr>
                <w:rFonts w:cs="Arial"/>
                <w:b/>
                <w:bCs/>
                <w:color w:val="984806" w:themeColor="accent6" w:themeShade="80"/>
                <w:szCs w:val="20"/>
              </w:rPr>
              <w:t xml:space="preserve"> (Sunquest method code: </w:t>
            </w:r>
            <w:r w:rsidRPr="00946E69">
              <w:rPr>
                <w:rFonts w:cs="Arial"/>
                <w:b/>
                <w:bCs/>
                <w:color w:val="984806" w:themeColor="accent6" w:themeShade="80"/>
                <w:szCs w:val="20"/>
              </w:rPr>
              <w:t>AI1</w:t>
            </w:r>
            <w:r w:rsidR="0055321A" w:rsidRPr="00946E69">
              <w:rPr>
                <w:rFonts w:cs="Arial"/>
                <w:b/>
                <w:bCs/>
                <w:color w:val="984806" w:themeColor="accent6" w:themeShade="80"/>
                <w:szCs w:val="20"/>
              </w:rPr>
              <w:t>)</w:t>
            </w:r>
          </w:p>
          <w:p w14:paraId="5CCFFF89" w14:textId="1CED92D2" w:rsidR="00D60BD8" w:rsidRPr="00946E69" w:rsidRDefault="00D60BD8" w:rsidP="006B78CE">
            <w:pPr>
              <w:pStyle w:val="BodyText2"/>
              <w:spacing w:after="60" w:line="240" w:lineRule="auto"/>
              <w:rPr>
                <w:rFonts w:cs="Arial"/>
                <w:b/>
                <w:bCs/>
                <w:color w:val="7030A0"/>
                <w:szCs w:val="20"/>
              </w:rPr>
            </w:pPr>
          </w:p>
        </w:tc>
      </w:tr>
      <w:tr w:rsidR="00E3253B" w:rsidRPr="00946E69"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946E69" w:rsidRDefault="00370B0F">
            <w:pPr>
              <w:rPr>
                <w:rFonts w:cs="Arial"/>
                <w:b/>
                <w:bCs/>
                <w:color w:val="0000FF"/>
                <w:szCs w:val="20"/>
              </w:rPr>
            </w:pPr>
            <w:r w:rsidRPr="00946E69">
              <w:rPr>
                <w:rFonts w:cs="Arial"/>
                <w:b/>
                <w:bCs/>
                <w:color w:val="0000FF"/>
                <w:szCs w:val="20"/>
              </w:rPr>
              <w:t>S</w:t>
            </w:r>
            <w:r w:rsidR="00E3253B" w:rsidRPr="00946E69">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5A4524F8" w:rsidR="00370B0F" w:rsidRPr="00946E69" w:rsidRDefault="009E231A" w:rsidP="00652F45">
            <w:pPr>
              <w:rPr>
                <w:b/>
              </w:rPr>
            </w:pPr>
            <w:r w:rsidRPr="00946E69">
              <w:rPr>
                <w:b/>
              </w:rPr>
              <w:t>TSH</w:t>
            </w:r>
          </w:p>
        </w:tc>
      </w:tr>
      <w:tr w:rsidR="00E3253B" w:rsidRPr="00946E69" w14:paraId="5CCFFFA3" w14:textId="77777777" w:rsidTr="007132A9">
        <w:trPr>
          <w:tblHeader/>
        </w:trPr>
        <w:tc>
          <w:tcPr>
            <w:tcW w:w="1800" w:type="dxa"/>
            <w:tcBorders>
              <w:top w:val="nil"/>
              <w:left w:val="nil"/>
              <w:bottom w:val="nil"/>
              <w:right w:val="nil"/>
            </w:tcBorders>
          </w:tcPr>
          <w:p w14:paraId="5CCFFF8E" w14:textId="77777777" w:rsidR="00E3253B" w:rsidRPr="00946E69" w:rsidRDefault="00E3253B">
            <w:pPr>
              <w:rPr>
                <w:rFonts w:cs="Arial"/>
                <w:b/>
                <w:bCs/>
                <w:color w:val="0000FF"/>
                <w:szCs w:val="20"/>
              </w:rPr>
            </w:pPr>
            <w:r w:rsidRPr="00946E69">
              <w:rPr>
                <w:rFonts w:cs="Arial"/>
                <w:b/>
                <w:bCs/>
                <w:color w:val="0000FF"/>
                <w:szCs w:val="20"/>
              </w:rPr>
              <w:lastRenderedPageBreak/>
              <w:t>Specimen</w:t>
            </w:r>
          </w:p>
          <w:p w14:paraId="5CCFFF8F" w14:textId="77777777" w:rsidR="00E3253B" w:rsidRPr="00946E69" w:rsidRDefault="00E3253B">
            <w:pPr>
              <w:ind w:left="-108" w:right="-108"/>
              <w:jc w:val="right"/>
              <w:rPr>
                <w:rFonts w:cs="Arial"/>
                <w:b/>
                <w:bCs/>
                <w:color w:val="0000FF"/>
                <w:szCs w:val="20"/>
              </w:rPr>
            </w:pPr>
          </w:p>
          <w:p w14:paraId="5CCFFF90" w14:textId="77777777" w:rsidR="00E3253B" w:rsidRPr="00946E69" w:rsidRDefault="00E3253B">
            <w:pPr>
              <w:ind w:left="-108" w:right="-108"/>
              <w:jc w:val="right"/>
              <w:rPr>
                <w:rFonts w:cs="Arial"/>
                <w:b/>
                <w:bCs/>
                <w:color w:val="0000FF"/>
                <w:szCs w:val="20"/>
              </w:rPr>
            </w:pPr>
          </w:p>
          <w:p w14:paraId="5CCFFF91" w14:textId="77777777" w:rsidR="00E3253B" w:rsidRPr="00946E69" w:rsidRDefault="00E3253B">
            <w:pPr>
              <w:ind w:left="-108" w:right="-108"/>
              <w:jc w:val="right"/>
              <w:rPr>
                <w:rFonts w:cs="Arial"/>
                <w:b/>
                <w:bCs/>
                <w:color w:val="0000FF"/>
                <w:szCs w:val="20"/>
              </w:rPr>
            </w:pPr>
          </w:p>
          <w:p w14:paraId="5CCFFF92" w14:textId="77777777" w:rsidR="00E3253B" w:rsidRPr="00946E69"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29A82DAA" w:rsidR="00E93074" w:rsidRPr="00946E69" w:rsidRDefault="00E93074">
            <w:pPr>
              <w:rPr>
                <w:rStyle w:val="BoldBodyText"/>
                <w:rFonts w:ascii="Arial" w:hAnsi="Arial" w:cs="Arial"/>
                <w:b w:val="0"/>
                <w:bCs w:val="0"/>
                <w:sz w:val="20"/>
                <w:szCs w:val="20"/>
              </w:rPr>
            </w:pPr>
            <w:r w:rsidRPr="00946E69">
              <w:rPr>
                <w:rStyle w:val="BoldBodyText"/>
                <w:rFonts w:ascii="Arial" w:hAnsi="Arial" w:cs="Arial"/>
                <w:bCs w:val="0"/>
                <w:sz w:val="20"/>
                <w:szCs w:val="20"/>
              </w:rPr>
              <w:t>Sample:</w:t>
            </w:r>
            <w:r w:rsidRPr="00946E69">
              <w:rPr>
                <w:rStyle w:val="BoldBodyText"/>
                <w:rFonts w:ascii="Arial" w:hAnsi="Arial" w:cs="Arial"/>
                <w:b w:val="0"/>
                <w:bCs w:val="0"/>
                <w:sz w:val="20"/>
                <w:szCs w:val="20"/>
              </w:rPr>
              <w:t xml:space="preserve"> </w:t>
            </w:r>
            <w:r w:rsidR="009E231A" w:rsidRPr="00946E69">
              <w:rPr>
                <w:rStyle w:val="BoldBodyText"/>
                <w:rFonts w:ascii="Arial" w:hAnsi="Arial" w:cs="Arial"/>
                <w:b w:val="0"/>
                <w:bCs w:val="0"/>
                <w:sz w:val="20"/>
                <w:szCs w:val="20"/>
              </w:rPr>
              <w:t>Plasma or Serum (with or without gel barrier)</w:t>
            </w:r>
          </w:p>
          <w:p w14:paraId="34021B1C" w14:textId="33EC97FE" w:rsidR="00981A4A" w:rsidRPr="00946E69" w:rsidRDefault="0017089C">
            <w:pPr>
              <w:rPr>
                <w:rFonts w:cs="Arial"/>
                <w:szCs w:val="20"/>
              </w:rPr>
            </w:pPr>
            <w:r w:rsidRPr="00946E69">
              <w:rPr>
                <w:rFonts w:cs="Arial"/>
                <w:b/>
                <w:szCs w:val="20"/>
              </w:rPr>
              <w:t>Preferred:</w:t>
            </w:r>
            <w:r w:rsidR="008F7144" w:rsidRPr="00946E69">
              <w:rPr>
                <w:rFonts w:cs="Arial"/>
                <w:b/>
                <w:szCs w:val="20"/>
              </w:rPr>
              <w:t xml:space="preserve"> </w:t>
            </w:r>
            <w:r w:rsidR="009E231A" w:rsidRPr="00946E69">
              <w:rPr>
                <w:rFonts w:cs="Arial"/>
                <w:szCs w:val="20"/>
              </w:rPr>
              <w:t>Lithium Heparin</w:t>
            </w:r>
          </w:p>
          <w:p w14:paraId="60FE11B0" w14:textId="168FBED2" w:rsidR="0017089C" w:rsidRPr="00946E69" w:rsidRDefault="0017089C">
            <w:pPr>
              <w:rPr>
                <w:rFonts w:cs="Arial"/>
                <w:szCs w:val="20"/>
              </w:rPr>
            </w:pPr>
            <w:r w:rsidRPr="00946E69">
              <w:rPr>
                <w:rFonts w:cs="Arial"/>
                <w:b/>
                <w:szCs w:val="20"/>
              </w:rPr>
              <w:t>Alternative:</w:t>
            </w:r>
            <w:r w:rsidR="008F7144" w:rsidRPr="00946E69">
              <w:rPr>
                <w:rFonts w:cs="Arial"/>
                <w:b/>
                <w:szCs w:val="20"/>
              </w:rPr>
              <w:t xml:space="preserve"> </w:t>
            </w:r>
            <w:r w:rsidR="009E231A" w:rsidRPr="00946E69">
              <w:rPr>
                <w:rFonts w:cs="Arial"/>
                <w:szCs w:val="20"/>
              </w:rPr>
              <w:t>SST, Sodium Heparin, EDTA</w:t>
            </w:r>
          </w:p>
          <w:p w14:paraId="34F12611" w14:textId="77777777" w:rsidR="0017089C" w:rsidRPr="00946E69" w:rsidRDefault="0017089C">
            <w:pPr>
              <w:rPr>
                <w:rFonts w:cs="Arial"/>
                <w:szCs w:val="20"/>
              </w:rPr>
            </w:pPr>
          </w:p>
          <w:p w14:paraId="5CCFFF96" w14:textId="13A493BC" w:rsidR="00E93074" w:rsidRPr="00946E69" w:rsidRDefault="00EE145B" w:rsidP="009F5F31">
            <w:pPr>
              <w:pStyle w:val="Pa10"/>
              <w:rPr>
                <w:rFonts w:ascii="Arial" w:hAnsi="Arial" w:cs="Arial"/>
                <w:sz w:val="20"/>
                <w:szCs w:val="20"/>
              </w:rPr>
            </w:pPr>
            <w:r w:rsidRPr="00946E69">
              <w:rPr>
                <w:rFonts w:ascii="Arial" w:hAnsi="Arial" w:cs="Arial"/>
                <w:b/>
                <w:bCs/>
                <w:sz w:val="20"/>
                <w:szCs w:val="20"/>
              </w:rPr>
              <w:t xml:space="preserve">Minimum </w:t>
            </w:r>
            <w:r w:rsidR="001102B2" w:rsidRPr="00946E69">
              <w:rPr>
                <w:rFonts w:ascii="Arial" w:hAnsi="Arial" w:cs="Arial"/>
                <w:b/>
                <w:bCs/>
                <w:sz w:val="20"/>
                <w:szCs w:val="20"/>
              </w:rPr>
              <w:t xml:space="preserve">sample </w:t>
            </w:r>
            <w:r w:rsidRPr="00946E69">
              <w:rPr>
                <w:rFonts w:ascii="Arial" w:hAnsi="Arial" w:cs="Arial"/>
                <w:b/>
                <w:bCs/>
                <w:sz w:val="20"/>
                <w:szCs w:val="20"/>
              </w:rPr>
              <w:t>volume</w:t>
            </w:r>
            <w:r w:rsidR="009475C8" w:rsidRPr="00946E69">
              <w:rPr>
                <w:rFonts w:ascii="Arial" w:hAnsi="Arial" w:cs="Arial"/>
                <w:b/>
                <w:bCs/>
                <w:sz w:val="20"/>
                <w:szCs w:val="20"/>
              </w:rPr>
              <w:t xml:space="preserve">: </w:t>
            </w:r>
            <w:r w:rsidR="006D4A4E" w:rsidRPr="00946E69">
              <w:rPr>
                <w:rFonts w:ascii="Arial" w:hAnsi="Arial" w:cs="Arial"/>
                <w:bCs/>
                <w:sz w:val="20"/>
                <w:szCs w:val="20"/>
              </w:rPr>
              <w:t>0.75</w:t>
            </w:r>
            <w:r w:rsidR="00D01CFA" w:rsidRPr="00946E69">
              <w:rPr>
                <w:rFonts w:ascii="Arial" w:hAnsi="Arial" w:cs="Arial"/>
                <w:bCs/>
                <w:sz w:val="20"/>
                <w:szCs w:val="20"/>
              </w:rPr>
              <w:t xml:space="preserve"> </w:t>
            </w:r>
            <w:r w:rsidR="00AE2334" w:rsidRPr="00946E69">
              <w:rPr>
                <w:rFonts w:ascii="Arial" w:hAnsi="Arial" w:cs="Arial"/>
                <w:sz w:val="20"/>
                <w:szCs w:val="20"/>
              </w:rPr>
              <w:t xml:space="preserve">mL blood, </w:t>
            </w:r>
            <w:r w:rsidR="007D7A22" w:rsidRPr="00946E69">
              <w:rPr>
                <w:rFonts w:ascii="Arial" w:hAnsi="Arial" w:cs="Arial"/>
                <w:bCs/>
                <w:sz w:val="20"/>
                <w:szCs w:val="20"/>
              </w:rPr>
              <w:t>0.2</w:t>
            </w:r>
            <w:r w:rsidR="006D4A4E" w:rsidRPr="00946E69">
              <w:rPr>
                <w:rFonts w:ascii="Arial" w:hAnsi="Arial" w:cs="Arial"/>
                <w:bCs/>
                <w:sz w:val="20"/>
                <w:szCs w:val="20"/>
              </w:rPr>
              <w:t>5</w:t>
            </w:r>
            <w:r w:rsidR="00D01CFA" w:rsidRPr="00946E69">
              <w:rPr>
                <w:rFonts w:ascii="Arial" w:hAnsi="Arial" w:cs="Arial"/>
                <w:bCs/>
                <w:sz w:val="20"/>
                <w:szCs w:val="20"/>
              </w:rPr>
              <w:t xml:space="preserve"> </w:t>
            </w:r>
            <w:r w:rsidR="009475C8" w:rsidRPr="00946E69">
              <w:rPr>
                <w:rFonts w:ascii="Arial" w:hAnsi="Arial" w:cs="Arial"/>
                <w:sz w:val="20"/>
                <w:szCs w:val="20"/>
              </w:rPr>
              <w:t>mL</w:t>
            </w:r>
            <w:r w:rsidR="00AE2334" w:rsidRPr="00946E69">
              <w:rPr>
                <w:rFonts w:ascii="Arial" w:hAnsi="Arial" w:cs="Arial"/>
                <w:sz w:val="20"/>
                <w:szCs w:val="20"/>
              </w:rPr>
              <w:t xml:space="preserve"> serum/plasma</w:t>
            </w:r>
          </w:p>
          <w:p w14:paraId="7619D87C" w14:textId="77777777" w:rsidR="00685E87" w:rsidRPr="00946E69" w:rsidRDefault="00685E87" w:rsidP="00685E87"/>
          <w:p w14:paraId="5892FF29" w14:textId="77777777" w:rsidR="00685E87" w:rsidRPr="00946E69" w:rsidRDefault="00685E87" w:rsidP="00685E87">
            <w:pPr>
              <w:rPr>
                <w:b/>
              </w:rPr>
            </w:pPr>
            <w:r w:rsidRPr="00946E69">
              <w:rPr>
                <w:b/>
              </w:rPr>
              <w:t>Run the sample in the priority lane on Alinity ci RSM.</w:t>
            </w:r>
          </w:p>
          <w:p w14:paraId="479D6BB5" w14:textId="27CB2D8A" w:rsidR="00685E87" w:rsidRPr="00946E69" w:rsidRDefault="00685E87" w:rsidP="00685E87">
            <w:r w:rsidRPr="00946E69">
              <w:t>Priority loaded:</w:t>
            </w:r>
          </w:p>
          <w:p w14:paraId="7D39E09B" w14:textId="33C2AD51" w:rsidR="00685E87" w:rsidRPr="00946E69" w:rsidRDefault="00685E87" w:rsidP="00685E87">
            <w:r w:rsidRPr="00946E69">
              <w:t xml:space="preserve"> Sample volume for first test: 163 </w:t>
            </w:r>
            <w:proofErr w:type="spellStart"/>
            <w:r w:rsidRPr="00946E69">
              <w:t>μL</w:t>
            </w:r>
            <w:proofErr w:type="spellEnd"/>
          </w:p>
          <w:p w14:paraId="05FE1699" w14:textId="280375CE" w:rsidR="00685E87" w:rsidRPr="00946E69" w:rsidRDefault="00685E87" w:rsidP="00685E87">
            <w:r w:rsidRPr="00946E69">
              <w:t xml:space="preserve"> Sample volume for each additional test from same sample cup: 113 </w:t>
            </w:r>
            <w:proofErr w:type="spellStart"/>
            <w:r w:rsidRPr="00946E69">
              <w:t>μL</w:t>
            </w:r>
            <w:proofErr w:type="spellEnd"/>
          </w:p>
          <w:p w14:paraId="7FB59C22" w14:textId="3E7D8C6B" w:rsidR="00685E87" w:rsidRPr="00946E69" w:rsidRDefault="00685E87" w:rsidP="00685E87">
            <w:r w:rsidRPr="00946E69">
              <w:t>Routinely loaded:</w:t>
            </w:r>
          </w:p>
          <w:p w14:paraId="7533B929" w14:textId="73CAB628" w:rsidR="00685E87" w:rsidRPr="00946E69" w:rsidRDefault="00685E87" w:rsidP="00685E87">
            <w:r w:rsidRPr="00946E69">
              <w:t xml:space="preserve"> Sample volume for first test: 163 </w:t>
            </w:r>
            <w:proofErr w:type="spellStart"/>
            <w:r w:rsidRPr="00946E69">
              <w:t>μL</w:t>
            </w:r>
            <w:proofErr w:type="spellEnd"/>
          </w:p>
          <w:p w14:paraId="1A53BA50" w14:textId="4E4627D1" w:rsidR="00685E87" w:rsidRPr="00946E69" w:rsidRDefault="00685E87" w:rsidP="00685E87">
            <w:r w:rsidRPr="00946E69">
              <w:t xml:space="preserve"> Sample volume for each additional test from same sample cup: 113 </w:t>
            </w:r>
            <w:proofErr w:type="spellStart"/>
            <w:r w:rsidRPr="00946E69">
              <w:t>μL</w:t>
            </w:r>
            <w:proofErr w:type="spellEnd"/>
          </w:p>
          <w:p w14:paraId="2C44C27C" w14:textId="77777777" w:rsidR="008F7144" w:rsidRPr="00946E69" w:rsidRDefault="008F7144" w:rsidP="008F7144">
            <w:pPr>
              <w:rPr>
                <w:rFonts w:cs="Arial"/>
                <w:szCs w:val="20"/>
              </w:rPr>
            </w:pPr>
          </w:p>
          <w:p w14:paraId="3DC60522" w14:textId="77777777" w:rsidR="00BD0AE4" w:rsidRPr="00946E69" w:rsidRDefault="009A1A3D">
            <w:pPr>
              <w:pStyle w:val="Header"/>
              <w:tabs>
                <w:tab w:val="clear" w:pos="4320"/>
                <w:tab w:val="clear" w:pos="8640"/>
              </w:tabs>
              <w:rPr>
                <w:rFonts w:cs="Arial"/>
                <w:szCs w:val="20"/>
              </w:rPr>
            </w:pPr>
            <w:r w:rsidRPr="00946E69">
              <w:rPr>
                <w:rFonts w:cs="Arial"/>
                <w:b/>
                <w:bCs/>
                <w:szCs w:val="20"/>
              </w:rPr>
              <w:t>Stability when separated from cells/gel:</w:t>
            </w:r>
            <w:r w:rsidR="00504F3B" w:rsidRPr="00946E69">
              <w:rPr>
                <w:rFonts w:cs="Arial"/>
                <w:szCs w:val="20"/>
              </w:rPr>
              <w:t xml:space="preserve"> </w:t>
            </w:r>
          </w:p>
          <w:p w14:paraId="10B93C4E" w14:textId="4D9709FE" w:rsidR="0017089C" w:rsidRPr="00946E69" w:rsidRDefault="0017089C">
            <w:pPr>
              <w:pStyle w:val="Header"/>
              <w:tabs>
                <w:tab w:val="clear" w:pos="4320"/>
                <w:tab w:val="clear" w:pos="8640"/>
              </w:tabs>
              <w:rPr>
                <w:rFonts w:cs="Arial"/>
                <w:szCs w:val="20"/>
              </w:rPr>
            </w:pPr>
            <w:r w:rsidRPr="00946E69">
              <w:rPr>
                <w:rFonts w:cs="Arial"/>
                <w:b/>
                <w:szCs w:val="20"/>
              </w:rPr>
              <w:t>20 to 25°C</w:t>
            </w:r>
            <w:r w:rsidR="00D60BD8" w:rsidRPr="00946E69">
              <w:rPr>
                <w:rFonts w:cs="Arial"/>
                <w:b/>
                <w:szCs w:val="20"/>
              </w:rPr>
              <w:t xml:space="preserve">: </w:t>
            </w:r>
            <w:r w:rsidR="00342EC1" w:rsidRPr="00946E69">
              <w:rPr>
                <w:rFonts w:cs="Arial"/>
                <w:szCs w:val="20"/>
              </w:rPr>
              <w:t xml:space="preserve">not specified.  </w:t>
            </w:r>
            <w:r w:rsidR="00632622" w:rsidRPr="00946E69">
              <w:rPr>
                <w:rFonts w:cs="Arial"/>
                <w:szCs w:val="20"/>
              </w:rPr>
              <w:t>Place in refrigerated storage</w:t>
            </w:r>
            <w:r w:rsidR="00342EC1" w:rsidRPr="00946E69">
              <w:rPr>
                <w:rFonts w:cs="Arial"/>
                <w:szCs w:val="20"/>
              </w:rPr>
              <w:t xml:space="preserve"> </w:t>
            </w:r>
            <w:r w:rsidR="00632622" w:rsidRPr="00946E69">
              <w:rPr>
                <w:rFonts w:cs="Arial"/>
                <w:szCs w:val="20"/>
              </w:rPr>
              <w:t>within</w:t>
            </w:r>
            <w:r w:rsidR="00342EC1" w:rsidRPr="00946E69">
              <w:rPr>
                <w:rFonts w:cs="Arial"/>
                <w:szCs w:val="20"/>
              </w:rPr>
              <w:t xml:space="preserve"> 8 hours.</w:t>
            </w:r>
          </w:p>
          <w:p w14:paraId="5CCFFF99" w14:textId="003FE597" w:rsidR="00E3253B" w:rsidRPr="00946E69" w:rsidRDefault="00BD0AE4">
            <w:pPr>
              <w:pStyle w:val="Header"/>
              <w:tabs>
                <w:tab w:val="clear" w:pos="4320"/>
                <w:tab w:val="clear" w:pos="8640"/>
              </w:tabs>
              <w:rPr>
                <w:rFonts w:cs="Arial"/>
                <w:szCs w:val="20"/>
              </w:rPr>
            </w:pPr>
            <w:r w:rsidRPr="00946E69">
              <w:rPr>
                <w:rFonts w:cs="Arial"/>
                <w:b/>
                <w:szCs w:val="20"/>
              </w:rPr>
              <w:t>2 to 8°C</w:t>
            </w:r>
            <w:r w:rsidR="00D60BD8" w:rsidRPr="00946E69">
              <w:rPr>
                <w:rFonts w:cs="Arial"/>
                <w:b/>
                <w:szCs w:val="20"/>
              </w:rPr>
              <w:t xml:space="preserve">: </w:t>
            </w:r>
            <w:r w:rsidR="007D7A22" w:rsidRPr="00946E69">
              <w:rPr>
                <w:rFonts w:cs="Arial"/>
                <w:szCs w:val="20"/>
              </w:rPr>
              <w:t>7 days</w:t>
            </w:r>
          </w:p>
          <w:p w14:paraId="594E4A3A" w14:textId="0CD9BBC1" w:rsidR="00BD0AE4" w:rsidRPr="00946E69" w:rsidRDefault="00BD0AE4">
            <w:pPr>
              <w:pStyle w:val="Header"/>
              <w:tabs>
                <w:tab w:val="clear" w:pos="4320"/>
                <w:tab w:val="clear" w:pos="8640"/>
              </w:tabs>
              <w:rPr>
                <w:rFonts w:cs="Arial"/>
                <w:szCs w:val="20"/>
              </w:rPr>
            </w:pPr>
            <w:r w:rsidRPr="00946E69">
              <w:rPr>
                <w:rFonts w:cs="Arial"/>
                <w:b/>
                <w:szCs w:val="20"/>
              </w:rPr>
              <w:t>-20°C</w:t>
            </w:r>
            <w:r w:rsidR="00D60BD8" w:rsidRPr="00946E69">
              <w:rPr>
                <w:rFonts w:cs="Arial"/>
                <w:b/>
                <w:szCs w:val="20"/>
              </w:rPr>
              <w:t>:</w:t>
            </w:r>
            <w:r w:rsidR="00D60BD8" w:rsidRPr="00946E69">
              <w:rPr>
                <w:rFonts w:cs="Arial"/>
                <w:szCs w:val="20"/>
              </w:rPr>
              <w:tab/>
            </w:r>
            <w:r w:rsidR="007D7A22" w:rsidRPr="00946E69">
              <w:rPr>
                <w:rFonts w:cs="Arial"/>
                <w:szCs w:val="20"/>
              </w:rPr>
              <w:t>6 months</w:t>
            </w:r>
          </w:p>
          <w:p w14:paraId="00E10BBA" w14:textId="77777777" w:rsidR="00632622" w:rsidRPr="00946E69" w:rsidRDefault="00632622" w:rsidP="00632622">
            <w:pPr>
              <w:pStyle w:val="Header"/>
              <w:ind w:left="720"/>
              <w:rPr>
                <w:rFonts w:cs="Arial"/>
                <w:szCs w:val="20"/>
              </w:rPr>
            </w:pPr>
            <w:r w:rsidRPr="00946E69">
              <w:rPr>
                <w:rFonts w:cs="Arial"/>
                <w:b/>
                <w:szCs w:val="20"/>
              </w:rPr>
              <w:t>NOTE:</w:t>
            </w:r>
            <w:r w:rsidRPr="00946E69">
              <w:rPr>
                <w:rFonts w:cs="Arial"/>
                <w:szCs w:val="20"/>
              </w:rPr>
              <w:t xml:space="preserve"> If testing will be delayed more than 24 hours, remove serum or</w:t>
            </w:r>
          </w:p>
          <w:p w14:paraId="3667425F" w14:textId="548B8DA0" w:rsidR="00632622" w:rsidRPr="00946E69" w:rsidRDefault="00632622" w:rsidP="00632622">
            <w:pPr>
              <w:pStyle w:val="Header"/>
              <w:tabs>
                <w:tab w:val="clear" w:pos="4320"/>
                <w:tab w:val="clear" w:pos="8640"/>
              </w:tabs>
              <w:ind w:left="720"/>
              <w:rPr>
                <w:rFonts w:cs="Arial"/>
                <w:szCs w:val="20"/>
              </w:rPr>
            </w:pPr>
            <w:proofErr w:type="gramStart"/>
            <w:r w:rsidRPr="00946E69">
              <w:rPr>
                <w:rFonts w:cs="Arial"/>
                <w:szCs w:val="20"/>
              </w:rPr>
              <w:t>plasma</w:t>
            </w:r>
            <w:proofErr w:type="gramEnd"/>
            <w:r w:rsidRPr="00946E69">
              <w:rPr>
                <w:rFonts w:cs="Arial"/>
                <w:szCs w:val="20"/>
              </w:rPr>
              <w:t xml:space="preserve"> from the clot, red blood cells, or separator gel.</w:t>
            </w:r>
          </w:p>
          <w:p w14:paraId="1787D068" w14:textId="77777777" w:rsidR="00BD0AE4" w:rsidRPr="00946E69" w:rsidRDefault="00BD0AE4">
            <w:pPr>
              <w:pStyle w:val="Header"/>
              <w:tabs>
                <w:tab w:val="clear" w:pos="4320"/>
                <w:tab w:val="clear" w:pos="8640"/>
              </w:tabs>
              <w:rPr>
                <w:rFonts w:cs="Arial"/>
                <w:szCs w:val="20"/>
              </w:rPr>
            </w:pPr>
          </w:p>
          <w:p w14:paraId="5CCFFF9A" w14:textId="77777777" w:rsidR="00E3253B" w:rsidRPr="00946E69" w:rsidRDefault="00E3253B">
            <w:pPr>
              <w:rPr>
                <w:rFonts w:cs="Arial"/>
                <w:szCs w:val="20"/>
              </w:rPr>
            </w:pPr>
            <w:r w:rsidRPr="00946E69">
              <w:rPr>
                <w:rFonts w:cs="Arial"/>
                <w:b/>
                <w:bCs/>
                <w:szCs w:val="20"/>
              </w:rPr>
              <w:t>Rejection criteria:</w:t>
            </w:r>
            <w:r w:rsidRPr="00946E69">
              <w:rPr>
                <w:rFonts w:cs="Arial"/>
                <w:szCs w:val="20"/>
              </w:rPr>
              <w:t xml:space="preserve"> Unlabeled tube, </w:t>
            </w:r>
            <w:r w:rsidR="001102B2" w:rsidRPr="00946E69">
              <w:rPr>
                <w:rFonts w:cs="Arial"/>
                <w:szCs w:val="20"/>
              </w:rPr>
              <w:t xml:space="preserve">sample type other than serum or </w:t>
            </w:r>
            <w:r w:rsidR="00504F3B" w:rsidRPr="00946E69">
              <w:rPr>
                <w:rFonts w:cs="Arial"/>
                <w:szCs w:val="20"/>
              </w:rPr>
              <w:t>acceptable</w:t>
            </w:r>
            <w:r w:rsidR="009A1A3D" w:rsidRPr="00946E69">
              <w:rPr>
                <w:rFonts w:cs="Arial"/>
                <w:szCs w:val="20"/>
              </w:rPr>
              <w:t xml:space="preserve"> plasma</w:t>
            </w:r>
          </w:p>
          <w:p w14:paraId="5CCFFF9B" w14:textId="77777777" w:rsidR="00B11633" w:rsidRPr="00946E69" w:rsidRDefault="00B11633" w:rsidP="00B11633">
            <w:pPr>
              <w:autoSpaceDE w:val="0"/>
              <w:autoSpaceDN w:val="0"/>
              <w:adjustRightInd w:val="0"/>
              <w:rPr>
                <w:rFonts w:eastAsia="HelenPro-Regular" w:cs="Arial"/>
                <w:szCs w:val="20"/>
              </w:rPr>
            </w:pPr>
          </w:p>
          <w:p w14:paraId="5CCFFF9C" w14:textId="77777777" w:rsidR="00E93074" w:rsidRPr="00946E69" w:rsidRDefault="00E93074" w:rsidP="00E93074">
            <w:pPr>
              <w:jc w:val="both"/>
              <w:rPr>
                <w:rFonts w:cs="Arial"/>
                <w:szCs w:val="20"/>
              </w:rPr>
            </w:pPr>
            <w:r w:rsidRPr="00946E69">
              <w:rPr>
                <w:rFonts w:cs="Arial"/>
                <w:b/>
                <w:bCs/>
                <w:szCs w:val="20"/>
              </w:rPr>
              <w:t>Preparation:</w:t>
            </w:r>
            <w:r w:rsidRPr="00946E69">
              <w:rPr>
                <w:rFonts w:cs="Arial"/>
                <w:szCs w:val="20"/>
              </w:rPr>
              <w:t xml:space="preserve"> </w:t>
            </w:r>
          </w:p>
          <w:p w14:paraId="62F51798" w14:textId="77777777" w:rsidR="00342EC1" w:rsidRPr="00946E69" w:rsidRDefault="00342EC1" w:rsidP="00342EC1">
            <w:pPr>
              <w:numPr>
                <w:ilvl w:val="0"/>
                <w:numId w:val="26"/>
              </w:numPr>
              <w:jc w:val="both"/>
              <w:rPr>
                <w:rFonts w:cs="Arial"/>
                <w:szCs w:val="20"/>
              </w:rPr>
            </w:pPr>
            <w:r w:rsidRPr="00946E69">
              <w:rPr>
                <w:rFonts w:cs="Arial"/>
                <w:szCs w:val="20"/>
              </w:rPr>
              <w:t>Whole blood specimens should be centrifuged following complete clot formation, according to Specimen Processing procedures prior to analysis.</w:t>
            </w:r>
          </w:p>
          <w:p w14:paraId="6F970F76" w14:textId="77777777" w:rsidR="00342EC1" w:rsidRPr="00946E69" w:rsidRDefault="00342EC1" w:rsidP="00342EC1">
            <w:pPr>
              <w:numPr>
                <w:ilvl w:val="0"/>
                <w:numId w:val="26"/>
              </w:numPr>
              <w:jc w:val="both"/>
              <w:rPr>
                <w:rFonts w:cs="Arial"/>
                <w:szCs w:val="20"/>
              </w:rPr>
            </w:pPr>
            <w:r w:rsidRPr="00946E69">
              <w:rPr>
                <w:rFonts w:cs="Arial"/>
                <w:szCs w:val="20"/>
              </w:rPr>
              <w:t>Serum or plasma should be physically separated from cells as soon as possible with a maximum limit of two hours from the time of collection.</w:t>
            </w:r>
          </w:p>
          <w:p w14:paraId="11391BA1" w14:textId="77777777" w:rsidR="00342EC1" w:rsidRPr="00946E69" w:rsidRDefault="00342EC1" w:rsidP="00342EC1">
            <w:pPr>
              <w:numPr>
                <w:ilvl w:val="0"/>
                <w:numId w:val="26"/>
              </w:numPr>
              <w:jc w:val="both"/>
              <w:rPr>
                <w:rFonts w:cs="Arial"/>
                <w:szCs w:val="20"/>
              </w:rPr>
            </w:pPr>
            <w:r w:rsidRPr="00946E69">
              <w:rPr>
                <w:rFonts w:cs="Arial"/>
                <w:szCs w:val="20"/>
              </w:rPr>
              <w:t xml:space="preserve">Specimens should be free of particulate matter. </w:t>
            </w:r>
          </w:p>
          <w:p w14:paraId="56E5A968" w14:textId="77777777" w:rsidR="00342EC1" w:rsidRPr="00946E69" w:rsidRDefault="00342EC1" w:rsidP="00342EC1">
            <w:pPr>
              <w:numPr>
                <w:ilvl w:val="0"/>
                <w:numId w:val="26"/>
              </w:numPr>
              <w:jc w:val="both"/>
              <w:rPr>
                <w:rFonts w:cs="Arial"/>
                <w:szCs w:val="20"/>
              </w:rPr>
            </w:pPr>
            <w:r w:rsidRPr="00946E69">
              <w:rPr>
                <w:rFonts w:cs="Arial"/>
                <w:szCs w:val="20"/>
              </w:rPr>
              <w:t xml:space="preserve">Transfer serum or plasma directly to a properly labeled pilot tube.  </w:t>
            </w:r>
          </w:p>
          <w:p w14:paraId="43A0E448" w14:textId="77777777" w:rsidR="00342EC1" w:rsidRPr="00946E69" w:rsidRDefault="00342EC1" w:rsidP="00342EC1">
            <w:pPr>
              <w:numPr>
                <w:ilvl w:val="0"/>
                <w:numId w:val="26"/>
              </w:numPr>
              <w:jc w:val="both"/>
              <w:rPr>
                <w:rFonts w:cs="Arial"/>
                <w:szCs w:val="20"/>
              </w:rPr>
            </w:pPr>
            <w:r w:rsidRPr="00946E69">
              <w:rPr>
                <w:rFonts w:cs="Arial"/>
                <w:szCs w:val="20"/>
              </w:rPr>
              <w:t xml:space="preserve">Architect and Alinity systems utilize a specimen level detect mechanism, so special racks specific to tube-type are not required.  </w:t>
            </w:r>
          </w:p>
          <w:p w14:paraId="0E626E68" w14:textId="77777777" w:rsidR="00342EC1" w:rsidRPr="00946E69" w:rsidRDefault="00342EC1" w:rsidP="00342EC1">
            <w:pPr>
              <w:numPr>
                <w:ilvl w:val="0"/>
                <w:numId w:val="26"/>
              </w:numPr>
              <w:jc w:val="both"/>
              <w:rPr>
                <w:rFonts w:cs="Arial"/>
                <w:szCs w:val="20"/>
              </w:rPr>
            </w:pPr>
            <w:r w:rsidRPr="00946E69">
              <w:rPr>
                <w:rFonts w:cs="Arial"/>
                <w:szCs w:val="20"/>
              </w:rPr>
              <w:t>Minimum labeling includes sample accession ID, and/ or patient name, medical record number, collection date and time.</w:t>
            </w:r>
          </w:p>
          <w:p w14:paraId="5CCFFFA2" w14:textId="2FBFBD0C" w:rsidR="007D7A22" w:rsidRPr="00946E69" w:rsidRDefault="007D7A22" w:rsidP="007D7A22">
            <w:pPr>
              <w:pStyle w:val="ListParagraph"/>
              <w:autoSpaceDE w:val="0"/>
              <w:autoSpaceDN w:val="0"/>
              <w:adjustRightInd w:val="0"/>
              <w:rPr>
                <w:rFonts w:cs="Arial"/>
                <w:szCs w:val="20"/>
              </w:rPr>
            </w:pPr>
          </w:p>
        </w:tc>
      </w:tr>
      <w:tr w:rsidR="00D955F6" w:rsidRPr="00946E69" w14:paraId="5CCFFFB0" w14:textId="77777777" w:rsidTr="007132A9">
        <w:trPr>
          <w:tblHeader/>
        </w:trPr>
        <w:tc>
          <w:tcPr>
            <w:tcW w:w="1800" w:type="dxa"/>
            <w:tcBorders>
              <w:top w:val="nil"/>
              <w:left w:val="nil"/>
              <w:bottom w:val="nil"/>
              <w:right w:val="nil"/>
            </w:tcBorders>
          </w:tcPr>
          <w:p w14:paraId="5CCFFFA4" w14:textId="191F508D" w:rsidR="00D955F6" w:rsidRPr="00946E69" w:rsidRDefault="00D955F6">
            <w:pPr>
              <w:rPr>
                <w:rFonts w:cs="Arial"/>
                <w:b/>
                <w:bCs/>
                <w:color w:val="0000FF"/>
                <w:szCs w:val="20"/>
              </w:rPr>
            </w:pPr>
            <w:r w:rsidRPr="00946E69">
              <w:rPr>
                <w:rFonts w:cs="Arial"/>
                <w:b/>
                <w:bCs/>
                <w:color w:val="0000FF"/>
                <w:szCs w:val="20"/>
              </w:rPr>
              <w:lastRenderedPageBreak/>
              <w:t>Reagents</w:t>
            </w:r>
          </w:p>
          <w:p w14:paraId="5CCFFFA5" w14:textId="77777777" w:rsidR="00D955F6" w:rsidRPr="00946E69"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946E69" w:rsidRDefault="00233AA0" w:rsidP="00233AA0">
            <w:pPr>
              <w:autoSpaceDE w:val="0"/>
              <w:autoSpaceDN w:val="0"/>
              <w:adjustRightInd w:val="0"/>
              <w:rPr>
                <w:rFonts w:cs="Arial"/>
                <w:color w:val="000000"/>
                <w:szCs w:val="20"/>
              </w:rPr>
            </w:pPr>
            <w:r w:rsidRPr="00946E69">
              <w:rPr>
                <w:rFonts w:cs="Arial"/>
                <w:b/>
                <w:bCs/>
                <w:color w:val="000000"/>
                <w:szCs w:val="20"/>
              </w:rPr>
              <w:t xml:space="preserve">Reagent Handling </w:t>
            </w:r>
          </w:p>
          <w:p w14:paraId="7846D27E" w14:textId="77777777" w:rsidR="007D7A22" w:rsidRPr="00946E69" w:rsidRDefault="005125A4" w:rsidP="007D7A22">
            <w:pPr>
              <w:autoSpaceDE w:val="0"/>
              <w:autoSpaceDN w:val="0"/>
              <w:adjustRightInd w:val="0"/>
              <w:rPr>
                <w:rFonts w:cs="Arial"/>
                <w:bCs/>
                <w:szCs w:val="20"/>
              </w:rPr>
            </w:pPr>
            <w:r w:rsidRPr="00946E69">
              <w:rPr>
                <w:rFonts w:cs="Arial"/>
                <w:b/>
                <w:bCs/>
                <w:color w:val="7030A0"/>
                <w:szCs w:val="20"/>
              </w:rPr>
              <w:t>Alinity c</w:t>
            </w:r>
            <w:r w:rsidRPr="00946E69">
              <w:rPr>
                <w:rFonts w:cs="Arial"/>
                <w:b/>
                <w:bCs/>
                <w:color w:val="984806" w:themeColor="accent6" w:themeShade="80"/>
                <w:szCs w:val="20"/>
              </w:rPr>
              <w:t xml:space="preserve"> </w:t>
            </w:r>
          </w:p>
          <w:p w14:paraId="10593392" w14:textId="77777777" w:rsidR="007D7A22" w:rsidRPr="00946E69" w:rsidRDefault="007D7A22" w:rsidP="007D7A22">
            <w:pPr>
              <w:pStyle w:val="ListParagraph"/>
              <w:numPr>
                <w:ilvl w:val="0"/>
                <w:numId w:val="42"/>
              </w:numPr>
              <w:autoSpaceDE w:val="0"/>
              <w:autoSpaceDN w:val="0"/>
              <w:adjustRightInd w:val="0"/>
              <w:rPr>
                <w:rFonts w:cs="Arial"/>
                <w:bCs/>
                <w:szCs w:val="20"/>
              </w:rPr>
            </w:pPr>
            <w:r w:rsidRPr="00946E69">
              <w:rPr>
                <w:rFonts w:cs="Arial"/>
                <w:color w:val="000000"/>
                <w:szCs w:val="20"/>
              </w:rPr>
              <w:t xml:space="preserve">Upon receipt, gently invert the unopened reagent kit by rotating it over and back for a full 180 degrees, 5 times with green label stripe facing up and then 5 times with green label stripe facing down. This ensures that liquid covers all sides of the bottles within the cartridges. During reagent shipment, </w:t>
            </w:r>
            <w:proofErr w:type="spellStart"/>
            <w:r w:rsidRPr="00946E69">
              <w:rPr>
                <w:rFonts w:cs="Arial"/>
                <w:color w:val="000000"/>
                <w:szCs w:val="20"/>
              </w:rPr>
              <w:t>microparticles</w:t>
            </w:r>
            <w:proofErr w:type="spellEnd"/>
            <w:r w:rsidRPr="00946E69">
              <w:rPr>
                <w:rFonts w:cs="Arial"/>
                <w:color w:val="000000"/>
                <w:szCs w:val="20"/>
              </w:rPr>
              <w:t xml:space="preserve"> can settle on the reagent septum. </w:t>
            </w:r>
          </w:p>
          <w:p w14:paraId="12CE62AF" w14:textId="491C2734" w:rsidR="007D7A22" w:rsidRPr="00946E69" w:rsidRDefault="007D7A22" w:rsidP="007D7A22">
            <w:pPr>
              <w:pStyle w:val="ListParagraph"/>
              <w:numPr>
                <w:ilvl w:val="0"/>
                <w:numId w:val="42"/>
              </w:numPr>
              <w:autoSpaceDE w:val="0"/>
              <w:autoSpaceDN w:val="0"/>
              <w:adjustRightInd w:val="0"/>
              <w:rPr>
                <w:rFonts w:cs="Arial"/>
                <w:bCs/>
                <w:szCs w:val="20"/>
              </w:rPr>
            </w:pPr>
            <w:r w:rsidRPr="00946E69">
              <w:rPr>
                <w:rFonts w:cs="Arial"/>
                <w:color w:val="000000"/>
                <w:szCs w:val="20"/>
              </w:rPr>
              <w:t>Place a check in the square on the reagent kit to indicate to others that the inversions have been completed.</w:t>
            </w:r>
          </w:p>
          <w:p w14:paraId="0F699569" w14:textId="056F7AE8" w:rsidR="007D7A22" w:rsidRPr="00946E69" w:rsidRDefault="007D7A22" w:rsidP="007D7A22">
            <w:pPr>
              <w:pStyle w:val="ListParagraph"/>
              <w:numPr>
                <w:ilvl w:val="0"/>
                <w:numId w:val="42"/>
              </w:numPr>
              <w:autoSpaceDE w:val="0"/>
              <w:autoSpaceDN w:val="0"/>
              <w:adjustRightInd w:val="0"/>
              <w:rPr>
                <w:rFonts w:cs="Arial"/>
                <w:b/>
                <w:bCs/>
                <w:color w:val="000000"/>
                <w:szCs w:val="20"/>
              </w:rPr>
            </w:pPr>
            <w:r w:rsidRPr="00946E69">
              <w:rPr>
                <w:rFonts w:cs="Arial"/>
                <w:color w:val="000000"/>
                <w:szCs w:val="20"/>
              </w:rPr>
              <w:t>After mixing, place reagent cartridges in an upright position for 1 hour before use to allow bubbles that may have formed to dissipate.</w:t>
            </w:r>
          </w:p>
          <w:p w14:paraId="10937F86" w14:textId="35773F16" w:rsidR="007D7A22" w:rsidRPr="00946E69" w:rsidRDefault="007D7A22" w:rsidP="007D7A22">
            <w:pPr>
              <w:pStyle w:val="ListParagraph"/>
              <w:numPr>
                <w:ilvl w:val="0"/>
                <w:numId w:val="42"/>
              </w:numPr>
              <w:autoSpaceDE w:val="0"/>
              <w:autoSpaceDN w:val="0"/>
              <w:adjustRightInd w:val="0"/>
              <w:rPr>
                <w:rFonts w:cs="Arial"/>
                <w:color w:val="000000"/>
                <w:szCs w:val="20"/>
              </w:rPr>
            </w:pPr>
            <w:r w:rsidRPr="00946E69">
              <w:rPr>
                <w:rFonts w:cs="Arial"/>
                <w:b/>
                <w:bCs/>
                <w:color w:val="000000"/>
                <w:szCs w:val="20"/>
              </w:rPr>
              <w:t xml:space="preserve"> </w:t>
            </w:r>
            <w:r w:rsidRPr="00946E69">
              <w:rPr>
                <w:rFonts w:cs="Arial"/>
                <w:color w:val="000000"/>
                <w:szCs w:val="20"/>
              </w:rPr>
              <w:t>If a reagent cartridge is dropped, place in an upright position for 1 hour before use to allow bubbles that may have formed to dissipate.</w:t>
            </w:r>
          </w:p>
          <w:p w14:paraId="47D90F33" w14:textId="62BAFA7D" w:rsidR="00A062E1" w:rsidRPr="00946E69" w:rsidRDefault="007D7A22" w:rsidP="007D7A22">
            <w:pPr>
              <w:pStyle w:val="ListParagraph"/>
              <w:numPr>
                <w:ilvl w:val="0"/>
                <w:numId w:val="42"/>
              </w:numPr>
              <w:autoSpaceDE w:val="0"/>
              <w:autoSpaceDN w:val="0"/>
              <w:adjustRightInd w:val="0"/>
              <w:rPr>
                <w:rFonts w:cs="Arial"/>
                <w:color w:val="000000"/>
                <w:szCs w:val="20"/>
              </w:rPr>
            </w:pPr>
            <w:r w:rsidRPr="00946E69">
              <w:rPr>
                <w:rFonts w:cs="Arial"/>
                <w:b/>
                <w:bCs/>
                <w:color w:val="000000"/>
                <w:szCs w:val="20"/>
              </w:rPr>
              <w:t xml:space="preserve"> </w:t>
            </w:r>
            <w:r w:rsidRPr="00946E69">
              <w:rPr>
                <w:rFonts w:cs="Arial"/>
                <w:color w:val="000000"/>
                <w:szCs w:val="20"/>
              </w:rPr>
              <w:t>Reagents are susceptible to the formation of foam and bubbles. Bubbles may interfere with the detection of the reagent level in the cartridge and cause insufficient</w:t>
            </w:r>
          </w:p>
          <w:p w14:paraId="77238994" w14:textId="77777777" w:rsidR="00326F18" w:rsidRPr="00946E69" w:rsidRDefault="00326F18" w:rsidP="00326F18">
            <w:pPr>
              <w:pStyle w:val="ListParagraph"/>
              <w:autoSpaceDE w:val="0"/>
              <w:autoSpaceDN w:val="0"/>
              <w:adjustRightInd w:val="0"/>
              <w:rPr>
                <w:rFonts w:cs="Arial"/>
                <w:color w:val="000000"/>
                <w:szCs w:val="20"/>
              </w:rPr>
            </w:pPr>
          </w:p>
          <w:p w14:paraId="0AB5276C" w14:textId="7192DB06" w:rsidR="007D7A22" w:rsidRPr="00946E69" w:rsidRDefault="00E8154B" w:rsidP="007D7A22">
            <w:pPr>
              <w:autoSpaceDE w:val="0"/>
              <w:autoSpaceDN w:val="0"/>
              <w:adjustRightInd w:val="0"/>
              <w:rPr>
                <w:rFonts w:cs="Arial"/>
                <w:b/>
                <w:bCs/>
                <w:color w:val="984806" w:themeColor="accent6" w:themeShade="80"/>
                <w:szCs w:val="20"/>
              </w:rPr>
            </w:pPr>
            <w:r w:rsidRPr="00946E69">
              <w:rPr>
                <w:rFonts w:cs="Arial"/>
                <w:b/>
                <w:bCs/>
                <w:color w:val="984806" w:themeColor="accent6" w:themeShade="80"/>
                <w:szCs w:val="20"/>
              </w:rPr>
              <w:t>Architect</w:t>
            </w:r>
            <w:r w:rsidR="008F122D" w:rsidRPr="00946E69">
              <w:rPr>
                <w:rFonts w:cs="Arial"/>
                <w:b/>
                <w:bCs/>
                <w:color w:val="984806" w:themeColor="accent6" w:themeShade="80"/>
                <w:szCs w:val="20"/>
              </w:rPr>
              <w:t xml:space="preserve"> i1000</w:t>
            </w:r>
            <w:r w:rsidRPr="00946E69">
              <w:rPr>
                <w:rFonts w:cs="Arial"/>
                <w:b/>
                <w:bCs/>
                <w:color w:val="984806" w:themeColor="accent6" w:themeShade="80"/>
                <w:szCs w:val="20"/>
              </w:rPr>
              <w:t>:</w:t>
            </w:r>
          </w:p>
          <w:p w14:paraId="5FCEBF9B" w14:textId="77777777" w:rsidR="00535FCF" w:rsidRPr="00946E69" w:rsidRDefault="001E66AC" w:rsidP="001E66AC">
            <w:pPr>
              <w:autoSpaceDE w:val="0"/>
              <w:autoSpaceDN w:val="0"/>
              <w:adjustRightInd w:val="0"/>
              <w:rPr>
                <w:rFonts w:cs="Arial"/>
                <w:color w:val="000000"/>
                <w:szCs w:val="20"/>
              </w:rPr>
            </w:pPr>
            <w:r w:rsidRPr="00946E69">
              <w:rPr>
                <w:rFonts w:cs="Arial"/>
                <w:color w:val="000000"/>
                <w:szCs w:val="20"/>
              </w:rPr>
              <w:t xml:space="preserve">• Before loading the reagent kit on the system for the first time, the microparticle bottle requires mixing to </w:t>
            </w:r>
            <w:proofErr w:type="spellStart"/>
            <w:r w:rsidRPr="00946E69">
              <w:rPr>
                <w:rFonts w:cs="Arial"/>
                <w:color w:val="000000"/>
                <w:szCs w:val="20"/>
              </w:rPr>
              <w:t>resuspend</w:t>
            </w:r>
            <w:proofErr w:type="spellEnd"/>
            <w:r w:rsidRPr="00946E69">
              <w:rPr>
                <w:rFonts w:cs="Arial"/>
                <w:color w:val="000000"/>
                <w:szCs w:val="20"/>
              </w:rPr>
              <w:t xml:space="preserve"> </w:t>
            </w:r>
            <w:proofErr w:type="spellStart"/>
            <w:r w:rsidRPr="00946E69">
              <w:rPr>
                <w:rFonts w:cs="Arial"/>
                <w:color w:val="000000"/>
                <w:szCs w:val="20"/>
              </w:rPr>
              <w:t>microparticles</w:t>
            </w:r>
            <w:proofErr w:type="spellEnd"/>
            <w:r w:rsidRPr="00946E69">
              <w:rPr>
                <w:rFonts w:cs="Arial"/>
                <w:color w:val="000000"/>
                <w:szCs w:val="20"/>
              </w:rPr>
              <w:t xml:space="preserve"> that may have settled during shipment. </w:t>
            </w:r>
          </w:p>
          <w:p w14:paraId="03A140DB" w14:textId="19997EB8" w:rsidR="001E66AC" w:rsidRPr="00946E69" w:rsidRDefault="001E66AC" w:rsidP="00535FCF">
            <w:pPr>
              <w:autoSpaceDE w:val="0"/>
              <w:autoSpaceDN w:val="0"/>
              <w:adjustRightInd w:val="0"/>
              <w:ind w:left="720"/>
              <w:rPr>
                <w:rFonts w:cs="Arial"/>
                <w:color w:val="000000"/>
                <w:szCs w:val="20"/>
              </w:rPr>
            </w:pPr>
            <w:r w:rsidRPr="00946E69">
              <w:rPr>
                <w:rFonts w:cs="Arial"/>
                <w:color w:val="000000"/>
                <w:szCs w:val="20"/>
              </w:rPr>
              <w:t>For microparticle mixing:</w:t>
            </w:r>
          </w:p>
          <w:p w14:paraId="23899A40" w14:textId="77777777" w:rsidR="001E66AC" w:rsidRPr="00946E69" w:rsidRDefault="001E66AC" w:rsidP="001E66AC">
            <w:pPr>
              <w:autoSpaceDE w:val="0"/>
              <w:autoSpaceDN w:val="0"/>
              <w:adjustRightInd w:val="0"/>
              <w:ind w:left="720"/>
              <w:rPr>
                <w:rFonts w:cs="Arial"/>
                <w:color w:val="000000"/>
                <w:szCs w:val="20"/>
              </w:rPr>
            </w:pPr>
            <w:r w:rsidRPr="00946E69">
              <w:rPr>
                <w:rFonts w:cs="Arial"/>
                <w:color w:val="000000"/>
                <w:szCs w:val="20"/>
              </w:rPr>
              <w:t xml:space="preserve"> • Invert the microparticle bottle 30 times.</w:t>
            </w:r>
          </w:p>
          <w:p w14:paraId="7B474E37" w14:textId="5D71395C" w:rsidR="001E66AC" w:rsidRPr="00946E69" w:rsidRDefault="001E66AC" w:rsidP="001E66AC">
            <w:pPr>
              <w:autoSpaceDE w:val="0"/>
              <w:autoSpaceDN w:val="0"/>
              <w:adjustRightInd w:val="0"/>
              <w:ind w:left="720"/>
              <w:rPr>
                <w:rFonts w:cs="Arial"/>
                <w:color w:val="000000"/>
                <w:szCs w:val="20"/>
              </w:rPr>
            </w:pPr>
            <w:r w:rsidRPr="00946E69">
              <w:rPr>
                <w:rFonts w:cs="Arial"/>
                <w:color w:val="000000"/>
                <w:szCs w:val="20"/>
              </w:rPr>
              <w:t xml:space="preserve">• Visually inspect the bottle to ensure </w:t>
            </w:r>
            <w:proofErr w:type="spellStart"/>
            <w:r w:rsidRPr="00946E69">
              <w:rPr>
                <w:rFonts w:cs="Arial"/>
                <w:color w:val="000000"/>
                <w:szCs w:val="20"/>
              </w:rPr>
              <w:t>microparticles</w:t>
            </w:r>
            <w:proofErr w:type="spellEnd"/>
            <w:r w:rsidRPr="00946E69">
              <w:rPr>
                <w:rFonts w:cs="Arial"/>
                <w:color w:val="000000"/>
                <w:szCs w:val="20"/>
              </w:rPr>
              <w:t xml:space="preserve"> are </w:t>
            </w:r>
            <w:proofErr w:type="spellStart"/>
            <w:r w:rsidRPr="00946E69">
              <w:rPr>
                <w:rFonts w:cs="Arial"/>
                <w:color w:val="000000"/>
                <w:szCs w:val="20"/>
              </w:rPr>
              <w:t>resuspended</w:t>
            </w:r>
            <w:proofErr w:type="spellEnd"/>
            <w:r w:rsidRPr="00946E69">
              <w:rPr>
                <w:rFonts w:cs="Arial"/>
                <w:color w:val="000000"/>
                <w:szCs w:val="20"/>
              </w:rPr>
              <w:t xml:space="preserve">. If </w:t>
            </w:r>
            <w:proofErr w:type="spellStart"/>
            <w:r w:rsidRPr="00946E69">
              <w:rPr>
                <w:rFonts w:cs="Arial"/>
                <w:color w:val="000000"/>
                <w:szCs w:val="20"/>
              </w:rPr>
              <w:t>microparticles</w:t>
            </w:r>
            <w:proofErr w:type="spellEnd"/>
            <w:r w:rsidRPr="00946E69">
              <w:rPr>
                <w:rFonts w:cs="Arial"/>
                <w:color w:val="000000"/>
                <w:szCs w:val="20"/>
              </w:rPr>
              <w:t xml:space="preserve"> are still adhered to the bottle, continue to invert the bottle until the </w:t>
            </w:r>
            <w:proofErr w:type="spellStart"/>
            <w:r w:rsidRPr="00946E69">
              <w:rPr>
                <w:rFonts w:cs="Arial"/>
                <w:color w:val="000000"/>
                <w:szCs w:val="20"/>
              </w:rPr>
              <w:t>microparticles</w:t>
            </w:r>
            <w:proofErr w:type="spellEnd"/>
            <w:r w:rsidRPr="00946E69">
              <w:rPr>
                <w:rFonts w:cs="Arial"/>
                <w:color w:val="000000"/>
                <w:szCs w:val="20"/>
              </w:rPr>
              <w:t xml:space="preserve"> have been completely </w:t>
            </w:r>
            <w:proofErr w:type="spellStart"/>
            <w:r w:rsidRPr="00946E69">
              <w:rPr>
                <w:rFonts w:cs="Arial"/>
                <w:color w:val="000000"/>
                <w:szCs w:val="20"/>
              </w:rPr>
              <w:t>resuspended</w:t>
            </w:r>
            <w:proofErr w:type="spellEnd"/>
            <w:r w:rsidRPr="00946E69">
              <w:rPr>
                <w:rFonts w:cs="Arial"/>
                <w:color w:val="000000"/>
                <w:szCs w:val="20"/>
              </w:rPr>
              <w:t>.</w:t>
            </w:r>
          </w:p>
          <w:p w14:paraId="1EA17139" w14:textId="0696BC9E" w:rsidR="001E66AC" w:rsidRPr="00946E69" w:rsidRDefault="001E66AC" w:rsidP="001E66AC">
            <w:pPr>
              <w:autoSpaceDE w:val="0"/>
              <w:autoSpaceDN w:val="0"/>
              <w:adjustRightInd w:val="0"/>
              <w:ind w:left="720"/>
              <w:rPr>
                <w:rFonts w:cs="Arial"/>
                <w:color w:val="000000"/>
                <w:szCs w:val="20"/>
              </w:rPr>
            </w:pPr>
            <w:r w:rsidRPr="00946E69">
              <w:rPr>
                <w:rFonts w:cs="Arial"/>
                <w:color w:val="000000"/>
                <w:szCs w:val="20"/>
              </w:rPr>
              <w:t xml:space="preserve">• If the </w:t>
            </w:r>
            <w:proofErr w:type="spellStart"/>
            <w:r w:rsidRPr="00946E69">
              <w:rPr>
                <w:rFonts w:cs="Arial"/>
                <w:color w:val="000000"/>
                <w:szCs w:val="20"/>
              </w:rPr>
              <w:t>microparticl</w:t>
            </w:r>
            <w:r w:rsidR="00535FCF" w:rsidRPr="00946E69">
              <w:rPr>
                <w:rFonts w:cs="Arial"/>
                <w:color w:val="000000"/>
                <w:szCs w:val="20"/>
              </w:rPr>
              <w:t>es</w:t>
            </w:r>
            <w:proofErr w:type="spellEnd"/>
            <w:r w:rsidR="00535FCF" w:rsidRPr="00946E69">
              <w:rPr>
                <w:rFonts w:cs="Arial"/>
                <w:color w:val="000000"/>
                <w:szCs w:val="20"/>
              </w:rPr>
              <w:t xml:space="preserve"> do not </w:t>
            </w:r>
            <w:proofErr w:type="spellStart"/>
            <w:r w:rsidR="00535FCF" w:rsidRPr="00946E69">
              <w:rPr>
                <w:rFonts w:cs="Arial"/>
                <w:color w:val="000000"/>
                <w:szCs w:val="20"/>
              </w:rPr>
              <w:t>resuspend</w:t>
            </w:r>
            <w:proofErr w:type="spellEnd"/>
            <w:r w:rsidR="00535FCF" w:rsidRPr="00946E69">
              <w:rPr>
                <w:rFonts w:cs="Arial"/>
                <w:color w:val="000000"/>
                <w:szCs w:val="20"/>
              </w:rPr>
              <w:t>, DO NOT USE</w:t>
            </w:r>
            <w:r w:rsidRPr="00946E69">
              <w:rPr>
                <w:rFonts w:cs="Arial"/>
                <w:color w:val="000000"/>
                <w:szCs w:val="20"/>
              </w:rPr>
              <w:t xml:space="preserve"> </w:t>
            </w:r>
          </w:p>
          <w:p w14:paraId="5BEF500D" w14:textId="0B29B36E" w:rsidR="001E66AC" w:rsidRPr="00946E69" w:rsidRDefault="001E66AC" w:rsidP="001E66AC">
            <w:pPr>
              <w:autoSpaceDE w:val="0"/>
              <w:autoSpaceDN w:val="0"/>
              <w:adjustRightInd w:val="0"/>
              <w:rPr>
                <w:rFonts w:cs="Arial"/>
                <w:color w:val="000000"/>
                <w:szCs w:val="20"/>
              </w:rPr>
            </w:pPr>
            <w:r w:rsidRPr="00946E69">
              <w:rPr>
                <w:rFonts w:cs="Arial"/>
                <w:color w:val="000000"/>
                <w:szCs w:val="20"/>
              </w:rPr>
              <w:t xml:space="preserve">• </w:t>
            </w:r>
            <w:proofErr w:type="spellStart"/>
            <w:r w:rsidRPr="00946E69">
              <w:rPr>
                <w:rFonts w:cs="Arial"/>
                <w:color w:val="000000"/>
                <w:szCs w:val="20"/>
              </w:rPr>
              <w:t>Septums</w:t>
            </w:r>
            <w:proofErr w:type="spellEnd"/>
            <w:r w:rsidRPr="00946E69">
              <w:rPr>
                <w:rFonts w:cs="Arial"/>
                <w:color w:val="000000"/>
                <w:szCs w:val="20"/>
              </w:rPr>
              <w:t xml:space="preserve"> MUST be used to prevent reagent evaporation and contamination and to ensure reagent integrity. Reliability of assay results cannot be guaranteed if </w:t>
            </w:r>
            <w:proofErr w:type="spellStart"/>
            <w:r w:rsidRPr="00946E69">
              <w:rPr>
                <w:rFonts w:cs="Arial"/>
                <w:color w:val="000000"/>
                <w:szCs w:val="20"/>
              </w:rPr>
              <w:t>septums</w:t>
            </w:r>
            <w:proofErr w:type="spellEnd"/>
            <w:r w:rsidRPr="00946E69">
              <w:rPr>
                <w:rFonts w:cs="Arial"/>
                <w:color w:val="000000"/>
                <w:szCs w:val="20"/>
              </w:rPr>
              <w:t xml:space="preserve"> are not used according to the instructions in this package insert.</w:t>
            </w:r>
          </w:p>
          <w:p w14:paraId="323B69E5" w14:textId="461DBACC" w:rsidR="001E66AC" w:rsidRPr="00946E69" w:rsidRDefault="001E66AC" w:rsidP="001E66AC">
            <w:pPr>
              <w:autoSpaceDE w:val="0"/>
              <w:autoSpaceDN w:val="0"/>
              <w:adjustRightInd w:val="0"/>
              <w:rPr>
                <w:rFonts w:cs="Arial"/>
                <w:color w:val="000000"/>
                <w:szCs w:val="20"/>
              </w:rPr>
            </w:pPr>
            <w:r w:rsidRPr="00946E69">
              <w:rPr>
                <w:rFonts w:cs="Arial"/>
                <w:color w:val="000000"/>
                <w:szCs w:val="20"/>
              </w:rPr>
              <w:t>• To avoid contamination, wear clean gloves when placing a septum on an uncapped reagent bottle.</w:t>
            </w:r>
          </w:p>
          <w:p w14:paraId="47C91CA6" w14:textId="128E8027" w:rsidR="001E66AC" w:rsidRPr="00946E69" w:rsidRDefault="001E66AC" w:rsidP="001E66AC">
            <w:pPr>
              <w:autoSpaceDE w:val="0"/>
              <w:autoSpaceDN w:val="0"/>
              <w:adjustRightInd w:val="0"/>
              <w:rPr>
                <w:rFonts w:cs="Arial"/>
                <w:color w:val="000000"/>
                <w:szCs w:val="20"/>
              </w:rPr>
            </w:pPr>
            <w:r w:rsidRPr="00946E69">
              <w:rPr>
                <w:rFonts w:cs="Arial"/>
                <w:color w:val="000000"/>
                <w:szCs w:val="20"/>
              </w:rPr>
              <w:t>• Once a septum has been placed on an open reagent bottle, do not invert the bottle as this will result in reagent leakage and may compromise assay results.</w:t>
            </w:r>
          </w:p>
          <w:p w14:paraId="0F2F2A1A" w14:textId="0B4121CB" w:rsidR="00E8154B" w:rsidRPr="00946E69" w:rsidRDefault="001E66AC" w:rsidP="001E66AC">
            <w:pPr>
              <w:autoSpaceDE w:val="0"/>
              <w:autoSpaceDN w:val="0"/>
              <w:adjustRightInd w:val="0"/>
              <w:rPr>
                <w:rFonts w:cs="Arial"/>
                <w:color w:val="000000"/>
                <w:szCs w:val="20"/>
              </w:rPr>
            </w:pPr>
            <w:r w:rsidRPr="00946E69">
              <w:rPr>
                <w:rFonts w:cs="Arial"/>
                <w:color w:val="000000"/>
                <w:szCs w:val="20"/>
              </w:rPr>
              <w:t>• Over time, residual liquids may dry on the septum surface. These are typically dried salts and have no effect on assay efficacy.</w:t>
            </w:r>
          </w:p>
          <w:p w14:paraId="3796B003" w14:textId="31F6A5AF" w:rsidR="001E66AC" w:rsidRPr="00946E69" w:rsidRDefault="001E66AC" w:rsidP="001E66AC">
            <w:pPr>
              <w:autoSpaceDE w:val="0"/>
              <w:autoSpaceDN w:val="0"/>
              <w:adjustRightInd w:val="0"/>
              <w:rPr>
                <w:rFonts w:cs="Arial"/>
                <w:color w:val="000000"/>
                <w:szCs w:val="20"/>
              </w:rPr>
            </w:pPr>
            <w:r w:rsidRPr="00946E69">
              <w:rPr>
                <w:rFonts w:cs="Arial"/>
                <w:color w:val="000000"/>
                <w:szCs w:val="20"/>
              </w:rPr>
              <w:t xml:space="preserve">* Reagents may be stored on or off the ARCHITECT </w:t>
            </w:r>
            <w:proofErr w:type="spellStart"/>
            <w:r w:rsidRPr="00946E69">
              <w:rPr>
                <w:rFonts w:cs="Arial"/>
                <w:color w:val="000000"/>
                <w:szCs w:val="20"/>
              </w:rPr>
              <w:t>iSystem</w:t>
            </w:r>
            <w:proofErr w:type="spellEnd"/>
            <w:r w:rsidRPr="00946E69">
              <w:rPr>
                <w:rFonts w:cs="Arial"/>
                <w:color w:val="000000"/>
                <w:szCs w:val="20"/>
              </w:rPr>
              <w:t xml:space="preserve">. If reagents are removed from the system, store them at 2-8°C (with </w:t>
            </w:r>
            <w:proofErr w:type="spellStart"/>
            <w:r w:rsidRPr="00946E69">
              <w:rPr>
                <w:rFonts w:cs="Arial"/>
                <w:color w:val="000000"/>
                <w:szCs w:val="20"/>
              </w:rPr>
              <w:t>septums</w:t>
            </w:r>
            <w:proofErr w:type="spellEnd"/>
            <w:r w:rsidRPr="00946E69">
              <w:rPr>
                <w:rFonts w:cs="Arial"/>
                <w:color w:val="000000"/>
                <w:szCs w:val="20"/>
              </w:rPr>
              <w:t xml:space="preserve"> and replacement caps) in an upright position. For reagents stored off the system, it is recommended that they be stored in their original trays and boxes to ensure they remain upright. If the microparticle bottle does not remain upright (with a septum installed) while in refrigerated storage off the system, the reagent kit must be discarded. </w:t>
            </w:r>
          </w:p>
          <w:p w14:paraId="62B60338" w14:textId="77777777" w:rsidR="007D7A22" w:rsidRPr="00946E69" w:rsidRDefault="007D7A22" w:rsidP="007D7A22">
            <w:pPr>
              <w:autoSpaceDE w:val="0"/>
              <w:autoSpaceDN w:val="0"/>
              <w:adjustRightInd w:val="0"/>
              <w:rPr>
                <w:rFonts w:cs="Arial"/>
                <w:color w:val="000000"/>
                <w:szCs w:val="20"/>
              </w:rPr>
            </w:pPr>
          </w:p>
          <w:p w14:paraId="6D28E8F9" w14:textId="77777777" w:rsidR="00A062E1" w:rsidRPr="00946E69" w:rsidRDefault="00A062E1" w:rsidP="00A062E1">
            <w:pPr>
              <w:pStyle w:val="ListParagraph"/>
              <w:numPr>
                <w:ilvl w:val="0"/>
                <w:numId w:val="38"/>
              </w:numPr>
              <w:autoSpaceDE w:val="0"/>
              <w:autoSpaceDN w:val="0"/>
              <w:adjustRightInd w:val="0"/>
              <w:rPr>
                <w:rFonts w:eastAsia="HelenPro-Regular"/>
                <w:szCs w:val="20"/>
              </w:rPr>
            </w:pPr>
            <w:r w:rsidRPr="00946E69">
              <w:rPr>
                <w:rFonts w:eastAsia="HelenPro-Regular"/>
                <w:szCs w:val="20"/>
              </w:rPr>
              <w:t>Do not use reagents beyond the expiration date.</w:t>
            </w:r>
          </w:p>
          <w:p w14:paraId="557E834E" w14:textId="77777777" w:rsidR="00A062E1" w:rsidRPr="00946E69" w:rsidRDefault="00A062E1" w:rsidP="00A062E1">
            <w:pPr>
              <w:pStyle w:val="ListParagraph"/>
              <w:numPr>
                <w:ilvl w:val="0"/>
                <w:numId w:val="38"/>
              </w:numPr>
              <w:autoSpaceDE w:val="0"/>
              <w:autoSpaceDN w:val="0"/>
              <w:adjustRightInd w:val="0"/>
              <w:rPr>
                <w:rFonts w:eastAsia="HelenPro-Regular"/>
                <w:szCs w:val="20"/>
              </w:rPr>
            </w:pPr>
            <w:r w:rsidRPr="00946E69">
              <w:rPr>
                <w:rFonts w:eastAsia="HelenPro-Regular"/>
                <w:szCs w:val="20"/>
              </w:rPr>
              <w:t>Do not pool reagents within a kit or between kits.</w:t>
            </w:r>
          </w:p>
          <w:p w14:paraId="71802212" w14:textId="77777777" w:rsidR="00A062E1" w:rsidRPr="00946E69" w:rsidRDefault="00A062E1" w:rsidP="00A062E1">
            <w:pPr>
              <w:pStyle w:val="ListParagraph"/>
              <w:numPr>
                <w:ilvl w:val="0"/>
                <w:numId w:val="38"/>
              </w:numPr>
              <w:autoSpaceDE w:val="0"/>
              <w:autoSpaceDN w:val="0"/>
              <w:adjustRightInd w:val="0"/>
              <w:rPr>
                <w:rFonts w:eastAsia="HelenPro-Regular"/>
                <w:szCs w:val="20"/>
              </w:rPr>
            </w:pPr>
            <w:r w:rsidRPr="00946E69">
              <w:rPr>
                <w:rFonts w:eastAsia="HelenPro-Regular"/>
                <w:szCs w:val="20"/>
              </w:rPr>
              <w:t>Do not use components from one lot with components from another lot.</w:t>
            </w:r>
          </w:p>
          <w:p w14:paraId="5CCFFFAF" w14:textId="1C22C754" w:rsidR="007F5B07" w:rsidRPr="00946E69" w:rsidRDefault="007F5B07" w:rsidP="005125A4">
            <w:pPr>
              <w:autoSpaceDE w:val="0"/>
              <w:autoSpaceDN w:val="0"/>
              <w:adjustRightInd w:val="0"/>
              <w:rPr>
                <w:rFonts w:cs="Arial"/>
              </w:rPr>
            </w:pPr>
          </w:p>
        </w:tc>
      </w:tr>
      <w:tr w:rsidR="00D955F6" w:rsidRPr="00946E69" w14:paraId="5CCFFFC7" w14:textId="77777777" w:rsidTr="007132A9">
        <w:trPr>
          <w:trHeight w:val="4059"/>
          <w:tblHeader/>
        </w:trPr>
        <w:tc>
          <w:tcPr>
            <w:tcW w:w="1800" w:type="dxa"/>
            <w:tcBorders>
              <w:top w:val="nil"/>
              <w:left w:val="nil"/>
              <w:bottom w:val="nil"/>
              <w:right w:val="nil"/>
            </w:tcBorders>
          </w:tcPr>
          <w:p w14:paraId="5CCFFFB1" w14:textId="5C41B0E1" w:rsidR="00D955F6" w:rsidRPr="00946E69"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0E6C7360" w:rsidR="0081197E" w:rsidRPr="00946E69" w:rsidRDefault="008F122D" w:rsidP="0081197E">
            <w:pPr>
              <w:pStyle w:val="Reagents"/>
              <w:rPr>
                <w:rFonts w:ascii="Arial" w:hAnsi="Arial" w:cs="Arial"/>
                <w:b/>
                <w:bCs/>
              </w:rPr>
            </w:pPr>
            <w:r w:rsidRPr="00946E69">
              <w:rPr>
                <w:rFonts w:ascii="Arial" w:hAnsi="Arial" w:cs="Arial"/>
                <w:b/>
                <w:bCs/>
                <w:color w:val="7030A0"/>
              </w:rPr>
              <w:t>Both analyzers</w:t>
            </w:r>
            <w:r w:rsidR="0081197E" w:rsidRPr="00946E69">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946E69" w14:paraId="2733A6DB" w14:textId="77777777" w:rsidTr="00413A69">
              <w:tc>
                <w:tcPr>
                  <w:tcW w:w="2857" w:type="dxa"/>
                </w:tcPr>
                <w:p w14:paraId="316DA9F0" w14:textId="77777777" w:rsidR="0081197E" w:rsidRPr="00946E69" w:rsidRDefault="0081197E" w:rsidP="0081197E">
                  <w:pPr>
                    <w:pStyle w:val="Reagents"/>
                    <w:rPr>
                      <w:rFonts w:ascii="Arial" w:hAnsi="Arial" w:cs="Arial"/>
                      <w:b/>
                      <w:bCs/>
                    </w:rPr>
                  </w:pPr>
                  <w:r w:rsidRPr="00946E69">
                    <w:rPr>
                      <w:rFonts w:ascii="Arial" w:hAnsi="Arial" w:cs="Arial"/>
                      <w:b/>
                      <w:bCs/>
                      <w:i/>
                      <w:iCs/>
                    </w:rPr>
                    <w:t>Product Description</w:t>
                  </w:r>
                </w:p>
              </w:tc>
              <w:tc>
                <w:tcPr>
                  <w:tcW w:w="1710" w:type="dxa"/>
                </w:tcPr>
                <w:p w14:paraId="571D37C0" w14:textId="77777777" w:rsidR="0081197E" w:rsidRPr="00946E69" w:rsidRDefault="0081197E" w:rsidP="0081197E">
                  <w:pPr>
                    <w:pStyle w:val="Reagents"/>
                    <w:rPr>
                      <w:rFonts w:ascii="Arial" w:hAnsi="Arial" w:cs="Arial"/>
                      <w:b/>
                      <w:bCs/>
                    </w:rPr>
                  </w:pPr>
                  <w:r w:rsidRPr="00946E69">
                    <w:rPr>
                      <w:rFonts w:ascii="Arial" w:hAnsi="Arial" w:cs="Arial"/>
                      <w:b/>
                      <w:bCs/>
                      <w:i/>
                      <w:iCs/>
                    </w:rPr>
                    <w:t>Product Code</w:t>
                  </w:r>
                </w:p>
              </w:tc>
              <w:tc>
                <w:tcPr>
                  <w:tcW w:w="4533" w:type="dxa"/>
                </w:tcPr>
                <w:p w14:paraId="16F0993E" w14:textId="77777777" w:rsidR="0081197E" w:rsidRPr="00946E69" w:rsidRDefault="0081197E" w:rsidP="0081197E">
                  <w:pPr>
                    <w:pStyle w:val="Reagents"/>
                    <w:rPr>
                      <w:rFonts w:ascii="Arial" w:hAnsi="Arial" w:cs="Arial"/>
                      <w:b/>
                      <w:bCs/>
                    </w:rPr>
                  </w:pPr>
                  <w:r w:rsidRPr="00946E69">
                    <w:rPr>
                      <w:rFonts w:ascii="Arial" w:hAnsi="Arial" w:cs="Arial"/>
                      <w:b/>
                      <w:bCs/>
                      <w:i/>
                      <w:iCs/>
                    </w:rPr>
                    <w:t>Stability</w:t>
                  </w:r>
                </w:p>
              </w:tc>
            </w:tr>
            <w:tr w:rsidR="0081197E" w:rsidRPr="00946E69" w14:paraId="6CAC17D9" w14:textId="77777777" w:rsidTr="00413A69">
              <w:tc>
                <w:tcPr>
                  <w:tcW w:w="2857" w:type="dxa"/>
                  <w:vAlign w:val="center"/>
                </w:tcPr>
                <w:p w14:paraId="04BD94E7" w14:textId="1CAE2698" w:rsidR="0081197E" w:rsidRPr="00946E69" w:rsidRDefault="007D7A22" w:rsidP="00115DD6">
                  <w:pPr>
                    <w:autoSpaceDE w:val="0"/>
                    <w:autoSpaceDN w:val="0"/>
                    <w:adjustRightInd w:val="0"/>
                    <w:rPr>
                      <w:rFonts w:cs="Arial"/>
                      <w:szCs w:val="20"/>
                    </w:rPr>
                  </w:pPr>
                  <w:r w:rsidRPr="00946E69">
                    <w:rPr>
                      <w:rFonts w:cs="Arial"/>
                      <w:szCs w:val="20"/>
                    </w:rPr>
                    <w:t>Alinity i TSH Reagent Kit</w:t>
                  </w:r>
                </w:p>
              </w:tc>
              <w:tc>
                <w:tcPr>
                  <w:tcW w:w="1710" w:type="dxa"/>
                  <w:vAlign w:val="center"/>
                </w:tcPr>
                <w:p w14:paraId="78062055" w14:textId="3CE22BBE" w:rsidR="0081197E" w:rsidRPr="00946E69" w:rsidRDefault="001E66AC" w:rsidP="0081197E">
                  <w:pPr>
                    <w:pStyle w:val="BodyText"/>
                    <w:tabs>
                      <w:tab w:val="left" w:pos="3240"/>
                    </w:tabs>
                    <w:rPr>
                      <w:rFonts w:cs="Arial"/>
                      <w:szCs w:val="20"/>
                    </w:rPr>
                  </w:pPr>
                  <w:r w:rsidRPr="00946E69">
                    <w:rPr>
                      <w:rFonts w:cs="Arial"/>
                      <w:szCs w:val="20"/>
                    </w:rPr>
                    <w:t>07P4820</w:t>
                  </w:r>
                </w:p>
              </w:tc>
              <w:tc>
                <w:tcPr>
                  <w:tcW w:w="4533" w:type="dxa"/>
                  <w:vAlign w:val="center"/>
                </w:tcPr>
                <w:p w14:paraId="1E13427C" w14:textId="53ECFA53" w:rsidR="0081197E" w:rsidRPr="00946E69" w:rsidRDefault="0081197E" w:rsidP="0081197E">
                  <w:pPr>
                    <w:pStyle w:val="Reagents"/>
                    <w:spacing w:after="80"/>
                    <w:rPr>
                      <w:rFonts w:ascii="Arial" w:eastAsia="HelenPro-Regular" w:hAnsi="Arial"/>
                    </w:rPr>
                  </w:pPr>
                  <w:r w:rsidRPr="00946E69">
                    <w:rPr>
                      <w:rFonts w:ascii="Arial" w:hAnsi="Arial" w:cs="Arial"/>
                      <w:b/>
                      <w:bCs/>
                    </w:rPr>
                    <w:t>Store at:</w:t>
                  </w:r>
                  <w:r w:rsidRPr="00946E69">
                    <w:rPr>
                      <w:rFonts w:ascii="Arial" w:hAnsi="Arial" w:cs="Arial"/>
                      <w:bCs/>
                    </w:rPr>
                    <w:t xml:space="preserve"> </w:t>
                  </w:r>
                  <w:r w:rsidR="00FE292D" w:rsidRPr="00946E69">
                    <w:rPr>
                      <w:rFonts w:ascii="Arial" w:hAnsi="Arial" w:cs="Arial"/>
                      <w:bCs/>
                    </w:rPr>
                    <w:t>2 to 8°C</w:t>
                  </w:r>
                </w:p>
                <w:p w14:paraId="188F00FD" w14:textId="712042BC" w:rsidR="00115DD6" w:rsidRPr="00946E69" w:rsidRDefault="0081197E" w:rsidP="0081197E">
                  <w:pPr>
                    <w:pStyle w:val="Reagents"/>
                    <w:spacing w:after="80"/>
                    <w:rPr>
                      <w:rFonts w:ascii="Arial" w:hAnsi="Arial" w:cs="Arial"/>
                      <w:b/>
                      <w:bCs/>
                    </w:rPr>
                  </w:pPr>
                  <w:r w:rsidRPr="00946E69">
                    <w:rPr>
                      <w:rFonts w:ascii="Arial" w:hAnsi="Arial" w:cs="Arial"/>
                      <w:b/>
                      <w:bCs/>
                    </w:rPr>
                    <w:t xml:space="preserve">Unopened: </w:t>
                  </w:r>
                  <w:r w:rsidR="00115DD6" w:rsidRPr="00946E69">
                    <w:rPr>
                      <w:rFonts w:ascii="Arial" w:hAnsi="Arial" w:cs="Arial"/>
                      <w:bCs/>
                    </w:rPr>
                    <w:t xml:space="preserve">Until expiration </w:t>
                  </w:r>
                  <w:r w:rsidR="00FE292D" w:rsidRPr="00946E69">
                    <w:rPr>
                      <w:rFonts w:ascii="Arial" w:hAnsi="Arial" w:cs="Arial"/>
                      <w:bCs/>
                    </w:rPr>
                    <w:t>d</w:t>
                  </w:r>
                  <w:r w:rsidR="00115DD6" w:rsidRPr="00946E69">
                    <w:rPr>
                      <w:rFonts w:ascii="Arial" w:hAnsi="Arial" w:cs="Arial"/>
                      <w:bCs/>
                    </w:rPr>
                    <w:t>ate</w:t>
                  </w:r>
                </w:p>
                <w:p w14:paraId="2EC23D08" w14:textId="1637BD73" w:rsidR="0081197E" w:rsidRPr="00946E69" w:rsidRDefault="0081197E" w:rsidP="00115DD6">
                  <w:pPr>
                    <w:pStyle w:val="Reagents"/>
                    <w:spacing w:after="80"/>
                    <w:rPr>
                      <w:rFonts w:ascii="Arial" w:hAnsi="Arial" w:cs="Arial"/>
                      <w:bCs/>
                    </w:rPr>
                  </w:pPr>
                  <w:r w:rsidRPr="00946E69">
                    <w:rPr>
                      <w:rFonts w:ascii="Arial" w:hAnsi="Arial" w:cs="Arial"/>
                      <w:b/>
                      <w:bCs/>
                    </w:rPr>
                    <w:t>On-board</w:t>
                  </w:r>
                  <w:r w:rsidR="00EA2B3F" w:rsidRPr="00946E69">
                    <w:rPr>
                      <w:rFonts w:ascii="Arial" w:hAnsi="Arial" w:cs="Arial"/>
                      <w:bCs/>
                    </w:rPr>
                    <w:t xml:space="preserve">: </w:t>
                  </w:r>
                  <w:r w:rsidR="00FE292D" w:rsidRPr="00946E69">
                    <w:rPr>
                      <w:rFonts w:ascii="Arial" w:hAnsi="Arial" w:cs="Arial"/>
                      <w:bCs/>
                    </w:rPr>
                    <w:t>30 days</w:t>
                  </w:r>
                </w:p>
              </w:tc>
            </w:tr>
            <w:tr w:rsidR="0081197E" w:rsidRPr="00946E69" w14:paraId="2A1E45AA" w14:textId="77777777" w:rsidTr="00413A69">
              <w:tc>
                <w:tcPr>
                  <w:tcW w:w="2857" w:type="dxa"/>
                  <w:vAlign w:val="center"/>
                </w:tcPr>
                <w:p w14:paraId="417AB88A" w14:textId="392E456E" w:rsidR="0081197E" w:rsidRPr="00946E69" w:rsidRDefault="00342EC1" w:rsidP="0081197E">
                  <w:pPr>
                    <w:pStyle w:val="BodyText"/>
                    <w:spacing w:after="0"/>
                    <w:rPr>
                      <w:rFonts w:cs="Arial"/>
                      <w:szCs w:val="20"/>
                    </w:rPr>
                  </w:pPr>
                  <w:r w:rsidRPr="00946E69">
                    <w:rPr>
                      <w:rFonts w:cs="Arial"/>
                      <w:szCs w:val="20"/>
                    </w:rPr>
                    <w:t>Alinity i TSH Calibrator Kit</w:t>
                  </w:r>
                </w:p>
              </w:tc>
              <w:tc>
                <w:tcPr>
                  <w:tcW w:w="1710" w:type="dxa"/>
                  <w:vAlign w:val="center"/>
                </w:tcPr>
                <w:p w14:paraId="1C065F4D" w14:textId="2693A85B" w:rsidR="00CA67BE" w:rsidRPr="00946E69" w:rsidRDefault="00CA67BE" w:rsidP="0081197E">
                  <w:pPr>
                    <w:rPr>
                      <w:rFonts w:cs="Arial"/>
                      <w:szCs w:val="20"/>
                    </w:rPr>
                  </w:pPr>
                  <w:r w:rsidRPr="00946E69">
                    <w:rPr>
                      <w:rFonts w:eastAsia="HelenPro-Bold" w:cs="Arial"/>
                      <w:bCs/>
                      <w:szCs w:val="20"/>
                    </w:rPr>
                    <w:t>07P4801</w:t>
                  </w:r>
                </w:p>
              </w:tc>
              <w:tc>
                <w:tcPr>
                  <w:tcW w:w="4533" w:type="dxa"/>
                  <w:vAlign w:val="center"/>
                </w:tcPr>
                <w:p w14:paraId="3B82C64B" w14:textId="4579AE55" w:rsidR="0081197E" w:rsidRPr="00946E69" w:rsidRDefault="0081197E" w:rsidP="0081197E">
                  <w:pPr>
                    <w:pStyle w:val="Reagents"/>
                    <w:spacing w:after="80"/>
                    <w:rPr>
                      <w:rFonts w:ascii="Arial" w:hAnsi="Arial" w:cs="Arial"/>
                      <w:bCs/>
                    </w:rPr>
                  </w:pPr>
                  <w:r w:rsidRPr="00946E69">
                    <w:rPr>
                      <w:rFonts w:ascii="Arial" w:hAnsi="Arial" w:cs="Arial"/>
                      <w:b/>
                      <w:bCs/>
                    </w:rPr>
                    <w:t>Store at:</w:t>
                  </w:r>
                  <w:r w:rsidRPr="00946E69">
                    <w:rPr>
                      <w:rFonts w:ascii="Arial" w:hAnsi="Arial" w:cs="Arial"/>
                      <w:bCs/>
                    </w:rPr>
                    <w:t xml:space="preserve"> </w:t>
                  </w:r>
                  <w:r w:rsidR="007D7A22" w:rsidRPr="00946E69">
                    <w:rPr>
                      <w:rFonts w:ascii="Arial" w:hAnsi="Arial" w:cs="Arial"/>
                      <w:bCs/>
                    </w:rPr>
                    <w:t>2 to 8°C</w:t>
                  </w:r>
                </w:p>
                <w:p w14:paraId="22FE035D" w14:textId="5732FE83" w:rsidR="0081197E" w:rsidRPr="00946E69" w:rsidRDefault="0081197E" w:rsidP="0081197E">
                  <w:pPr>
                    <w:pStyle w:val="Reagents"/>
                    <w:spacing w:after="80"/>
                    <w:rPr>
                      <w:rFonts w:ascii="Arial" w:hAnsi="Arial" w:cs="Arial"/>
                      <w:b/>
                      <w:bCs/>
                    </w:rPr>
                  </w:pPr>
                  <w:r w:rsidRPr="00946E69">
                    <w:rPr>
                      <w:rFonts w:ascii="Arial" w:hAnsi="Arial" w:cs="Arial"/>
                      <w:b/>
                      <w:bCs/>
                    </w:rPr>
                    <w:t xml:space="preserve">Unopened: </w:t>
                  </w:r>
                  <w:r w:rsidR="007D7A22" w:rsidRPr="00946E69">
                    <w:rPr>
                      <w:rFonts w:ascii="Arial" w:hAnsi="Arial" w:cs="Arial"/>
                      <w:bCs/>
                    </w:rPr>
                    <w:t>Until expiration date</w:t>
                  </w:r>
                </w:p>
                <w:p w14:paraId="3BC70077" w14:textId="77777777" w:rsidR="00CA67BE" w:rsidRPr="00946E69" w:rsidRDefault="0081197E" w:rsidP="00CA67BE">
                  <w:pPr>
                    <w:pStyle w:val="Reagents"/>
                    <w:spacing w:after="80"/>
                    <w:rPr>
                      <w:rFonts w:ascii="Arial" w:hAnsi="Arial" w:cs="Arial"/>
                      <w:b/>
                      <w:bCs/>
                    </w:rPr>
                  </w:pPr>
                  <w:r w:rsidRPr="00946E69">
                    <w:rPr>
                      <w:rFonts w:ascii="Arial" w:hAnsi="Arial" w:cs="Arial"/>
                      <w:b/>
                      <w:bCs/>
                    </w:rPr>
                    <w:t>Opened expiration:</w:t>
                  </w:r>
                  <w:r w:rsidRPr="00946E69">
                    <w:rPr>
                      <w:rFonts w:cs="Arial"/>
                      <w:b/>
                      <w:bCs/>
                    </w:rPr>
                    <w:t xml:space="preserve"> </w:t>
                  </w:r>
                  <w:r w:rsidR="00CA67BE" w:rsidRPr="00946E69">
                    <w:rPr>
                      <w:rFonts w:ascii="Arial" w:hAnsi="Arial" w:cs="Arial"/>
                      <w:bCs/>
                    </w:rPr>
                    <w:t>Until expiration date</w:t>
                  </w:r>
                </w:p>
                <w:p w14:paraId="1823318C" w14:textId="53928C04" w:rsidR="00CA67BE" w:rsidRPr="00946E69" w:rsidRDefault="00CA67BE" w:rsidP="00CA67BE">
                  <w:pPr>
                    <w:pStyle w:val="BodyText"/>
                    <w:spacing w:after="80"/>
                    <w:rPr>
                      <w:rFonts w:cs="Arial"/>
                      <w:i/>
                      <w:sz w:val="16"/>
                      <w:szCs w:val="16"/>
                    </w:rPr>
                  </w:pPr>
                  <w:r w:rsidRPr="00946E69">
                    <w:rPr>
                      <w:rFonts w:cs="Arial"/>
                      <w:i/>
                      <w:sz w:val="16"/>
                      <w:szCs w:val="16"/>
                    </w:rPr>
                    <w:t>(Store tightly capped with new replacement cap.</w:t>
                  </w:r>
                </w:p>
                <w:p w14:paraId="05D3D1A4" w14:textId="3812640C" w:rsidR="0081197E" w:rsidRPr="00946E69" w:rsidRDefault="00CA67BE" w:rsidP="00CA67BE">
                  <w:pPr>
                    <w:pStyle w:val="BodyText"/>
                    <w:spacing w:after="80"/>
                    <w:rPr>
                      <w:rFonts w:cs="Arial"/>
                      <w:szCs w:val="20"/>
                    </w:rPr>
                  </w:pPr>
                  <w:r w:rsidRPr="00946E69">
                    <w:rPr>
                      <w:rFonts w:cs="Arial"/>
                      <w:i/>
                      <w:sz w:val="16"/>
                      <w:szCs w:val="16"/>
                    </w:rPr>
                    <w:t>Return to refrigerated storage after use.)</w:t>
                  </w:r>
                </w:p>
              </w:tc>
            </w:tr>
            <w:tr w:rsidR="00234774" w:rsidRPr="00946E69" w14:paraId="494EE744" w14:textId="77777777" w:rsidTr="00413A69">
              <w:tc>
                <w:tcPr>
                  <w:tcW w:w="2857" w:type="dxa"/>
                  <w:vAlign w:val="center"/>
                </w:tcPr>
                <w:p w14:paraId="7E34F0E1" w14:textId="203EA4B1" w:rsidR="00234774" w:rsidRPr="00946E69" w:rsidRDefault="00342EC1" w:rsidP="0081197E">
                  <w:pPr>
                    <w:pStyle w:val="BodyText"/>
                    <w:spacing w:after="0"/>
                    <w:rPr>
                      <w:rFonts w:cs="Arial"/>
                      <w:szCs w:val="20"/>
                    </w:rPr>
                  </w:pPr>
                  <w:r w:rsidRPr="00946E69">
                    <w:rPr>
                      <w:rFonts w:cs="Arial"/>
                      <w:szCs w:val="20"/>
                    </w:rPr>
                    <w:t>Architect TSH Reagent Kit</w:t>
                  </w:r>
                </w:p>
              </w:tc>
              <w:tc>
                <w:tcPr>
                  <w:tcW w:w="1710" w:type="dxa"/>
                  <w:vAlign w:val="center"/>
                </w:tcPr>
                <w:p w14:paraId="5009F08F" w14:textId="6E006564" w:rsidR="00234774" w:rsidRPr="00946E69" w:rsidRDefault="00342EC1" w:rsidP="0081197E">
                  <w:pPr>
                    <w:rPr>
                      <w:rFonts w:cs="Arial"/>
                      <w:szCs w:val="20"/>
                    </w:rPr>
                  </w:pPr>
                  <w:r w:rsidRPr="00946E69">
                    <w:rPr>
                      <w:rFonts w:cs="Arial"/>
                      <w:szCs w:val="20"/>
                    </w:rPr>
                    <w:t>7K62-25</w:t>
                  </w:r>
                </w:p>
              </w:tc>
              <w:tc>
                <w:tcPr>
                  <w:tcW w:w="4533" w:type="dxa"/>
                  <w:vAlign w:val="center"/>
                </w:tcPr>
                <w:p w14:paraId="036E75E3" w14:textId="7B11B051" w:rsidR="00DC7091" w:rsidRPr="00946E69" w:rsidRDefault="00DC7091" w:rsidP="00DC7091">
                  <w:pPr>
                    <w:pStyle w:val="Reagents"/>
                    <w:spacing w:after="80"/>
                    <w:rPr>
                      <w:rFonts w:ascii="Arial" w:hAnsi="Arial" w:cs="Arial"/>
                      <w:bCs/>
                    </w:rPr>
                  </w:pPr>
                  <w:r w:rsidRPr="00946E69">
                    <w:rPr>
                      <w:rFonts w:ascii="Arial" w:hAnsi="Arial" w:cs="Arial"/>
                      <w:b/>
                      <w:bCs/>
                    </w:rPr>
                    <w:t>Store at:</w:t>
                  </w:r>
                  <w:r w:rsidRPr="00946E69">
                    <w:rPr>
                      <w:rFonts w:ascii="Arial" w:hAnsi="Arial" w:cs="Arial"/>
                      <w:bCs/>
                    </w:rPr>
                    <w:t xml:space="preserve"> </w:t>
                  </w:r>
                  <w:r w:rsidR="001E5B15" w:rsidRPr="00946E69">
                    <w:rPr>
                      <w:rFonts w:ascii="Arial" w:hAnsi="Arial" w:cs="Arial"/>
                      <w:bCs/>
                    </w:rPr>
                    <w:t>2 to 8°C</w:t>
                  </w:r>
                </w:p>
                <w:p w14:paraId="3FAD40E2" w14:textId="690AC48D" w:rsidR="00DC7091" w:rsidRPr="00946E69" w:rsidRDefault="00DC7091" w:rsidP="00DC7091">
                  <w:pPr>
                    <w:pStyle w:val="Reagents"/>
                    <w:spacing w:after="80"/>
                    <w:rPr>
                      <w:rFonts w:ascii="Arial" w:hAnsi="Arial" w:cs="Arial"/>
                      <w:bCs/>
                    </w:rPr>
                  </w:pPr>
                  <w:r w:rsidRPr="00946E69">
                    <w:rPr>
                      <w:rFonts w:ascii="Arial" w:hAnsi="Arial" w:cs="Arial"/>
                      <w:b/>
                      <w:bCs/>
                    </w:rPr>
                    <w:t xml:space="preserve">Unopened: </w:t>
                  </w:r>
                  <w:r w:rsidR="001E5B15" w:rsidRPr="00946E69">
                    <w:rPr>
                      <w:rFonts w:ascii="Arial" w:hAnsi="Arial" w:cs="Arial"/>
                      <w:bCs/>
                    </w:rPr>
                    <w:t>Until expiration date</w:t>
                  </w:r>
                </w:p>
                <w:p w14:paraId="285E6B80" w14:textId="4963B928" w:rsidR="00234774" w:rsidRPr="00946E69" w:rsidRDefault="00DC7091" w:rsidP="00DC7091">
                  <w:pPr>
                    <w:pStyle w:val="Reagents"/>
                    <w:spacing w:after="80"/>
                    <w:rPr>
                      <w:rFonts w:ascii="Arial" w:hAnsi="Arial" w:cs="Arial"/>
                      <w:b/>
                      <w:bCs/>
                    </w:rPr>
                  </w:pPr>
                  <w:r w:rsidRPr="00946E69">
                    <w:rPr>
                      <w:rFonts w:ascii="Arial" w:hAnsi="Arial" w:cs="Arial"/>
                      <w:b/>
                      <w:bCs/>
                    </w:rPr>
                    <w:t>Opened expiration</w:t>
                  </w:r>
                  <w:r w:rsidR="001E5B15" w:rsidRPr="00946E69">
                    <w:rPr>
                      <w:rFonts w:ascii="Arial" w:hAnsi="Arial" w:cs="Arial"/>
                      <w:b/>
                      <w:bCs/>
                    </w:rPr>
                    <w:t xml:space="preserve">: </w:t>
                  </w:r>
                  <w:r w:rsidR="001E5B15" w:rsidRPr="00946E69">
                    <w:rPr>
                      <w:rFonts w:ascii="Arial" w:hAnsi="Arial" w:cs="Arial"/>
                      <w:bCs/>
                    </w:rPr>
                    <w:t>30 days onboard.  May be stored on or off the ARCHITECT system, which tracks time onboard.</w:t>
                  </w:r>
                </w:p>
              </w:tc>
            </w:tr>
            <w:tr w:rsidR="00342EC1" w:rsidRPr="00946E69" w14:paraId="17A675C9" w14:textId="77777777" w:rsidTr="00413A69">
              <w:tc>
                <w:tcPr>
                  <w:tcW w:w="2857" w:type="dxa"/>
                  <w:vAlign w:val="center"/>
                </w:tcPr>
                <w:p w14:paraId="536E2B35" w14:textId="68015571" w:rsidR="00342EC1" w:rsidRPr="00946E69" w:rsidRDefault="00342EC1" w:rsidP="0081197E">
                  <w:pPr>
                    <w:pStyle w:val="BodyText"/>
                    <w:spacing w:after="0"/>
                    <w:rPr>
                      <w:rFonts w:cs="Arial"/>
                      <w:szCs w:val="20"/>
                    </w:rPr>
                  </w:pPr>
                  <w:r w:rsidRPr="00946E69">
                    <w:rPr>
                      <w:rFonts w:cs="Arial"/>
                      <w:szCs w:val="20"/>
                    </w:rPr>
                    <w:t>Architect TSH Calibrator Kit</w:t>
                  </w:r>
                </w:p>
              </w:tc>
              <w:tc>
                <w:tcPr>
                  <w:tcW w:w="1710" w:type="dxa"/>
                  <w:vAlign w:val="center"/>
                </w:tcPr>
                <w:p w14:paraId="447C6CCA" w14:textId="0FE914BF" w:rsidR="00342EC1" w:rsidRPr="00946E69" w:rsidRDefault="001E66AC" w:rsidP="0081197E">
                  <w:pPr>
                    <w:rPr>
                      <w:rFonts w:cs="Arial"/>
                      <w:szCs w:val="20"/>
                    </w:rPr>
                  </w:pPr>
                  <w:r w:rsidRPr="00946E69">
                    <w:rPr>
                      <w:rFonts w:cs="Arial"/>
                      <w:szCs w:val="20"/>
                    </w:rPr>
                    <w:t>7K62-01</w:t>
                  </w:r>
                </w:p>
              </w:tc>
              <w:tc>
                <w:tcPr>
                  <w:tcW w:w="4533" w:type="dxa"/>
                  <w:vAlign w:val="center"/>
                </w:tcPr>
                <w:p w14:paraId="1D792232" w14:textId="77777777" w:rsidR="001E5B15" w:rsidRPr="00946E69" w:rsidRDefault="001E5B15" w:rsidP="001E5B15">
                  <w:pPr>
                    <w:pStyle w:val="Reagents"/>
                    <w:spacing w:after="80"/>
                    <w:rPr>
                      <w:rFonts w:ascii="Arial" w:hAnsi="Arial" w:cs="Arial"/>
                      <w:b/>
                      <w:bCs/>
                    </w:rPr>
                  </w:pPr>
                  <w:r w:rsidRPr="00946E69">
                    <w:rPr>
                      <w:rFonts w:ascii="Arial" w:hAnsi="Arial" w:cs="Arial"/>
                      <w:b/>
                      <w:bCs/>
                    </w:rPr>
                    <w:t xml:space="preserve">Store at: </w:t>
                  </w:r>
                  <w:r w:rsidRPr="00946E69">
                    <w:rPr>
                      <w:rFonts w:ascii="Arial" w:hAnsi="Arial" w:cs="Arial"/>
                      <w:bCs/>
                    </w:rPr>
                    <w:t>2 to 8°C</w:t>
                  </w:r>
                </w:p>
                <w:p w14:paraId="746667BB" w14:textId="64F63635" w:rsidR="00342EC1" w:rsidRPr="00946E69" w:rsidRDefault="001E5B15" w:rsidP="001E5B15">
                  <w:pPr>
                    <w:pStyle w:val="Reagents"/>
                    <w:spacing w:after="80"/>
                    <w:rPr>
                      <w:rFonts w:ascii="Arial" w:hAnsi="Arial" w:cs="Arial"/>
                      <w:b/>
                      <w:bCs/>
                    </w:rPr>
                  </w:pPr>
                  <w:r w:rsidRPr="00946E69">
                    <w:rPr>
                      <w:rFonts w:ascii="Arial" w:hAnsi="Arial" w:cs="Arial"/>
                      <w:b/>
                      <w:bCs/>
                    </w:rPr>
                    <w:t xml:space="preserve">Unopened/Opened: </w:t>
                  </w:r>
                  <w:r w:rsidRPr="00946E69">
                    <w:rPr>
                      <w:rFonts w:ascii="Arial" w:hAnsi="Arial" w:cs="Arial"/>
                      <w:bCs/>
                    </w:rPr>
                    <w:t>Until expiration date</w:t>
                  </w:r>
                </w:p>
              </w:tc>
            </w:tr>
          </w:tbl>
          <w:p w14:paraId="5CCFFFC6" w14:textId="77777777" w:rsidR="00D955F6" w:rsidRPr="00946E69" w:rsidRDefault="00D955F6" w:rsidP="00234774">
            <w:pPr>
              <w:pStyle w:val="Reagents"/>
              <w:rPr>
                <w:rFonts w:ascii="Arial" w:hAnsi="Arial" w:cs="Arial"/>
                <w:b/>
                <w:bCs/>
                <w:color w:val="365F91"/>
              </w:rPr>
            </w:pPr>
          </w:p>
        </w:tc>
      </w:tr>
      <w:tr w:rsidR="00E3253B" w:rsidRPr="00946E69" w14:paraId="5CCFFFD1" w14:textId="77777777" w:rsidTr="007132A9">
        <w:trPr>
          <w:trHeight w:val="1548"/>
          <w:tblHeader/>
        </w:trPr>
        <w:tc>
          <w:tcPr>
            <w:tcW w:w="1800" w:type="dxa"/>
            <w:tcBorders>
              <w:top w:val="nil"/>
              <w:left w:val="nil"/>
              <w:bottom w:val="nil"/>
              <w:right w:val="nil"/>
            </w:tcBorders>
          </w:tcPr>
          <w:p w14:paraId="5CCFFFC8" w14:textId="77777777" w:rsidR="00E3253B" w:rsidRPr="00946E69" w:rsidRDefault="00E3253B">
            <w:pPr>
              <w:rPr>
                <w:rFonts w:cs="Arial"/>
                <w:b/>
                <w:bCs/>
                <w:color w:val="0000FF"/>
                <w:szCs w:val="20"/>
              </w:rPr>
            </w:pPr>
            <w:r w:rsidRPr="00946E69">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1D6EAD2B" w14:textId="719A4EE1" w:rsidR="009475C8" w:rsidRPr="00946E69" w:rsidRDefault="00CA67BE" w:rsidP="00CA67BE">
            <w:pPr>
              <w:rPr>
                <w:szCs w:val="20"/>
              </w:rPr>
            </w:pPr>
            <w:r w:rsidRPr="00946E69">
              <w:rPr>
                <w:b/>
                <w:bCs/>
                <w:szCs w:val="20"/>
              </w:rPr>
              <w:t xml:space="preserve">CAUTION: </w:t>
            </w:r>
            <w:r w:rsidRPr="00946E69">
              <w:rPr>
                <w:szCs w:val="20"/>
              </w:rPr>
              <w:t xml:space="preserve">This product requires the handling of human specimens. It is recommended that all human-sourced materials be considered potentially infectious and handled in accordance with the OSHA Standard on </w:t>
            </w:r>
            <w:proofErr w:type="spellStart"/>
            <w:r w:rsidRPr="00946E69">
              <w:rPr>
                <w:szCs w:val="20"/>
              </w:rPr>
              <w:t>Bloodborne</w:t>
            </w:r>
            <w:proofErr w:type="spellEnd"/>
            <w:r w:rsidRPr="00946E69">
              <w:rPr>
                <w:szCs w:val="20"/>
              </w:rPr>
              <w:t xml:space="preserve"> Pathogens. Biosafety Level 2 or other appropriate biosafety practices should be used for materials that contain or are suspected of containing infectious agents</w:t>
            </w:r>
          </w:p>
          <w:p w14:paraId="47D0FC8F" w14:textId="77777777" w:rsidR="00CA67BE" w:rsidRPr="00946E69" w:rsidRDefault="00CA67BE" w:rsidP="00CA67BE">
            <w:pPr>
              <w:rPr>
                <w:szCs w:val="20"/>
              </w:rPr>
            </w:pPr>
          </w:p>
          <w:p w14:paraId="3775C64D" w14:textId="666C299A" w:rsidR="00CA67BE" w:rsidRPr="00946E69" w:rsidRDefault="00CA67BE" w:rsidP="00CA67BE">
            <w:pPr>
              <w:rPr>
                <w:i/>
                <w:szCs w:val="20"/>
              </w:rPr>
            </w:pPr>
            <w:r w:rsidRPr="00946E69">
              <w:rPr>
                <w:b/>
                <w:szCs w:val="20"/>
              </w:rPr>
              <w:t xml:space="preserve">The following warnings and precautions apply to: </w:t>
            </w:r>
            <w:r w:rsidRPr="00946E69">
              <w:rPr>
                <w:i/>
                <w:szCs w:val="20"/>
              </w:rPr>
              <w:t>assay diluent</w:t>
            </w:r>
          </w:p>
          <w:p w14:paraId="28E9546D" w14:textId="77777777" w:rsidR="00CA67BE" w:rsidRPr="00946E69" w:rsidRDefault="00CA67BE" w:rsidP="00CA67BE">
            <w:pPr>
              <w:rPr>
                <w:b/>
                <w:bCs/>
                <w:szCs w:val="20"/>
              </w:rPr>
            </w:pPr>
          </w:p>
          <w:p w14:paraId="2F3DCA62" w14:textId="1A589B16" w:rsidR="00CA67BE" w:rsidRPr="00946E69" w:rsidRDefault="00CA67BE" w:rsidP="00CA67BE">
            <w:pPr>
              <w:rPr>
                <w:szCs w:val="20"/>
              </w:rPr>
            </w:pPr>
            <w:r w:rsidRPr="00946E69">
              <w:rPr>
                <w:b/>
                <w:bCs/>
                <w:szCs w:val="20"/>
              </w:rPr>
              <w:t xml:space="preserve"> </w:t>
            </w:r>
            <w:r w:rsidRPr="00946E69">
              <w:rPr>
                <w:noProof/>
              </w:rPr>
              <w:drawing>
                <wp:anchor distT="0" distB="0" distL="114300" distR="114300" simplePos="0" relativeHeight="251658240" behindDoc="1" locked="0" layoutInCell="1" allowOverlap="1" wp14:anchorId="7A8458C8" wp14:editId="4E4785EB">
                  <wp:simplePos x="0" y="0"/>
                  <wp:positionH relativeFrom="column">
                    <wp:posOffset>-3810</wp:posOffset>
                  </wp:positionH>
                  <wp:positionV relativeFrom="paragraph">
                    <wp:posOffset>635</wp:posOffset>
                  </wp:positionV>
                  <wp:extent cx="485714" cy="466667"/>
                  <wp:effectExtent l="0" t="0" r="0" b="0"/>
                  <wp:wrapTight wrapText="bothSides">
                    <wp:wrapPolygon edited="0">
                      <wp:start x="0" y="0"/>
                      <wp:lineTo x="0" y="20305"/>
                      <wp:lineTo x="20356" y="20305"/>
                      <wp:lineTo x="20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5714" cy="466667"/>
                          </a:xfrm>
                          <a:prstGeom prst="rect">
                            <a:avLst/>
                          </a:prstGeom>
                        </pic:spPr>
                      </pic:pic>
                    </a:graphicData>
                  </a:graphic>
                </wp:anchor>
              </w:drawing>
            </w:r>
            <w:r w:rsidRPr="00946E69">
              <w:rPr>
                <w:b/>
                <w:bCs/>
                <w:szCs w:val="20"/>
              </w:rPr>
              <w:t xml:space="preserve">WARNING </w:t>
            </w:r>
            <w:r w:rsidRPr="00946E69">
              <w:rPr>
                <w:szCs w:val="20"/>
              </w:rPr>
              <w:t xml:space="preserve">Contains TRIS </w:t>
            </w:r>
            <w:proofErr w:type="spellStart"/>
            <w:r w:rsidRPr="00946E69">
              <w:rPr>
                <w:szCs w:val="20"/>
              </w:rPr>
              <w:t>hydroxymethyl</w:t>
            </w:r>
            <w:proofErr w:type="spellEnd"/>
            <w:r w:rsidRPr="00946E69">
              <w:rPr>
                <w:szCs w:val="20"/>
              </w:rPr>
              <w:t xml:space="preserve"> </w:t>
            </w:r>
            <w:proofErr w:type="spellStart"/>
            <w:r w:rsidRPr="00946E69">
              <w:rPr>
                <w:szCs w:val="20"/>
              </w:rPr>
              <w:t>aminomethane</w:t>
            </w:r>
            <w:proofErr w:type="spellEnd"/>
            <w:r w:rsidRPr="00946E69">
              <w:rPr>
                <w:szCs w:val="20"/>
              </w:rPr>
              <w:t xml:space="preserve"> and </w:t>
            </w:r>
            <w:proofErr w:type="spellStart"/>
            <w:r w:rsidRPr="00946E69">
              <w:rPr>
                <w:szCs w:val="20"/>
              </w:rPr>
              <w:t>tromethamine</w:t>
            </w:r>
            <w:proofErr w:type="spellEnd"/>
            <w:r w:rsidRPr="00946E69">
              <w:rPr>
                <w:szCs w:val="20"/>
              </w:rPr>
              <w:t xml:space="preserve"> hydrochloride.</w:t>
            </w:r>
          </w:p>
          <w:p w14:paraId="7089DE8D" w14:textId="54426B64" w:rsidR="00CA67BE" w:rsidRPr="00946E69" w:rsidRDefault="00CA67BE" w:rsidP="00CA67BE">
            <w:pPr>
              <w:rPr>
                <w:szCs w:val="20"/>
              </w:rPr>
            </w:pPr>
            <w:r w:rsidRPr="00946E69">
              <w:rPr>
                <w:szCs w:val="20"/>
              </w:rPr>
              <w:t xml:space="preserve">     Causes serious eye irritation.</w:t>
            </w:r>
          </w:p>
          <w:p w14:paraId="742BB5F7" w14:textId="1B866AE4" w:rsidR="00CA67BE" w:rsidRPr="00946E69" w:rsidRDefault="00CA67BE" w:rsidP="00CA67BE">
            <w:pPr>
              <w:rPr>
                <w:szCs w:val="20"/>
              </w:rPr>
            </w:pPr>
            <w:r w:rsidRPr="00946E69">
              <w:rPr>
                <w:szCs w:val="20"/>
              </w:rPr>
              <w:t xml:space="preserve">     Causes skin irritation.</w:t>
            </w:r>
          </w:p>
          <w:p w14:paraId="12473286" w14:textId="0EBF7237" w:rsidR="00CA67BE" w:rsidRPr="00946E69" w:rsidRDefault="00CA67BE" w:rsidP="00CA67BE">
            <w:pPr>
              <w:rPr>
                <w:szCs w:val="20"/>
              </w:rPr>
            </w:pPr>
            <w:r w:rsidRPr="00946E69">
              <w:rPr>
                <w:szCs w:val="20"/>
              </w:rPr>
              <w:t xml:space="preserve">     May cause respiratory irritation.</w:t>
            </w:r>
          </w:p>
          <w:p w14:paraId="618D6319" w14:textId="77777777" w:rsidR="00CA67BE" w:rsidRPr="00946E69" w:rsidRDefault="00CA67BE" w:rsidP="00CA67BE">
            <w:pPr>
              <w:rPr>
                <w:szCs w:val="20"/>
              </w:rPr>
            </w:pPr>
          </w:p>
          <w:p w14:paraId="409B34E6" w14:textId="0DF1AC4F" w:rsidR="00CA67BE" w:rsidRPr="00946E69" w:rsidRDefault="00CA67BE" w:rsidP="00CA67BE">
            <w:pPr>
              <w:rPr>
                <w:szCs w:val="20"/>
              </w:rPr>
            </w:pPr>
            <w:r w:rsidRPr="00946E69">
              <w:rPr>
                <w:b/>
                <w:szCs w:val="20"/>
              </w:rPr>
              <w:t>The following warnings and precautions apply to:</w:t>
            </w:r>
            <w:r w:rsidRPr="00946E69">
              <w:rPr>
                <w:szCs w:val="20"/>
              </w:rPr>
              <w:t xml:space="preserve"> </w:t>
            </w:r>
            <w:r w:rsidRPr="00946E69">
              <w:rPr>
                <w:i/>
                <w:szCs w:val="20"/>
              </w:rPr>
              <w:t>Cal 1 and Cal 2</w:t>
            </w:r>
          </w:p>
          <w:p w14:paraId="1D49377F" w14:textId="3021AF7D" w:rsidR="00CA67BE" w:rsidRPr="00946E69" w:rsidRDefault="00CA67BE" w:rsidP="00CA67BE">
            <w:pPr>
              <w:rPr>
                <w:szCs w:val="20"/>
              </w:rPr>
            </w:pPr>
            <w:r w:rsidRPr="00946E69">
              <w:rPr>
                <w:szCs w:val="20"/>
              </w:rPr>
              <w:t xml:space="preserve">     Contains sodium </w:t>
            </w:r>
            <w:proofErr w:type="spellStart"/>
            <w:r w:rsidRPr="00946E69">
              <w:rPr>
                <w:szCs w:val="20"/>
              </w:rPr>
              <w:t>azide</w:t>
            </w:r>
            <w:proofErr w:type="spellEnd"/>
            <w:r w:rsidRPr="00946E69">
              <w:rPr>
                <w:szCs w:val="20"/>
              </w:rPr>
              <w:t>.</w:t>
            </w:r>
          </w:p>
          <w:p w14:paraId="081F9BFD" w14:textId="4A97799F" w:rsidR="00CA67BE" w:rsidRPr="00946E69" w:rsidRDefault="00CA67BE" w:rsidP="00CA67BE">
            <w:pPr>
              <w:rPr>
                <w:szCs w:val="20"/>
              </w:rPr>
            </w:pPr>
            <w:r w:rsidRPr="00946E69">
              <w:rPr>
                <w:szCs w:val="20"/>
              </w:rPr>
              <w:t xml:space="preserve">     Contact with acids liberates very toxic gas.</w:t>
            </w:r>
          </w:p>
          <w:p w14:paraId="11C30D00" w14:textId="77777777" w:rsidR="001E5B15" w:rsidRPr="00946E69" w:rsidRDefault="001E5B15" w:rsidP="00CA67BE">
            <w:pPr>
              <w:rPr>
                <w:szCs w:val="20"/>
              </w:rPr>
            </w:pPr>
          </w:p>
          <w:p w14:paraId="02D667D6" w14:textId="765A1E02" w:rsidR="001E5B15" w:rsidRPr="00946E69" w:rsidRDefault="001E5B15" w:rsidP="00CA67BE">
            <w:pPr>
              <w:rPr>
                <w:szCs w:val="20"/>
              </w:rPr>
            </w:pPr>
            <w:r w:rsidRPr="00946E69">
              <w:rPr>
                <w:szCs w:val="20"/>
              </w:rPr>
              <w:t>No special disposal indicated.</w:t>
            </w:r>
          </w:p>
          <w:p w14:paraId="573F7F0F" w14:textId="131EB159" w:rsidR="00CA67BE" w:rsidRPr="00946E69" w:rsidRDefault="00CA67BE" w:rsidP="00CA67BE">
            <w:pPr>
              <w:rPr>
                <w:szCs w:val="20"/>
              </w:rPr>
            </w:pPr>
            <w:r w:rsidRPr="00946E69">
              <w:rPr>
                <w:szCs w:val="20"/>
              </w:rPr>
              <w:t xml:space="preserve"> </w:t>
            </w:r>
          </w:p>
          <w:p w14:paraId="5EFA9057" w14:textId="187619D3" w:rsidR="009475C8" w:rsidRPr="00946E69" w:rsidRDefault="009475C8">
            <w:r w:rsidRPr="00946E69">
              <w:rPr>
                <w:szCs w:val="20"/>
              </w:rPr>
              <w:t xml:space="preserve">Safety data sheets (MSDS/SDS) available on </w:t>
            </w:r>
            <w:hyperlink r:id="rId13" w:history="1">
              <w:r w:rsidRPr="00946E69">
                <w:rPr>
                  <w:rStyle w:val="Hyperlink"/>
                  <w:szCs w:val="20"/>
                </w:rPr>
                <w:t>Children’s Intranet</w:t>
              </w:r>
            </w:hyperlink>
          </w:p>
          <w:p w14:paraId="5CCFFFD0" w14:textId="77777777" w:rsidR="007B2A3E" w:rsidRPr="00946E69" w:rsidRDefault="007B2A3E" w:rsidP="007B2A3E">
            <w:pPr>
              <w:rPr>
                <w:rFonts w:cs="Arial"/>
                <w:szCs w:val="20"/>
              </w:rPr>
            </w:pPr>
          </w:p>
        </w:tc>
      </w:tr>
      <w:tr w:rsidR="00F50200" w:rsidRPr="00946E69" w14:paraId="5CCFFFEC" w14:textId="77777777" w:rsidTr="00A062E1">
        <w:trPr>
          <w:trHeight w:val="4302"/>
          <w:tblHeader/>
        </w:trPr>
        <w:tc>
          <w:tcPr>
            <w:tcW w:w="1800" w:type="dxa"/>
            <w:tcBorders>
              <w:top w:val="nil"/>
              <w:left w:val="nil"/>
              <w:bottom w:val="nil"/>
              <w:right w:val="nil"/>
            </w:tcBorders>
          </w:tcPr>
          <w:p w14:paraId="5CCFFFD2" w14:textId="1C8034D3" w:rsidR="00F50200" w:rsidRPr="00946E69" w:rsidRDefault="00F50200" w:rsidP="003E0A08">
            <w:pPr>
              <w:ind w:left="-108" w:right="-108"/>
              <w:rPr>
                <w:rFonts w:cs="Arial"/>
                <w:b/>
                <w:bCs/>
                <w:color w:val="0000FF"/>
                <w:szCs w:val="20"/>
              </w:rPr>
            </w:pPr>
            <w:r w:rsidRPr="00946E69">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3A678B4C" w:rsidR="00F50200" w:rsidRPr="00946E69" w:rsidRDefault="008F122D" w:rsidP="00A32948">
            <w:pPr>
              <w:pStyle w:val="Pa15"/>
              <w:rPr>
                <w:rFonts w:ascii="Arial" w:hAnsi="Arial" w:cs="Arial"/>
                <w:b/>
                <w:bCs/>
                <w:sz w:val="20"/>
                <w:szCs w:val="20"/>
              </w:rPr>
            </w:pPr>
            <w:r w:rsidRPr="00946E69">
              <w:rPr>
                <w:rFonts w:ascii="Arial" w:hAnsi="Arial" w:cs="Arial"/>
                <w:b/>
                <w:bCs/>
                <w:color w:val="7030A0"/>
                <w:sz w:val="20"/>
                <w:szCs w:val="20"/>
              </w:rPr>
              <w:t>Both analyzers</w:t>
            </w:r>
            <w:r w:rsidR="00486653" w:rsidRPr="00946E69">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946E69" w14:paraId="5CCFFFD6" w14:textId="77777777" w:rsidTr="001C1CFA">
              <w:tc>
                <w:tcPr>
                  <w:tcW w:w="2947" w:type="dxa"/>
                </w:tcPr>
                <w:p w14:paraId="5CCFFFD4" w14:textId="77777777" w:rsidR="00F50200" w:rsidRPr="00946E69" w:rsidRDefault="00F50200" w:rsidP="00A32948">
                  <w:pPr>
                    <w:pStyle w:val="CalVerTable"/>
                    <w:ind w:left="0" w:firstLine="0"/>
                    <w:rPr>
                      <w:rFonts w:ascii="Arial" w:hAnsi="Arial" w:cs="Arial"/>
                    </w:rPr>
                  </w:pPr>
                  <w:r w:rsidRPr="00946E69">
                    <w:rPr>
                      <w:rFonts w:ascii="Arial" w:hAnsi="Arial" w:cs="Arial"/>
                    </w:rPr>
                    <w:t>Assay Range:</w:t>
                  </w:r>
                </w:p>
              </w:tc>
              <w:tc>
                <w:tcPr>
                  <w:tcW w:w="6269" w:type="dxa"/>
                </w:tcPr>
                <w:p w14:paraId="5CCFFFD5" w14:textId="3B5F8F98" w:rsidR="00F50200" w:rsidRPr="00946E69" w:rsidRDefault="001E5B15" w:rsidP="00561549">
                  <w:pPr>
                    <w:pStyle w:val="CalVerTable"/>
                    <w:ind w:left="0" w:firstLine="0"/>
                    <w:rPr>
                      <w:rFonts w:ascii="Arial" w:hAnsi="Arial" w:cs="Arial"/>
                    </w:rPr>
                  </w:pPr>
                  <w:r w:rsidRPr="00440B58">
                    <w:rPr>
                      <w:rFonts w:ascii="Arial" w:hAnsi="Arial" w:cs="Arial"/>
                      <w:highlight w:val="yellow"/>
                    </w:rPr>
                    <w:t>0.0</w:t>
                  </w:r>
                  <w:r w:rsidR="00561549" w:rsidRPr="00440B58">
                    <w:rPr>
                      <w:rFonts w:ascii="Arial" w:hAnsi="Arial" w:cs="Arial"/>
                      <w:highlight w:val="yellow"/>
                    </w:rPr>
                    <w:t>1</w:t>
                  </w:r>
                  <w:r w:rsidRPr="00440B58">
                    <w:rPr>
                      <w:rFonts w:ascii="Arial" w:hAnsi="Arial" w:cs="Arial"/>
                      <w:highlight w:val="yellow"/>
                    </w:rPr>
                    <w:t xml:space="preserve"> to 100.0000 ng/mL</w:t>
                  </w:r>
                </w:p>
              </w:tc>
            </w:tr>
            <w:tr w:rsidR="00F50200" w:rsidRPr="00946E69" w14:paraId="5CCFFFD9" w14:textId="77777777" w:rsidTr="001C1CFA">
              <w:tc>
                <w:tcPr>
                  <w:tcW w:w="2947" w:type="dxa"/>
                </w:tcPr>
                <w:p w14:paraId="5CCFFFD7" w14:textId="77777777" w:rsidR="00F50200" w:rsidRPr="00946E69" w:rsidRDefault="00F50200" w:rsidP="00A32948">
                  <w:pPr>
                    <w:pStyle w:val="CalVerTable"/>
                    <w:ind w:left="0" w:firstLine="0"/>
                    <w:rPr>
                      <w:rFonts w:ascii="Arial" w:hAnsi="Arial" w:cs="Arial"/>
                    </w:rPr>
                  </w:pPr>
                  <w:r w:rsidRPr="00946E69">
                    <w:rPr>
                      <w:rFonts w:ascii="Arial" w:hAnsi="Arial" w:cs="Arial"/>
                    </w:rPr>
                    <w:t>Reference Material:</w:t>
                  </w:r>
                </w:p>
              </w:tc>
              <w:tc>
                <w:tcPr>
                  <w:tcW w:w="6269" w:type="dxa"/>
                </w:tcPr>
                <w:p w14:paraId="5CCFFFD8" w14:textId="007F7C60" w:rsidR="00F50200" w:rsidRPr="00946E69" w:rsidRDefault="001E5B15" w:rsidP="00440E37">
                  <w:pPr>
                    <w:pStyle w:val="BodyText"/>
                    <w:rPr>
                      <w:rFonts w:cs="Arial"/>
                      <w:szCs w:val="20"/>
                    </w:rPr>
                  </w:pPr>
                  <w:r w:rsidRPr="00946E69">
                    <w:rPr>
                      <w:rFonts w:cs="Arial"/>
                      <w:szCs w:val="20"/>
                    </w:rPr>
                    <w:t>Alinity i or Architect TSH Calibrator</w:t>
                  </w:r>
                </w:p>
              </w:tc>
            </w:tr>
            <w:tr w:rsidR="00F50200" w:rsidRPr="00946E69" w14:paraId="5CCFFFE1" w14:textId="77777777" w:rsidTr="001C1CFA">
              <w:tc>
                <w:tcPr>
                  <w:tcW w:w="2947" w:type="dxa"/>
                </w:tcPr>
                <w:p w14:paraId="5CCFFFDA" w14:textId="77777777" w:rsidR="00F50200" w:rsidRPr="00946E69" w:rsidRDefault="00F50200" w:rsidP="00A32948">
                  <w:pPr>
                    <w:pStyle w:val="CalVerTable"/>
                    <w:ind w:left="0" w:firstLine="0"/>
                    <w:rPr>
                      <w:rFonts w:ascii="Arial" w:hAnsi="Arial" w:cs="Arial"/>
                    </w:rPr>
                  </w:pPr>
                  <w:r w:rsidRPr="00946E69">
                    <w:rPr>
                      <w:rFonts w:ascii="Arial" w:hAnsi="Arial" w:cs="Arial"/>
                    </w:rPr>
                    <w:t>Suggested Calibration Levels:</w:t>
                  </w:r>
                </w:p>
              </w:tc>
              <w:tc>
                <w:tcPr>
                  <w:tcW w:w="6269" w:type="dxa"/>
                </w:tcPr>
                <w:p w14:paraId="2273B766" w14:textId="77777777" w:rsidR="005B66A7" w:rsidRPr="00946E69" w:rsidRDefault="006F6017" w:rsidP="001D1786">
                  <w:pPr>
                    <w:pStyle w:val="CalVerTable"/>
                    <w:ind w:left="0" w:firstLine="0"/>
                    <w:rPr>
                      <w:rFonts w:ascii="Arial" w:hAnsi="Arial" w:cs="Arial"/>
                    </w:rPr>
                  </w:pPr>
                  <w:r w:rsidRPr="00946E69">
                    <w:rPr>
                      <w:rFonts w:ascii="Arial" w:hAnsi="Arial" w:cs="Arial"/>
                    </w:rPr>
                    <w:t>CAL 1: 0 ng/mL</w:t>
                  </w:r>
                </w:p>
                <w:p w14:paraId="5CCFFFE0" w14:textId="1F6FF0AB" w:rsidR="006F6017" w:rsidRPr="00946E69" w:rsidRDefault="006F6017" w:rsidP="001D1786">
                  <w:pPr>
                    <w:pStyle w:val="CalVerTable"/>
                    <w:ind w:left="0" w:firstLine="0"/>
                    <w:rPr>
                      <w:rFonts w:ascii="Arial" w:hAnsi="Arial" w:cs="Arial"/>
                    </w:rPr>
                  </w:pPr>
                  <w:r w:rsidRPr="00946E69">
                    <w:rPr>
                      <w:rFonts w:ascii="Arial" w:hAnsi="Arial" w:cs="Arial"/>
                    </w:rPr>
                    <w:t>CAL 2: 40 ng/mL</w:t>
                  </w:r>
                </w:p>
              </w:tc>
            </w:tr>
            <w:tr w:rsidR="00F50200" w:rsidRPr="00946E69" w14:paraId="5CCFFFE4" w14:textId="77777777" w:rsidTr="001C1CFA">
              <w:tc>
                <w:tcPr>
                  <w:tcW w:w="2947" w:type="dxa"/>
                </w:tcPr>
                <w:p w14:paraId="5CCFFFE2" w14:textId="4C4F7608" w:rsidR="00F50200" w:rsidRPr="00946E69" w:rsidRDefault="00F50200" w:rsidP="00A32948">
                  <w:pPr>
                    <w:pStyle w:val="CalVerTable"/>
                    <w:ind w:left="0" w:firstLine="0"/>
                    <w:rPr>
                      <w:rFonts w:ascii="Arial" w:hAnsi="Arial" w:cs="Arial"/>
                    </w:rPr>
                  </w:pPr>
                  <w:r w:rsidRPr="00946E69">
                    <w:rPr>
                      <w:rFonts w:ascii="Arial" w:hAnsi="Arial" w:cs="Arial"/>
                    </w:rPr>
                    <w:t>Calibration Scheme:</w:t>
                  </w:r>
                </w:p>
              </w:tc>
              <w:tc>
                <w:tcPr>
                  <w:tcW w:w="6269" w:type="dxa"/>
                </w:tcPr>
                <w:p w14:paraId="5CCFFFE3" w14:textId="0C3E8D34" w:rsidR="00F50200" w:rsidRPr="00946E69" w:rsidRDefault="006F6017" w:rsidP="005B66A7">
                  <w:pPr>
                    <w:pStyle w:val="CalVerTable"/>
                    <w:ind w:left="0" w:firstLine="0"/>
                    <w:rPr>
                      <w:rFonts w:ascii="Arial" w:hAnsi="Arial" w:cs="Arial"/>
                    </w:rPr>
                  </w:pPr>
                  <w:r w:rsidRPr="00946E69">
                    <w:rPr>
                      <w:rFonts w:ascii="Arial" w:hAnsi="Arial" w:cs="Arial"/>
                    </w:rPr>
                    <w:t>2</w:t>
                  </w:r>
                  <w:r w:rsidR="009475C8" w:rsidRPr="00946E69">
                    <w:rPr>
                      <w:rFonts w:ascii="Arial" w:hAnsi="Arial" w:cs="Arial"/>
                    </w:rPr>
                    <w:t xml:space="preserve"> Levels</w:t>
                  </w:r>
                </w:p>
              </w:tc>
            </w:tr>
            <w:tr w:rsidR="00F50200" w:rsidRPr="00946E69" w14:paraId="5CCFFFE7" w14:textId="77777777" w:rsidTr="001C1CFA">
              <w:tc>
                <w:tcPr>
                  <w:tcW w:w="2947" w:type="dxa"/>
                </w:tcPr>
                <w:p w14:paraId="5CCFFFE5" w14:textId="77777777" w:rsidR="00F50200" w:rsidRPr="00946E69" w:rsidRDefault="00F50200" w:rsidP="00A32948">
                  <w:pPr>
                    <w:pStyle w:val="CalVerTable"/>
                    <w:ind w:left="0" w:firstLine="0"/>
                    <w:rPr>
                      <w:rFonts w:ascii="Arial" w:hAnsi="Arial" w:cs="Arial"/>
                    </w:rPr>
                  </w:pPr>
                  <w:r w:rsidRPr="00946E69">
                    <w:rPr>
                      <w:rFonts w:ascii="Arial" w:hAnsi="Arial" w:cs="Arial"/>
                    </w:rPr>
                    <w:t>Calibration Frequency:</w:t>
                  </w:r>
                </w:p>
              </w:tc>
              <w:tc>
                <w:tcPr>
                  <w:tcW w:w="6269" w:type="dxa"/>
                </w:tcPr>
                <w:p w14:paraId="5CCFFFE6" w14:textId="1A37F114" w:rsidR="00F50200" w:rsidRPr="00946E69" w:rsidRDefault="00196BAF" w:rsidP="004A698D">
                  <w:pPr>
                    <w:pStyle w:val="Pa10"/>
                    <w:rPr>
                      <w:rFonts w:ascii="Arial" w:hAnsi="Arial" w:cs="Arial"/>
                      <w:sz w:val="20"/>
                      <w:szCs w:val="20"/>
                    </w:rPr>
                  </w:pPr>
                  <w:r w:rsidRPr="00946E69">
                    <w:rPr>
                      <w:rFonts w:ascii="Arial" w:hAnsi="Arial" w:cs="Arial"/>
                      <w:sz w:val="20"/>
                      <w:szCs w:val="20"/>
                    </w:rPr>
                    <w:t>With every new lot number, after maintenance or service of major instrument parts, as indicated by quality controls, and as directed by field service representatives.</w:t>
                  </w:r>
                </w:p>
              </w:tc>
            </w:tr>
            <w:tr w:rsidR="00F50200" w:rsidRPr="00946E69" w14:paraId="5CCFFFEA" w14:textId="77777777" w:rsidTr="00A166AA">
              <w:trPr>
                <w:trHeight w:val="395"/>
              </w:trPr>
              <w:tc>
                <w:tcPr>
                  <w:tcW w:w="2947" w:type="dxa"/>
                  <w:tcBorders>
                    <w:bottom w:val="single" w:sz="4" w:space="0" w:color="auto"/>
                  </w:tcBorders>
                </w:tcPr>
                <w:p w14:paraId="5CCFFFE8" w14:textId="77777777" w:rsidR="00F50200" w:rsidRPr="00946E69" w:rsidRDefault="00F50200" w:rsidP="00A32948">
                  <w:pPr>
                    <w:pStyle w:val="CalVerTable"/>
                    <w:ind w:left="0" w:firstLine="0"/>
                    <w:rPr>
                      <w:rFonts w:ascii="Arial" w:hAnsi="Arial" w:cs="Arial"/>
                    </w:rPr>
                  </w:pPr>
                  <w:r w:rsidRPr="00946E69">
                    <w:rPr>
                      <w:rFonts w:ascii="Arial" w:hAnsi="Arial" w:cs="Arial"/>
                    </w:rPr>
                    <w:t>AMR</w:t>
                  </w:r>
                </w:p>
              </w:tc>
              <w:tc>
                <w:tcPr>
                  <w:tcW w:w="6269" w:type="dxa"/>
                  <w:tcBorders>
                    <w:bottom w:val="single" w:sz="4" w:space="0" w:color="auto"/>
                  </w:tcBorders>
                </w:tcPr>
                <w:p w14:paraId="5CCFFFE9" w14:textId="309F116A" w:rsidR="00F50200" w:rsidRPr="00946E69" w:rsidRDefault="009475C8" w:rsidP="00A166AA">
                  <w:pPr>
                    <w:autoSpaceDE w:val="0"/>
                    <w:autoSpaceDN w:val="0"/>
                    <w:adjustRightInd w:val="0"/>
                    <w:rPr>
                      <w:rFonts w:cs="Arial"/>
                      <w:szCs w:val="20"/>
                    </w:rPr>
                  </w:pPr>
                  <w:r w:rsidRPr="00946E69">
                    <w:rPr>
                      <w:rFonts w:cs="Arial"/>
                      <w:szCs w:val="20"/>
                    </w:rPr>
                    <w:t xml:space="preserve">AMR is verified twice annually using the </w:t>
                  </w:r>
                  <w:r w:rsidR="00196BAF" w:rsidRPr="00946E69">
                    <w:rPr>
                      <w:rFonts w:cs="Arial"/>
                      <w:szCs w:val="20"/>
                    </w:rPr>
                    <w:t xml:space="preserve">Audit </w:t>
                  </w:r>
                  <w:proofErr w:type="spellStart"/>
                  <w:r w:rsidR="00196BAF" w:rsidRPr="00946E69">
                    <w:rPr>
                      <w:rFonts w:cs="Arial"/>
                      <w:szCs w:val="20"/>
                    </w:rPr>
                    <w:t>Microcontrols</w:t>
                  </w:r>
                  <w:proofErr w:type="spellEnd"/>
                  <w:r w:rsidR="00196BAF" w:rsidRPr="00946E69">
                    <w:rPr>
                      <w:rFonts w:cs="Arial"/>
                      <w:szCs w:val="20"/>
                    </w:rPr>
                    <w:t xml:space="preserve"> K833M-5 </w:t>
                  </w:r>
                  <w:r w:rsidRPr="00946E69">
                    <w:rPr>
                      <w:rFonts w:cs="Arial"/>
                      <w:szCs w:val="20"/>
                    </w:rPr>
                    <w:t xml:space="preserve">by running all applicable levels in triplicate.  Assay results are submitted </w:t>
                  </w:r>
                  <w:r w:rsidR="00196BAF" w:rsidRPr="00946E69">
                    <w:rPr>
                      <w:rFonts w:cs="Arial"/>
                      <w:szCs w:val="20"/>
                    </w:rPr>
                    <w:t xml:space="preserve">to Audit </w:t>
                  </w:r>
                  <w:proofErr w:type="spellStart"/>
                  <w:r w:rsidR="00196BAF" w:rsidRPr="00946E69">
                    <w:rPr>
                      <w:rFonts w:cs="Arial"/>
                      <w:szCs w:val="20"/>
                    </w:rPr>
                    <w:t>Microcontrols</w:t>
                  </w:r>
                  <w:proofErr w:type="spellEnd"/>
                  <w:r w:rsidR="00196BAF" w:rsidRPr="00946E69">
                    <w:rPr>
                      <w:rFonts w:cs="Arial"/>
                      <w:szCs w:val="20"/>
                    </w:rPr>
                    <w:t xml:space="preserve"> or EP Evaluator</w:t>
                  </w:r>
                  <w:r w:rsidRPr="00946E69">
                    <w:rPr>
                      <w:rFonts w:cs="Arial"/>
                      <w:szCs w:val="20"/>
                    </w:rPr>
                    <w:t xml:space="preserve"> for com</w:t>
                  </w:r>
                  <w:r w:rsidR="00196BAF" w:rsidRPr="00946E69">
                    <w:rPr>
                      <w:rFonts w:cs="Arial"/>
                      <w:szCs w:val="20"/>
                    </w:rPr>
                    <w:t>pilation.</w:t>
                  </w:r>
                  <w:r w:rsidRPr="00946E69">
                    <w:rPr>
                      <w:rFonts w:cs="Arial"/>
                      <w:szCs w:val="20"/>
                    </w:rPr>
                    <w:t xml:space="preserve">  Results are reviewed and approved by the Technical Specialist.  Questionable results are investigated and corrective actions documented.</w:t>
                  </w:r>
                </w:p>
              </w:tc>
            </w:tr>
          </w:tbl>
          <w:p w14:paraId="3120C2A7" w14:textId="11D70783" w:rsidR="00A062E1" w:rsidRPr="00946E69" w:rsidRDefault="00A062E1" w:rsidP="00A062E1">
            <w:pPr>
              <w:pStyle w:val="Pa15"/>
              <w:rPr>
                <w:rFonts w:ascii="Arial" w:hAnsi="Arial" w:cs="Arial"/>
                <w:b/>
                <w:bCs/>
                <w:sz w:val="20"/>
                <w:szCs w:val="20"/>
              </w:rPr>
            </w:pPr>
          </w:p>
          <w:p w14:paraId="5CCFFFEB" w14:textId="77777777" w:rsidR="00F50200" w:rsidRPr="00946E69" w:rsidRDefault="00F50200" w:rsidP="00A32948">
            <w:pPr>
              <w:rPr>
                <w:rFonts w:cs="Arial"/>
                <w:szCs w:val="20"/>
              </w:rPr>
            </w:pPr>
          </w:p>
        </w:tc>
      </w:tr>
      <w:tr w:rsidR="00E3253B" w:rsidRPr="00946E69" w14:paraId="5CD00004" w14:textId="77777777" w:rsidTr="007132A9">
        <w:trPr>
          <w:tblHeader/>
        </w:trPr>
        <w:tc>
          <w:tcPr>
            <w:tcW w:w="1800" w:type="dxa"/>
            <w:tcBorders>
              <w:top w:val="nil"/>
              <w:left w:val="nil"/>
              <w:bottom w:val="nil"/>
              <w:right w:val="nil"/>
            </w:tcBorders>
          </w:tcPr>
          <w:p w14:paraId="5CCFFFED" w14:textId="77777777" w:rsidR="00E3253B" w:rsidRPr="00946E69" w:rsidRDefault="00E3253B">
            <w:pPr>
              <w:ind w:right="-108"/>
              <w:rPr>
                <w:rFonts w:cs="Arial"/>
                <w:b/>
                <w:bCs/>
                <w:color w:val="0000FF"/>
                <w:szCs w:val="20"/>
              </w:rPr>
            </w:pPr>
            <w:r w:rsidRPr="00946E69">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CCFFFEE" w14:textId="7C876045" w:rsidR="002F5C68" w:rsidRPr="00946E69" w:rsidRDefault="00196BAF" w:rsidP="008D3369">
            <w:pPr>
              <w:pStyle w:val="Header"/>
              <w:tabs>
                <w:tab w:val="clear" w:pos="4320"/>
                <w:tab w:val="clear" w:pos="8640"/>
              </w:tabs>
              <w:jc w:val="both"/>
              <w:rPr>
                <w:rFonts w:cs="Arial"/>
                <w:b/>
                <w:bCs/>
                <w:color w:val="5F497A"/>
                <w:szCs w:val="20"/>
              </w:rPr>
            </w:pPr>
            <w:r w:rsidRPr="00946E69">
              <w:rPr>
                <w:rFonts w:cs="Arial"/>
                <w:b/>
                <w:bCs/>
                <w:color w:val="7030A0"/>
                <w:szCs w:val="20"/>
              </w:rPr>
              <w:t>Both analyzers:</w:t>
            </w:r>
          </w:p>
          <w:p w14:paraId="3BAFEF1B" w14:textId="75F5E10C" w:rsidR="00BA60F5" w:rsidRPr="00946E69" w:rsidRDefault="00D16F80" w:rsidP="00BA60F5">
            <w:pPr>
              <w:pStyle w:val="Default"/>
              <w:rPr>
                <w:sz w:val="20"/>
                <w:szCs w:val="20"/>
              </w:rPr>
            </w:pPr>
            <w:r w:rsidRPr="00946E69">
              <w:rPr>
                <w:b/>
                <w:sz w:val="20"/>
                <w:szCs w:val="20"/>
              </w:rPr>
              <w:t xml:space="preserve">QC Material: </w:t>
            </w:r>
            <w:proofErr w:type="spellStart"/>
            <w:r w:rsidR="00196BAF" w:rsidRPr="00946E69">
              <w:rPr>
                <w:sz w:val="20"/>
                <w:szCs w:val="20"/>
              </w:rPr>
              <w:t>BioRad</w:t>
            </w:r>
            <w:proofErr w:type="spellEnd"/>
            <w:r w:rsidR="00196BAF" w:rsidRPr="00946E69">
              <w:rPr>
                <w:sz w:val="20"/>
                <w:szCs w:val="20"/>
              </w:rPr>
              <w:t xml:space="preserve"> </w:t>
            </w:r>
            <w:proofErr w:type="spellStart"/>
            <w:r w:rsidR="00196BAF" w:rsidRPr="00946E69">
              <w:rPr>
                <w:sz w:val="20"/>
                <w:szCs w:val="20"/>
              </w:rPr>
              <w:t>Liquichek</w:t>
            </w:r>
            <w:proofErr w:type="spellEnd"/>
            <w:r w:rsidR="00BA60F5" w:rsidRPr="00946E69">
              <w:rPr>
                <w:sz w:val="20"/>
                <w:szCs w:val="20"/>
              </w:rPr>
              <w:t xml:space="preserve"> Immunoassay Plus Levels 1,2 and 3 </w:t>
            </w:r>
          </w:p>
          <w:p w14:paraId="6774B31A" w14:textId="77777777" w:rsidR="00BA60F5" w:rsidRPr="00946E69" w:rsidRDefault="00BA60F5" w:rsidP="00BA60F5">
            <w:pPr>
              <w:pStyle w:val="Default"/>
              <w:rPr>
                <w:sz w:val="20"/>
                <w:szCs w:val="20"/>
              </w:rPr>
            </w:pPr>
          </w:p>
          <w:p w14:paraId="0307D38D" w14:textId="77777777" w:rsidR="00BA60F5" w:rsidRPr="00946E69" w:rsidRDefault="00BA60F5" w:rsidP="00BA60F5">
            <w:pPr>
              <w:pStyle w:val="Default"/>
              <w:rPr>
                <w:sz w:val="20"/>
                <w:szCs w:val="20"/>
              </w:rPr>
            </w:pPr>
            <w:r w:rsidRPr="00946E69">
              <w:rPr>
                <w:b/>
                <w:bCs/>
                <w:sz w:val="20"/>
                <w:szCs w:val="20"/>
              </w:rPr>
              <w:t xml:space="preserve">Frequency: </w:t>
            </w:r>
            <w:r w:rsidRPr="00946E69">
              <w:rPr>
                <w:sz w:val="20"/>
                <w:szCs w:val="20"/>
              </w:rPr>
              <w:t xml:space="preserve">Three levels each day of use. </w:t>
            </w:r>
          </w:p>
          <w:p w14:paraId="5E4B794D" w14:textId="77777777" w:rsidR="00BA60F5" w:rsidRPr="00946E69" w:rsidRDefault="00BA60F5" w:rsidP="00BA60F5">
            <w:pPr>
              <w:pStyle w:val="Default"/>
              <w:rPr>
                <w:sz w:val="20"/>
                <w:szCs w:val="20"/>
              </w:rPr>
            </w:pPr>
          </w:p>
          <w:p w14:paraId="107957D8" w14:textId="65DC3534" w:rsidR="00BA60F5" w:rsidRPr="00946E69" w:rsidRDefault="00BA60F5" w:rsidP="00BA60F5">
            <w:pPr>
              <w:pStyle w:val="Default"/>
              <w:rPr>
                <w:sz w:val="20"/>
                <w:szCs w:val="20"/>
              </w:rPr>
            </w:pPr>
            <w:r w:rsidRPr="00946E69">
              <w:rPr>
                <w:b/>
                <w:bCs/>
                <w:sz w:val="20"/>
                <w:szCs w:val="20"/>
              </w:rPr>
              <w:t xml:space="preserve">Stability: </w:t>
            </w:r>
            <w:r w:rsidRPr="00946E69">
              <w:rPr>
                <w:sz w:val="20"/>
                <w:szCs w:val="20"/>
              </w:rPr>
              <w:t>5 Days at 2-8°C</w:t>
            </w:r>
            <w:r w:rsidR="00196BAF" w:rsidRPr="00946E69">
              <w:rPr>
                <w:sz w:val="20"/>
                <w:szCs w:val="20"/>
              </w:rPr>
              <w:t xml:space="preserve"> (due to the inclusion </w:t>
            </w:r>
            <w:r w:rsidR="00D16F80" w:rsidRPr="00946E69">
              <w:rPr>
                <w:sz w:val="20"/>
                <w:szCs w:val="20"/>
              </w:rPr>
              <w:t xml:space="preserve">and use </w:t>
            </w:r>
            <w:r w:rsidR="00196BAF" w:rsidRPr="00946E69">
              <w:rPr>
                <w:sz w:val="20"/>
                <w:szCs w:val="20"/>
              </w:rPr>
              <w:t>of Es</w:t>
            </w:r>
            <w:r w:rsidR="00D16F80" w:rsidRPr="00946E69">
              <w:rPr>
                <w:sz w:val="20"/>
                <w:szCs w:val="20"/>
              </w:rPr>
              <w:t>tradiol in this control)</w:t>
            </w:r>
          </w:p>
          <w:p w14:paraId="1A2BADEC" w14:textId="77777777" w:rsidR="00BA60F5" w:rsidRPr="00946E69" w:rsidRDefault="00BA60F5" w:rsidP="00BA60F5">
            <w:pPr>
              <w:pStyle w:val="Default"/>
              <w:rPr>
                <w:sz w:val="20"/>
                <w:szCs w:val="20"/>
              </w:rPr>
            </w:pPr>
          </w:p>
          <w:p w14:paraId="067ABEF7" w14:textId="18C237C7" w:rsidR="00BA60F5" w:rsidRPr="00946E69" w:rsidRDefault="00BA60F5" w:rsidP="00BA60F5">
            <w:pPr>
              <w:pStyle w:val="Default"/>
              <w:rPr>
                <w:sz w:val="20"/>
                <w:szCs w:val="20"/>
              </w:rPr>
            </w:pPr>
            <w:r w:rsidRPr="00946E69">
              <w:rPr>
                <w:b/>
                <w:bCs/>
                <w:sz w:val="20"/>
                <w:szCs w:val="20"/>
              </w:rPr>
              <w:t>Preparation</w:t>
            </w:r>
            <w:r w:rsidRPr="00946E69">
              <w:rPr>
                <w:sz w:val="20"/>
                <w:szCs w:val="20"/>
              </w:rPr>
              <w:t xml:space="preserve">: </w:t>
            </w:r>
            <w:r w:rsidR="00196BAF" w:rsidRPr="00946E69">
              <w:rPr>
                <w:sz w:val="20"/>
                <w:szCs w:val="20"/>
              </w:rPr>
              <w:t>Let vials thaw for 30</w:t>
            </w:r>
            <w:r w:rsidRPr="00946E69">
              <w:rPr>
                <w:sz w:val="20"/>
                <w:szCs w:val="20"/>
              </w:rPr>
              <w:t xml:space="preserve"> minutes</w:t>
            </w:r>
            <w:r w:rsidR="00196BAF" w:rsidRPr="00946E69">
              <w:rPr>
                <w:sz w:val="20"/>
                <w:szCs w:val="20"/>
              </w:rPr>
              <w:t xml:space="preserve"> at room temperature</w:t>
            </w:r>
            <w:r w:rsidRPr="00946E69">
              <w:rPr>
                <w:sz w:val="20"/>
                <w:szCs w:val="20"/>
              </w:rPr>
              <w:t xml:space="preserve"> and gently swirl to ensure homogeneity. Do not allow to stand at room tem</w:t>
            </w:r>
            <w:r w:rsidR="00196BAF" w:rsidRPr="00946E69">
              <w:rPr>
                <w:sz w:val="20"/>
                <w:szCs w:val="20"/>
              </w:rPr>
              <w:t xml:space="preserve">perature longer than 20 minutes after completely thawed.  </w:t>
            </w:r>
            <w:r w:rsidRPr="00946E69">
              <w:rPr>
                <w:sz w:val="20"/>
                <w:szCs w:val="20"/>
              </w:rPr>
              <w:t xml:space="preserve"> </w:t>
            </w:r>
          </w:p>
          <w:p w14:paraId="2DFCCE24" w14:textId="77777777" w:rsidR="00BA60F5" w:rsidRPr="00946E69" w:rsidRDefault="00BA60F5" w:rsidP="00BA60F5">
            <w:pPr>
              <w:pStyle w:val="Default"/>
              <w:rPr>
                <w:sz w:val="20"/>
                <w:szCs w:val="20"/>
              </w:rPr>
            </w:pPr>
          </w:p>
          <w:p w14:paraId="567D0EB2" w14:textId="77777777" w:rsidR="00BA60F5" w:rsidRPr="00946E69" w:rsidRDefault="00BA60F5" w:rsidP="00BA60F5">
            <w:pPr>
              <w:jc w:val="both"/>
              <w:rPr>
                <w:rFonts w:cs="Arial"/>
                <w:szCs w:val="20"/>
              </w:rPr>
            </w:pPr>
            <w:r w:rsidRPr="00946E69">
              <w:rPr>
                <w:rFonts w:cs="Arial"/>
                <w:b/>
                <w:bCs/>
                <w:szCs w:val="20"/>
              </w:rPr>
              <w:t>Acceptable ranges:</w:t>
            </w:r>
            <w:r w:rsidRPr="00946E69">
              <w:rPr>
                <w:rFonts w:cs="Arial"/>
                <w:szCs w:val="20"/>
              </w:rPr>
              <w:t xml:space="preserve"> </w:t>
            </w:r>
          </w:p>
          <w:p w14:paraId="16A9B7C8" w14:textId="77777777" w:rsidR="00BA60F5" w:rsidRPr="00946E69" w:rsidRDefault="00BA60F5" w:rsidP="00BA60F5">
            <w:pPr>
              <w:pStyle w:val="ListParagraph"/>
              <w:numPr>
                <w:ilvl w:val="0"/>
                <w:numId w:val="19"/>
              </w:numPr>
              <w:jc w:val="both"/>
              <w:rPr>
                <w:rFonts w:cs="Arial"/>
                <w:szCs w:val="20"/>
              </w:rPr>
            </w:pPr>
            <w:r w:rsidRPr="00946E69">
              <w:rPr>
                <w:rFonts w:cs="Arial"/>
                <w:szCs w:val="20"/>
              </w:rPr>
              <w:t xml:space="preserve">Non-Bio-Rad controls will utilize manufacturer ranges and 2 SD Westgard rules.  </w:t>
            </w:r>
          </w:p>
          <w:p w14:paraId="07FC2377" w14:textId="77777777" w:rsidR="00BA60F5" w:rsidRPr="00946E69" w:rsidRDefault="00BA60F5" w:rsidP="00BA60F5">
            <w:pPr>
              <w:pStyle w:val="ListParagraph"/>
              <w:numPr>
                <w:ilvl w:val="0"/>
                <w:numId w:val="19"/>
              </w:numPr>
              <w:jc w:val="both"/>
              <w:rPr>
                <w:rFonts w:cs="Arial"/>
                <w:szCs w:val="20"/>
              </w:rPr>
            </w:pPr>
            <w:r w:rsidRPr="00946E69">
              <w:rPr>
                <w:rFonts w:cs="Arial"/>
                <w:szCs w:val="20"/>
              </w:rPr>
              <w:t xml:space="preserve">New lots of Bio-Rad controls should be run for 20 days in parallel with the current lot whenever possible prior to switching to the new lot.  </w:t>
            </w:r>
          </w:p>
          <w:p w14:paraId="6EE93B5C" w14:textId="1A8C5A8F" w:rsidR="00BA60F5" w:rsidRPr="00946E69" w:rsidRDefault="00BA60F5" w:rsidP="00BA60F5">
            <w:pPr>
              <w:pStyle w:val="ListParagraph"/>
              <w:numPr>
                <w:ilvl w:val="0"/>
                <w:numId w:val="19"/>
              </w:numPr>
              <w:jc w:val="both"/>
              <w:rPr>
                <w:rFonts w:cs="Arial"/>
                <w:szCs w:val="20"/>
              </w:rPr>
            </w:pPr>
            <w:r w:rsidRPr="00946E69">
              <w:rPr>
                <w:rFonts w:cs="Arial"/>
                <w:szCs w:val="20"/>
              </w:rPr>
              <w:t>Refer to the Westgard Rules in C</w:t>
            </w:r>
            <w:r w:rsidR="00535FCF" w:rsidRPr="00946E69">
              <w:rPr>
                <w:rFonts w:cs="Arial"/>
                <w:szCs w:val="20"/>
              </w:rPr>
              <w:t xml:space="preserve">hemistry procedure </w:t>
            </w:r>
            <w:r w:rsidRPr="00946E69">
              <w:rPr>
                <w:rFonts w:cs="Arial"/>
                <w:szCs w:val="20"/>
              </w:rPr>
              <w:t xml:space="preserve">for current Westgard rules in place for each analyte.  </w:t>
            </w:r>
          </w:p>
          <w:p w14:paraId="04971BEE" w14:textId="77777777" w:rsidR="00BA60F5" w:rsidRPr="00946E69" w:rsidRDefault="00BA60F5" w:rsidP="00BA60F5">
            <w:pPr>
              <w:numPr>
                <w:ilvl w:val="0"/>
                <w:numId w:val="19"/>
              </w:numPr>
              <w:autoSpaceDE w:val="0"/>
              <w:autoSpaceDN w:val="0"/>
              <w:adjustRightInd w:val="0"/>
              <w:jc w:val="both"/>
              <w:rPr>
                <w:rFonts w:cs="Arial"/>
                <w:szCs w:val="20"/>
              </w:rPr>
            </w:pPr>
            <w:r w:rsidRPr="00946E69">
              <w:rPr>
                <w:rFonts w:cs="Arial"/>
                <w:b/>
                <w:szCs w:val="20"/>
              </w:rPr>
              <w:t>Acceptable ranges are current in Unity Real Time only.</w:t>
            </w:r>
            <w:r w:rsidRPr="00946E69">
              <w:rPr>
                <w:rFonts w:cs="Arial"/>
                <w:szCs w:val="20"/>
              </w:rPr>
              <w:t xml:space="preserve">  Quality Control results must be rejected in Sunquest when the results cross the interface.  </w:t>
            </w:r>
          </w:p>
          <w:p w14:paraId="34173554" w14:textId="77777777" w:rsidR="00BA60F5" w:rsidRPr="00946E69" w:rsidRDefault="00BA60F5" w:rsidP="00BA60F5">
            <w:pPr>
              <w:numPr>
                <w:ilvl w:val="0"/>
                <w:numId w:val="19"/>
              </w:numPr>
              <w:autoSpaceDE w:val="0"/>
              <w:autoSpaceDN w:val="0"/>
              <w:adjustRightInd w:val="0"/>
              <w:jc w:val="both"/>
              <w:rPr>
                <w:rFonts w:cs="Arial"/>
                <w:color w:val="000000"/>
                <w:szCs w:val="20"/>
              </w:rPr>
            </w:pPr>
            <w:r w:rsidRPr="00946E69">
              <w:rPr>
                <w:rFonts w:cs="Arial"/>
                <w:szCs w:val="20"/>
              </w:rPr>
              <w:t xml:space="preserve">In the event of a QC failure, refer to the </w:t>
            </w:r>
            <w:hyperlink r:id="rId14" w:history="1">
              <w:r w:rsidRPr="00946E69">
                <w:rPr>
                  <w:rStyle w:val="Hyperlink"/>
                  <w:rFonts w:cs="Arial"/>
                  <w:szCs w:val="20"/>
                </w:rPr>
                <w:t>Unity Real Time QC Review, General User</w:t>
              </w:r>
            </w:hyperlink>
            <w:r w:rsidRPr="00946E69">
              <w:rPr>
                <w:rFonts w:cs="Arial"/>
                <w:szCs w:val="20"/>
              </w:rPr>
              <w:t xml:space="preserve"> and navigate to the QC Troubleshooting section.</w:t>
            </w:r>
          </w:p>
          <w:p w14:paraId="68FCEF2B" w14:textId="77777777" w:rsidR="00DC7421" w:rsidRPr="00946E69" w:rsidRDefault="00BA60F5" w:rsidP="00BA60F5">
            <w:pPr>
              <w:autoSpaceDE w:val="0"/>
              <w:autoSpaceDN w:val="0"/>
              <w:adjustRightInd w:val="0"/>
              <w:ind w:left="360"/>
              <w:jc w:val="both"/>
              <w:rPr>
                <w:rFonts w:cs="Arial"/>
                <w:szCs w:val="20"/>
              </w:rPr>
            </w:pPr>
            <w:r w:rsidRPr="00946E69">
              <w:rPr>
                <w:rFonts w:cs="Arial"/>
                <w:szCs w:val="20"/>
              </w:rPr>
              <w:t xml:space="preserve">Do not load or release patients until QC is acceptable in Unity Real Time. </w:t>
            </w:r>
          </w:p>
          <w:p w14:paraId="5CD00003" w14:textId="7965B65F" w:rsidR="008F122D" w:rsidRPr="00946E69" w:rsidRDefault="008F122D" w:rsidP="00BA60F5">
            <w:pPr>
              <w:autoSpaceDE w:val="0"/>
              <w:autoSpaceDN w:val="0"/>
              <w:adjustRightInd w:val="0"/>
              <w:ind w:left="360"/>
              <w:jc w:val="both"/>
              <w:rPr>
                <w:rFonts w:cs="Arial"/>
                <w:color w:val="000000"/>
                <w:szCs w:val="20"/>
              </w:rPr>
            </w:pPr>
          </w:p>
        </w:tc>
      </w:tr>
      <w:tr w:rsidR="00E3253B" w:rsidRPr="00946E69" w14:paraId="5CD00012" w14:textId="77777777" w:rsidTr="007132A9">
        <w:trPr>
          <w:tblHeader/>
        </w:trPr>
        <w:tc>
          <w:tcPr>
            <w:tcW w:w="1800" w:type="dxa"/>
            <w:tcBorders>
              <w:top w:val="nil"/>
              <w:left w:val="nil"/>
              <w:bottom w:val="nil"/>
              <w:right w:val="nil"/>
            </w:tcBorders>
          </w:tcPr>
          <w:p w14:paraId="5CD00005" w14:textId="77777777" w:rsidR="00E3253B" w:rsidRPr="00946E69" w:rsidRDefault="00E3253B" w:rsidP="0039587D">
            <w:pPr>
              <w:rPr>
                <w:rFonts w:cs="Arial"/>
                <w:b/>
                <w:bCs/>
                <w:color w:val="0000FF"/>
                <w:szCs w:val="20"/>
              </w:rPr>
            </w:pPr>
            <w:r w:rsidRPr="00946E69">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34E78B0A" w14:textId="1CAEA420" w:rsidR="00196BAF" w:rsidRPr="00946E69" w:rsidRDefault="00196BAF" w:rsidP="00196BAF">
            <w:pPr>
              <w:autoSpaceDE w:val="0"/>
              <w:autoSpaceDN w:val="0"/>
              <w:adjustRightInd w:val="0"/>
              <w:rPr>
                <w:rFonts w:cs="Arial"/>
                <w:b/>
                <w:bCs/>
                <w:color w:val="984806" w:themeColor="accent6" w:themeShade="80"/>
                <w:szCs w:val="20"/>
              </w:rPr>
            </w:pPr>
            <w:r w:rsidRPr="00946E69">
              <w:rPr>
                <w:rFonts w:cs="Arial"/>
                <w:b/>
                <w:bCs/>
                <w:color w:val="7030A0"/>
                <w:szCs w:val="20"/>
              </w:rPr>
              <w:t>Both analyzers:</w:t>
            </w:r>
          </w:p>
          <w:p w14:paraId="6938EC19" w14:textId="0BB47A8F" w:rsidR="00196BAF" w:rsidRPr="00946E69" w:rsidRDefault="00196BAF" w:rsidP="00196BAF">
            <w:pPr>
              <w:autoSpaceDE w:val="0"/>
              <w:autoSpaceDN w:val="0"/>
              <w:adjustRightInd w:val="0"/>
              <w:jc w:val="both"/>
              <w:rPr>
                <w:rFonts w:cs="Arial"/>
                <w:szCs w:val="20"/>
              </w:rPr>
            </w:pPr>
            <w:r w:rsidRPr="00946E69">
              <w:rPr>
                <w:rFonts w:cs="Arial"/>
                <w:szCs w:val="20"/>
              </w:rPr>
              <w:t>The ARCHITECT TSH assay is designed to have a potential interference from hemoglobin, bilirubin, triglycerides and protein of ≤ 10% at the levels indicated below:</w:t>
            </w:r>
          </w:p>
          <w:p w14:paraId="25CE84E3" w14:textId="77777777" w:rsidR="00196BAF" w:rsidRPr="00946E69" w:rsidRDefault="00196BAF" w:rsidP="00196BAF">
            <w:pPr>
              <w:autoSpaceDE w:val="0"/>
              <w:autoSpaceDN w:val="0"/>
              <w:adjustRightInd w:val="0"/>
              <w:jc w:val="both"/>
              <w:rPr>
                <w:rFonts w:cs="Arial"/>
                <w:szCs w:val="20"/>
              </w:rPr>
            </w:pPr>
          </w:p>
          <w:p w14:paraId="47C66209" w14:textId="77777777" w:rsidR="00196BAF" w:rsidRPr="00946E69" w:rsidRDefault="00196BAF" w:rsidP="00196BAF">
            <w:pPr>
              <w:autoSpaceDE w:val="0"/>
              <w:autoSpaceDN w:val="0"/>
              <w:adjustRightInd w:val="0"/>
              <w:jc w:val="both"/>
              <w:rPr>
                <w:rFonts w:cs="Arial"/>
                <w:szCs w:val="20"/>
              </w:rPr>
            </w:pPr>
            <w:r w:rsidRPr="00946E69">
              <w:rPr>
                <w:rFonts w:cs="Arial"/>
                <w:szCs w:val="20"/>
              </w:rPr>
              <w:t>Hemoglobin ≤ 500 mg/</w:t>
            </w:r>
            <w:proofErr w:type="spellStart"/>
            <w:r w:rsidRPr="00946E69">
              <w:rPr>
                <w:rFonts w:cs="Arial"/>
                <w:szCs w:val="20"/>
              </w:rPr>
              <w:t>dL</w:t>
            </w:r>
            <w:proofErr w:type="spellEnd"/>
          </w:p>
          <w:p w14:paraId="20ABBCC7" w14:textId="77777777" w:rsidR="00196BAF" w:rsidRPr="00946E69" w:rsidRDefault="00196BAF" w:rsidP="00196BAF">
            <w:pPr>
              <w:autoSpaceDE w:val="0"/>
              <w:autoSpaceDN w:val="0"/>
              <w:adjustRightInd w:val="0"/>
              <w:jc w:val="both"/>
              <w:rPr>
                <w:rFonts w:cs="Arial"/>
                <w:szCs w:val="20"/>
              </w:rPr>
            </w:pPr>
            <w:r w:rsidRPr="00946E69">
              <w:rPr>
                <w:rFonts w:cs="Arial"/>
                <w:szCs w:val="20"/>
              </w:rPr>
              <w:t>Bilirubin ≤ 20 mg/</w:t>
            </w:r>
            <w:proofErr w:type="spellStart"/>
            <w:r w:rsidRPr="00946E69">
              <w:rPr>
                <w:rFonts w:cs="Arial"/>
                <w:szCs w:val="20"/>
              </w:rPr>
              <w:t>dL</w:t>
            </w:r>
            <w:proofErr w:type="spellEnd"/>
          </w:p>
          <w:p w14:paraId="7775D909" w14:textId="77777777" w:rsidR="00196BAF" w:rsidRPr="00946E69" w:rsidRDefault="00196BAF" w:rsidP="00196BAF">
            <w:pPr>
              <w:autoSpaceDE w:val="0"/>
              <w:autoSpaceDN w:val="0"/>
              <w:adjustRightInd w:val="0"/>
              <w:jc w:val="both"/>
              <w:rPr>
                <w:rFonts w:cs="Arial"/>
                <w:szCs w:val="20"/>
              </w:rPr>
            </w:pPr>
            <w:r w:rsidRPr="00946E69">
              <w:rPr>
                <w:rFonts w:cs="Arial"/>
                <w:szCs w:val="20"/>
              </w:rPr>
              <w:t>Triglycerides ≤ 3000 mg/</w:t>
            </w:r>
            <w:proofErr w:type="spellStart"/>
            <w:r w:rsidRPr="00946E69">
              <w:rPr>
                <w:rFonts w:cs="Arial"/>
                <w:szCs w:val="20"/>
              </w:rPr>
              <w:t>dL</w:t>
            </w:r>
            <w:proofErr w:type="spellEnd"/>
          </w:p>
          <w:p w14:paraId="0D8E06FC" w14:textId="77777777" w:rsidR="00196BAF" w:rsidRPr="00946E69" w:rsidRDefault="00196BAF" w:rsidP="00196BAF">
            <w:pPr>
              <w:autoSpaceDE w:val="0"/>
              <w:autoSpaceDN w:val="0"/>
              <w:adjustRightInd w:val="0"/>
              <w:jc w:val="both"/>
              <w:rPr>
                <w:rFonts w:cs="Arial"/>
                <w:szCs w:val="20"/>
              </w:rPr>
            </w:pPr>
            <w:r w:rsidRPr="00946E69">
              <w:rPr>
                <w:rFonts w:cs="Arial"/>
                <w:szCs w:val="20"/>
              </w:rPr>
              <w:t>Protein ≤ 2 g/</w:t>
            </w:r>
            <w:proofErr w:type="spellStart"/>
            <w:r w:rsidRPr="00946E69">
              <w:rPr>
                <w:rFonts w:cs="Arial"/>
                <w:szCs w:val="20"/>
              </w:rPr>
              <w:t>dL</w:t>
            </w:r>
            <w:proofErr w:type="spellEnd"/>
            <w:r w:rsidRPr="00946E69">
              <w:rPr>
                <w:rFonts w:cs="Arial"/>
                <w:szCs w:val="20"/>
              </w:rPr>
              <w:t xml:space="preserve"> and 12 g/</w:t>
            </w:r>
            <w:proofErr w:type="spellStart"/>
            <w:r w:rsidRPr="00946E69">
              <w:rPr>
                <w:rFonts w:cs="Arial"/>
                <w:szCs w:val="20"/>
              </w:rPr>
              <w:t>dL</w:t>
            </w:r>
            <w:proofErr w:type="spellEnd"/>
          </w:p>
          <w:p w14:paraId="72DB2A67" w14:textId="77777777" w:rsidR="00196BAF" w:rsidRPr="00946E69" w:rsidRDefault="00196BAF" w:rsidP="00196BAF">
            <w:pPr>
              <w:autoSpaceDE w:val="0"/>
              <w:autoSpaceDN w:val="0"/>
              <w:adjustRightInd w:val="0"/>
              <w:jc w:val="both"/>
              <w:rPr>
                <w:rFonts w:cs="Arial"/>
                <w:szCs w:val="20"/>
              </w:rPr>
            </w:pPr>
          </w:p>
          <w:p w14:paraId="5CF695E5" w14:textId="09E1D82C" w:rsidR="00196BAF" w:rsidRPr="00946E69" w:rsidRDefault="00BD54BA" w:rsidP="00196BAF">
            <w:pPr>
              <w:autoSpaceDE w:val="0"/>
              <w:autoSpaceDN w:val="0"/>
              <w:adjustRightInd w:val="0"/>
              <w:jc w:val="both"/>
              <w:rPr>
                <w:rFonts w:cs="Arial"/>
                <w:szCs w:val="20"/>
              </w:rPr>
            </w:pPr>
            <w:r w:rsidRPr="00946E69">
              <w:rPr>
                <w:rFonts w:cs="Arial"/>
                <w:szCs w:val="20"/>
              </w:rPr>
              <w:t>See Instructions for Use for other hormones that were tested by Abbott for cross reactivity.  None were identified.</w:t>
            </w:r>
          </w:p>
          <w:p w14:paraId="5CD00011" w14:textId="7F1417B1" w:rsidR="00196BAF" w:rsidRPr="00946E69" w:rsidRDefault="00196BAF" w:rsidP="00196BAF">
            <w:pPr>
              <w:autoSpaceDE w:val="0"/>
              <w:autoSpaceDN w:val="0"/>
              <w:adjustRightInd w:val="0"/>
              <w:jc w:val="both"/>
              <w:rPr>
                <w:rFonts w:cs="Arial"/>
                <w:szCs w:val="20"/>
              </w:rPr>
            </w:pPr>
          </w:p>
        </w:tc>
      </w:tr>
      <w:tr w:rsidR="00E3253B" w:rsidRPr="00946E69" w14:paraId="5CD00019" w14:textId="77777777" w:rsidTr="007132A9">
        <w:trPr>
          <w:tblHeader/>
        </w:trPr>
        <w:tc>
          <w:tcPr>
            <w:tcW w:w="1800" w:type="dxa"/>
            <w:tcBorders>
              <w:top w:val="nil"/>
              <w:left w:val="nil"/>
              <w:bottom w:val="nil"/>
              <w:right w:val="nil"/>
            </w:tcBorders>
          </w:tcPr>
          <w:p w14:paraId="5CD00016" w14:textId="7ECCB022" w:rsidR="00E3253B" w:rsidRPr="00946E69" w:rsidRDefault="00250A09" w:rsidP="0039587D">
            <w:pPr>
              <w:rPr>
                <w:rFonts w:cs="Arial"/>
                <w:b/>
                <w:bCs/>
                <w:color w:val="0000FF"/>
                <w:szCs w:val="20"/>
              </w:rPr>
            </w:pPr>
            <w:r w:rsidRPr="00946E69">
              <w:rPr>
                <w:rFonts w:cs="Arial"/>
                <w:b/>
                <w:bCs/>
                <w:color w:val="0000FF"/>
                <w:szCs w:val="20"/>
              </w:rPr>
              <w:t>Reference Intervals</w:t>
            </w:r>
          </w:p>
          <w:p w14:paraId="5CD00017" w14:textId="77777777" w:rsidR="0039587D" w:rsidRPr="00946E69"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7252615F" w14:textId="050F2BCB" w:rsidR="00DB689C" w:rsidRPr="00946E69" w:rsidRDefault="00DB689C" w:rsidP="00BD54BA">
            <w:pPr>
              <w:rPr>
                <w:rFonts w:cs="Arial"/>
                <w:szCs w:val="20"/>
              </w:rPr>
            </w:pPr>
            <w:r w:rsidRPr="00946E69">
              <w:rPr>
                <w:rFonts w:cs="Arial"/>
                <w:szCs w:val="20"/>
              </w:rPr>
              <w:t>Birth to 5 days: 0.7 to 15.2 µIU/mL</w:t>
            </w:r>
          </w:p>
          <w:p w14:paraId="34E4534D" w14:textId="43EA66FD" w:rsidR="00BD54BA" w:rsidRPr="00946E69" w:rsidRDefault="00DB689C" w:rsidP="00BD54BA">
            <w:pPr>
              <w:rPr>
                <w:rFonts w:cs="Arial"/>
                <w:szCs w:val="20"/>
              </w:rPr>
            </w:pPr>
            <w:r w:rsidRPr="00946E69">
              <w:rPr>
                <w:rFonts w:cs="Arial"/>
                <w:szCs w:val="20"/>
              </w:rPr>
              <w:t>6 days to</w:t>
            </w:r>
            <w:r w:rsidR="00BD54BA" w:rsidRPr="00946E69">
              <w:rPr>
                <w:rFonts w:cs="Arial"/>
                <w:szCs w:val="20"/>
              </w:rPr>
              <w:t xml:space="preserve"> </w:t>
            </w:r>
            <w:r w:rsidRPr="00946E69">
              <w:rPr>
                <w:rFonts w:cs="Arial"/>
                <w:szCs w:val="20"/>
              </w:rPr>
              <w:t>&lt;</w:t>
            </w:r>
            <w:r w:rsidR="00BD54BA" w:rsidRPr="00946E69">
              <w:rPr>
                <w:rFonts w:cs="Arial"/>
                <w:szCs w:val="20"/>
              </w:rPr>
              <w:t>6 Months:   0.73 - 4.77</w:t>
            </w:r>
            <w:r w:rsidR="00BD54BA" w:rsidRPr="00946E69">
              <w:t xml:space="preserve"> </w:t>
            </w:r>
            <w:r w:rsidR="00BD54BA" w:rsidRPr="00946E69">
              <w:rPr>
                <w:rFonts w:cs="Arial"/>
                <w:szCs w:val="20"/>
              </w:rPr>
              <w:t xml:space="preserve">µIU/mL </w:t>
            </w:r>
          </w:p>
          <w:p w14:paraId="3D8F67EE" w14:textId="3AF1D123" w:rsidR="00BD54BA" w:rsidRPr="00946E69" w:rsidRDefault="00BD54BA" w:rsidP="00BD54BA">
            <w:pPr>
              <w:rPr>
                <w:rFonts w:cs="Arial"/>
                <w:szCs w:val="20"/>
              </w:rPr>
            </w:pPr>
            <w:r w:rsidRPr="00946E69">
              <w:rPr>
                <w:rFonts w:cs="Arial"/>
                <w:szCs w:val="20"/>
              </w:rPr>
              <w:t>6 Months to &lt; 14 Years: 0.7 - 4.17</w:t>
            </w:r>
            <w:r w:rsidR="008F122D" w:rsidRPr="00946E69">
              <w:rPr>
                <w:rFonts w:cs="Arial"/>
                <w:szCs w:val="20"/>
              </w:rPr>
              <w:t xml:space="preserve"> µIU/mL</w:t>
            </w:r>
          </w:p>
          <w:p w14:paraId="14427AF2" w14:textId="0208E7F0" w:rsidR="00BD54BA" w:rsidRPr="00946E69" w:rsidRDefault="00BD54BA" w:rsidP="00BD54BA">
            <w:pPr>
              <w:rPr>
                <w:rFonts w:cs="Arial"/>
                <w:szCs w:val="20"/>
              </w:rPr>
            </w:pPr>
            <w:r w:rsidRPr="00946E69">
              <w:rPr>
                <w:rFonts w:cs="Arial"/>
                <w:szCs w:val="20"/>
              </w:rPr>
              <w:t xml:space="preserve">14 to &lt; 19 Years:    0.47 - 3.41 </w:t>
            </w:r>
            <w:r w:rsidR="008F122D" w:rsidRPr="00946E69">
              <w:rPr>
                <w:rFonts w:cs="Arial"/>
                <w:szCs w:val="20"/>
              </w:rPr>
              <w:t>µIU/mL</w:t>
            </w:r>
            <w:r w:rsidRPr="00946E69">
              <w:rPr>
                <w:rFonts w:cs="Arial"/>
                <w:szCs w:val="20"/>
              </w:rPr>
              <w:t xml:space="preserve">             </w:t>
            </w:r>
          </w:p>
          <w:p w14:paraId="6B90142F" w14:textId="303F94C6" w:rsidR="0039587D" w:rsidRPr="00946E69" w:rsidRDefault="00BD54BA" w:rsidP="00BD54BA">
            <w:pPr>
              <w:rPr>
                <w:rFonts w:cs="Arial"/>
                <w:szCs w:val="20"/>
              </w:rPr>
            </w:pPr>
            <w:r w:rsidRPr="00946E69">
              <w:rPr>
                <w:rFonts w:cs="Arial"/>
                <w:szCs w:val="20"/>
              </w:rPr>
              <w:t>Adult:           0.35 to 4.94</w:t>
            </w:r>
            <w:r w:rsidR="008F122D" w:rsidRPr="00946E69">
              <w:t xml:space="preserve"> </w:t>
            </w:r>
            <w:r w:rsidR="008F122D" w:rsidRPr="00946E69">
              <w:rPr>
                <w:rFonts w:cs="Arial"/>
                <w:szCs w:val="20"/>
              </w:rPr>
              <w:t xml:space="preserve">µIU/mL </w:t>
            </w:r>
          </w:p>
          <w:p w14:paraId="5CD00018" w14:textId="423AF9DB" w:rsidR="00BD54BA" w:rsidRPr="00946E69" w:rsidRDefault="00BD54BA" w:rsidP="00BD54BA">
            <w:pPr>
              <w:rPr>
                <w:rFonts w:cs="Arial"/>
                <w:szCs w:val="20"/>
              </w:rPr>
            </w:pPr>
          </w:p>
        </w:tc>
      </w:tr>
      <w:tr w:rsidR="00E3253B" w:rsidRPr="00946E69" w14:paraId="5CD0001C" w14:textId="77777777" w:rsidTr="007132A9">
        <w:trPr>
          <w:trHeight w:val="558"/>
          <w:tblHeader/>
        </w:trPr>
        <w:tc>
          <w:tcPr>
            <w:tcW w:w="1800" w:type="dxa"/>
            <w:tcBorders>
              <w:top w:val="nil"/>
              <w:left w:val="nil"/>
              <w:bottom w:val="nil"/>
              <w:right w:val="nil"/>
            </w:tcBorders>
          </w:tcPr>
          <w:p w14:paraId="5CD0001A" w14:textId="5D6E5E2D" w:rsidR="00E3253B" w:rsidRPr="00946E69" w:rsidRDefault="00E3253B" w:rsidP="0039587D">
            <w:pPr>
              <w:rPr>
                <w:rFonts w:cs="Arial"/>
                <w:b/>
                <w:bCs/>
                <w:color w:val="0000FF"/>
                <w:szCs w:val="20"/>
              </w:rPr>
            </w:pPr>
            <w:r w:rsidRPr="00946E69">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5C46240C" w:rsidR="00E3253B" w:rsidRPr="00946E69" w:rsidRDefault="00BD54BA" w:rsidP="001C641E">
            <w:pPr>
              <w:pStyle w:val="Header"/>
              <w:tabs>
                <w:tab w:val="clear" w:pos="4320"/>
                <w:tab w:val="clear" w:pos="8640"/>
              </w:tabs>
              <w:rPr>
                <w:rFonts w:cs="Arial"/>
                <w:szCs w:val="20"/>
              </w:rPr>
            </w:pPr>
            <w:r w:rsidRPr="00946E69">
              <w:rPr>
                <w:rFonts w:cs="Arial"/>
                <w:szCs w:val="20"/>
              </w:rPr>
              <w:t>None specified</w:t>
            </w:r>
          </w:p>
        </w:tc>
      </w:tr>
      <w:tr w:rsidR="00E3253B" w:rsidRPr="00946E69" w14:paraId="5CD00022" w14:textId="77777777" w:rsidTr="007132A9">
        <w:trPr>
          <w:tblHeader/>
        </w:trPr>
        <w:tc>
          <w:tcPr>
            <w:tcW w:w="1800" w:type="dxa"/>
            <w:tcBorders>
              <w:top w:val="nil"/>
              <w:left w:val="nil"/>
              <w:bottom w:val="nil"/>
              <w:right w:val="nil"/>
            </w:tcBorders>
          </w:tcPr>
          <w:p w14:paraId="5CD0001D" w14:textId="77777777" w:rsidR="00E3253B" w:rsidRPr="00946E69" w:rsidRDefault="00E3253B" w:rsidP="0039587D">
            <w:pPr>
              <w:rPr>
                <w:rFonts w:cs="Arial"/>
                <w:b/>
                <w:bCs/>
                <w:color w:val="0000FF"/>
                <w:szCs w:val="20"/>
              </w:rPr>
            </w:pPr>
            <w:r w:rsidRPr="00946E69">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547F838B" w14:textId="3D96D23C" w:rsidR="002C7345" w:rsidRPr="00946E69" w:rsidRDefault="002C7345" w:rsidP="002C7345">
            <w:pPr>
              <w:autoSpaceDE w:val="0"/>
              <w:autoSpaceDN w:val="0"/>
              <w:adjustRightInd w:val="0"/>
              <w:rPr>
                <w:rFonts w:cs="Arial"/>
                <w:bCs/>
                <w:szCs w:val="20"/>
              </w:rPr>
            </w:pPr>
            <w:r w:rsidRPr="00946E69">
              <w:rPr>
                <w:rFonts w:cs="Arial" w:hint="eastAsia"/>
                <w:b/>
                <w:bCs/>
                <w:szCs w:val="20"/>
              </w:rPr>
              <w:t>•</w:t>
            </w:r>
            <w:r w:rsidRPr="00946E69">
              <w:rPr>
                <w:rFonts w:cs="Arial"/>
                <w:b/>
                <w:bCs/>
                <w:szCs w:val="20"/>
              </w:rPr>
              <w:t xml:space="preserve"> </w:t>
            </w:r>
            <w:r w:rsidRPr="00946E69">
              <w:rPr>
                <w:rFonts w:cs="Arial"/>
                <w:bCs/>
                <w:szCs w:val="20"/>
              </w:rPr>
              <w:t>Specimens MUST be processed according to the specimen test tube manufacturer</w:t>
            </w:r>
            <w:r w:rsidRPr="00946E69">
              <w:rPr>
                <w:rFonts w:cs="Arial" w:hint="eastAsia"/>
                <w:bCs/>
                <w:szCs w:val="20"/>
              </w:rPr>
              <w:t>’</w:t>
            </w:r>
            <w:r w:rsidRPr="00946E69">
              <w:rPr>
                <w:rFonts w:cs="Arial"/>
                <w:bCs/>
                <w:szCs w:val="20"/>
              </w:rPr>
              <w:t>s instruction. Insufficient processing including deviations from recommended clotting times, centrifugation times, centrifugation speed and sample preparation techniques may cause inaccurate results.</w:t>
            </w:r>
          </w:p>
          <w:p w14:paraId="5E0C10ED" w14:textId="77777777" w:rsidR="002C7345" w:rsidRPr="00946E69" w:rsidRDefault="002C7345" w:rsidP="002C7345">
            <w:pPr>
              <w:autoSpaceDE w:val="0"/>
              <w:autoSpaceDN w:val="0"/>
              <w:adjustRightInd w:val="0"/>
              <w:rPr>
                <w:rFonts w:cs="Arial"/>
                <w:bCs/>
                <w:szCs w:val="20"/>
              </w:rPr>
            </w:pPr>
          </w:p>
          <w:p w14:paraId="30B0D263" w14:textId="5A770F3C" w:rsidR="002C7345" w:rsidRPr="00946E69" w:rsidRDefault="002C7345" w:rsidP="002C7345">
            <w:pPr>
              <w:autoSpaceDE w:val="0"/>
              <w:autoSpaceDN w:val="0"/>
              <w:adjustRightInd w:val="0"/>
              <w:rPr>
                <w:rFonts w:cs="Arial"/>
                <w:bCs/>
                <w:szCs w:val="20"/>
              </w:rPr>
            </w:pPr>
            <w:r w:rsidRPr="00946E69">
              <w:rPr>
                <w:rFonts w:cs="Arial" w:hint="eastAsia"/>
                <w:b/>
                <w:bCs/>
                <w:szCs w:val="20"/>
              </w:rPr>
              <w:t>•</w:t>
            </w:r>
            <w:r w:rsidRPr="00946E69">
              <w:rPr>
                <w:rFonts w:cs="Arial"/>
                <w:b/>
                <w:bCs/>
                <w:szCs w:val="20"/>
              </w:rPr>
              <w:t xml:space="preserve"> </w:t>
            </w:r>
            <w:r w:rsidRPr="00946E69">
              <w:rPr>
                <w:rFonts w:cs="Arial"/>
                <w:bCs/>
                <w:szCs w:val="20"/>
              </w:rPr>
              <w:t>Results should be used in conjunction with other data; e.g., symptoms, results of other tests, and clinical impressions.</w:t>
            </w:r>
          </w:p>
          <w:p w14:paraId="24905E92" w14:textId="77777777" w:rsidR="002C7345" w:rsidRPr="00946E69" w:rsidRDefault="002C7345" w:rsidP="002C7345">
            <w:pPr>
              <w:autoSpaceDE w:val="0"/>
              <w:autoSpaceDN w:val="0"/>
              <w:adjustRightInd w:val="0"/>
              <w:rPr>
                <w:rFonts w:cs="Arial"/>
                <w:bCs/>
                <w:szCs w:val="20"/>
              </w:rPr>
            </w:pPr>
          </w:p>
          <w:p w14:paraId="02BD14E7" w14:textId="5361674F" w:rsidR="002C7345" w:rsidRPr="00946E69" w:rsidRDefault="002C7345" w:rsidP="002C7345">
            <w:pPr>
              <w:autoSpaceDE w:val="0"/>
              <w:autoSpaceDN w:val="0"/>
              <w:adjustRightInd w:val="0"/>
              <w:rPr>
                <w:rFonts w:cs="Arial"/>
                <w:bCs/>
                <w:szCs w:val="20"/>
              </w:rPr>
            </w:pPr>
            <w:r w:rsidRPr="00946E69">
              <w:rPr>
                <w:rFonts w:cs="Arial" w:hint="eastAsia"/>
                <w:b/>
                <w:bCs/>
                <w:szCs w:val="20"/>
              </w:rPr>
              <w:t>•</w:t>
            </w:r>
            <w:r w:rsidRPr="00946E69">
              <w:rPr>
                <w:rFonts w:cs="Arial"/>
                <w:b/>
                <w:bCs/>
                <w:szCs w:val="20"/>
              </w:rPr>
              <w:t xml:space="preserve"> </w:t>
            </w:r>
            <w:r w:rsidR="00BD54BA" w:rsidRPr="00946E69">
              <w:rPr>
                <w:rFonts w:cs="Arial"/>
                <w:bCs/>
                <w:szCs w:val="20"/>
              </w:rPr>
              <w:t xml:space="preserve">If the </w:t>
            </w:r>
            <w:r w:rsidRPr="00946E69">
              <w:rPr>
                <w:rFonts w:cs="Arial"/>
                <w:bCs/>
                <w:szCs w:val="20"/>
              </w:rPr>
              <w:t>TSH results are inconsistent with clinical evidence, additional testing is recommended to confirm the result.</w:t>
            </w:r>
          </w:p>
          <w:p w14:paraId="4B984752" w14:textId="77777777" w:rsidR="002C7345" w:rsidRPr="00946E69" w:rsidRDefault="002C7345" w:rsidP="002C7345">
            <w:pPr>
              <w:autoSpaceDE w:val="0"/>
              <w:autoSpaceDN w:val="0"/>
              <w:adjustRightInd w:val="0"/>
              <w:rPr>
                <w:rFonts w:cs="Arial"/>
                <w:bCs/>
                <w:szCs w:val="20"/>
              </w:rPr>
            </w:pPr>
          </w:p>
          <w:p w14:paraId="2B911BF9" w14:textId="64174A1D" w:rsidR="002C7345" w:rsidRPr="00946E69" w:rsidRDefault="002C7345" w:rsidP="002C7345">
            <w:pPr>
              <w:autoSpaceDE w:val="0"/>
              <w:autoSpaceDN w:val="0"/>
              <w:adjustRightInd w:val="0"/>
              <w:rPr>
                <w:rFonts w:cs="Arial"/>
                <w:bCs/>
                <w:szCs w:val="20"/>
              </w:rPr>
            </w:pPr>
            <w:r w:rsidRPr="00946E69">
              <w:rPr>
                <w:rFonts w:cs="Arial" w:hint="eastAsia"/>
                <w:b/>
                <w:bCs/>
                <w:szCs w:val="20"/>
              </w:rPr>
              <w:t>•</w:t>
            </w:r>
            <w:r w:rsidRPr="00946E69">
              <w:rPr>
                <w:rFonts w:cs="Arial"/>
                <w:b/>
                <w:bCs/>
                <w:szCs w:val="20"/>
              </w:rPr>
              <w:t xml:space="preserve"> </w:t>
            </w:r>
            <w:r w:rsidRPr="00946E69">
              <w:rPr>
                <w:rFonts w:cs="Arial"/>
                <w:bCs/>
                <w:szCs w:val="20"/>
              </w:rPr>
              <w:t>Suspected hyperthyroidism based on low or undetectable TSH levels should be confirmed with additional thyroid function testing along with other clinical information.</w:t>
            </w:r>
          </w:p>
          <w:p w14:paraId="6C83224F" w14:textId="77777777" w:rsidR="002C7345" w:rsidRPr="00946E69" w:rsidRDefault="002C7345" w:rsidP="002C7345">
            <w:pPr>
              <w:autoSpaceDE w:val="0"/>
              <w:autoSpaceDN w:val="0"/>
              <w:adjustRightInd w:val="0"/>
              <w:rPr>
                <w:rFonts w:cs="Arial"/>
                <w:bCs/>
                <w:szCs w:val="20"/>
              </w:rPr>
            </w:pPr>
          </w:p>
          <w:p w14:paraId="35260222" w14:textId="3EF63F3C" w:rsidR="002C7345" w:rsidRPr="00946E69" w:rsidRDefault="002C7345" w:rsidP="002C7345">
            <w:pPr>
              <w:autoSpaceDE w:val="0"/>
              <w:autoSpaceDN w:val="0"/>
              <w:adjustRightInd w:val="0"/>
              <w:rPr>
                <w:rFonts w:cs="Arial"/>
                <w:bCs/>
                <w:szCs w:val="20"/>
              </w:rPr>
            </w:pPr>
            <w:r w:rsidRPr="00946E69">
              <w:rPr>
                <w:rFonts w:cs="Arial" w:hint="eastAsia"/>
                <w:b/>
                <w:bCs/>
                <w:szCs w:val="20"/>
              </w:rPr>
              <w:t>•</w:t>
            </w:r>
            <w:r w:rsidRPr="00946E69">
              <w:rPr>
                <w:rFonts w:cs="Arial"/>
                <w:b/>
                <w:bCs/>
                <w:szCs w:val="20"/>
              </w:rPr>
              <w:t xml:space="preserve"> </w:t>
            </w:r>
            <w:r w:rsidRPr="00946E69">
              <w:rPr>
                <w:rFonts w:cs="Arial"/>
                <w:bCs/>
                <w:szCs w:val="20"/>
              </w:rPr>
              <w:t>Specimens from patients who have received preparations of mouse monoclonal antibodies for diagnosis or therapy may contain human anti-mouse antibodies (HAMA). Such specimens may show either falsely elevated or depressed values when tested with assay kits such as Alinity i TSH that employ mouse monoclonal antibodies. Additional information may be required for diagnosis.</w:t>
            </w:r>
          </w:p>
          <w:p w14:paraId="07E4ABA7" w14:textId="77777777" w:rsidR="002C7345" w:rsidRPr="00946E69" w:rsidRDefault="002C7345" w:rsidP="002C7345">
            <w:pPr>
              <w:autoSpaceDE w:val="0"/>
              <w:autoSpaceDN w:val="0"/>
              <w:adjustRightInd w:val="0"/>
              <w:rPr>
                <w:rFonts w:cs="Arial"/>
                <w:bCs/>
                <w:szCs w:val="20"/>
              </w:rPr>
            </w:pPr>
          </w:p>
          <w:p w14:paraId="1D45B3C9" w14:textId="77777777" w:rsidR="00DC7421" w:rsidRPr="00946E69" w:rsidRDefault="002C7345" w:rsidP="002C7345">
            <w:pPr>
              <w:autoSpaceDE w:val="0"/>
              <w:autoSpaceDN w:val="0"/>
              <w:adjustRightInd w:val="0"/>
              <w:rPr>
                <w:rFonts w:cs="Arial"/>
                <w:bCs/>
                <w:szCs w:val="20"/>
              </w:rPr>
            </w:pPr>
            <w:r w:rsidRPr="00946E69">
              <w:rPr>
                <w:rFonts w:cs="Arial" w:hint="eastAsia"/>
                <w:b/>
                <w:bCs/>
                <w:szCs w:val="20"/>
              </w:rPr>
              <w:t>•</w:t>
            </w:r>
            <w:r w:rsidRPr="00946E69">
              <w:rPr>
                <w:rFonts w:cs="Arial"/>
                <w:b/>
                <w:bCs/>
                <w:szCs w:val="20"/>
              </w:rPr>
              <w:t xml:space="preserve"> </w:t>
            </w:r>
            <w:r w:rsidRPr="00946E69">
              <w:rPr>
                <w:rFonts w:cs="Arial"/>
                <w:bCs/>
                <w:szCs w:val="20"/>
              </w:rPr>
              <w:t xml:space="preserve">Heterophilic antibodies in human serum can react with reagent immunoglobulins, interfering with </w:t>
            </w:r>
            <w:r w:rsidRPr="00946E69">
              <w:rPr>
                <w:rFonts w:cs="Arial"/>
                <w:bCs/>
                <w:i/>
                <w:iCs/>
                <w:szCs w:val="20"/>
              </w:rPr>
              <w:t xml:space="preserve">in vitro </w:t>
            </w:r>
            <w:r w:rsidRPr="00946E69">
              <w:rPr>
                <w:rFonts w:cs="Arial"/>
                <w:bCs/>
                <w:szCs w:val="20"/>
              </w:rPr>
              <w:t>immunoassays. Patients routinely exposed to animals or to animal serum products can be prone to this interference, and anomalous values may be observed. Additional information may be required for diagnosis.</w:t>
            </w:r>
          </w:p>
          <w:p w14:paraId="5CD00021" w14:textId="7975255E" w:rsidR="00BD54BA" w:rsidRPr="00946E69" w:rsidRDefault="00BD54BA" w:rsidP="002C7345">
            <w:pPr>
              <w:autoSpaceDE w:val="0"/>
              <w:autoSpaceDN w:val="0"/>
              <w:adjustRightInd w:val="0"/>
              <w:rPr>
                <w:rFonts w:cs="Arial"/>
                <w:bCs/>
                <w:szCs w:val="20"/>
              </w:rPr>
            </w:pPr>
          </w:p>
        </w:tc>
      </w:tr>
      <w:tr w:rsidR="00F83DB0" w:rsidRPr="00946E69" w14:paraId="0A2A1650" w14:textId="77777777" w:rsidTr="007132A9">
        <w:trPr>
          <w:tblHeader/>
        </w:trPr>
        <w:tc>
          <w:tcPr>
            <w:tcW w:w="1800" w:type="dxa"/>
            <w:tcBorders>
              <w:top w:val="nil"/>
              <w:left w:val="nil"/>
              <w:bottom w:val="nil"/>
              <w:right w:val="nil"/>
            </w:tcBorders>
          </w:tcPr>
          <w:p w14:paraId="3CAD869B" w14:textId="2BF50329" w:rsidR="00F83DB0" w:rsidRPr="00946E69" w:rsidRDefault="00F83DB0" w:rsidP="0039587D">
            <w:pPr>
              <w:rPr>
                <w:rFonts w:cs="Arial"/>
                <w:b/>
                <w:bCs/>
                <w:color w:val="0000FF"/>
                <w:szCs w:val="20"/>
              </w:rPr>
            </w:pPr>
            <w:r w:rsidRPr="00946E69">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946E69" w14:paraId="2EDEE503" w14:textId="77777777" w:rsidTr="005C0FCC">
              <w:tc>
                <w:tcPr>
                  <w:tcW w:w="9067" w:type="dxa"/>
                  <w:gridSpan w:val="2"/>
                </w:tcPr>
                <w:p w14:paraId="04C5AF33" w14:textId="23090301" w:rsidR="00F83DB0" w:rsidRPr="00946E69" w:rsidRDefault="00BD54BA" w:rsidP="00F83DB0">
                  <w:pPr>
                    <w:pStyle w:val="Header"/>
                    <w:tabs>
                      <w:tab w:val="clear" w:pos="4320"/>
                      <w:tab w:val="clear" w:pos="8640"/>
                    </w:tabs>
                    <w:rPr>
                      <w:rFonts w:cs="Arial"/>
                      <w:szCs w:val="20"/>
                    </w:rPr>
                  </w:pPr>
                  <w:r w:rsidRPr="00946E69">
                    <w:rPr>
                      <w:rFonts w:cs="Arial"/>
                      <w:b/>
                      <w:bCs/>
                      <w:color w:val="7030A0"/>
                      <w:szCs w:val="20"/>
                    </w:rPr>
                    <w:t>Both analyzers</w:t>
                  </w:r>
                  <w:r w:rsidR="00F83DB0" w:rsidRPr="00946E69">
                    <w:rPr>
                      <w:rFonts w:cs="Arial"/>
                      <w:b/>
                      <w:bCs/>
                      <w:szCs w:val="20"/>
                    </w:rPr>
                    <w:t>:</w:t>
                  </w:r>
                  <w:r w:rsidR="00F83DB0" w:rsidRPr="00946E69">
                    <w:rPr>
                      <w:rFonts w:cs="Arial"/>
                      <w:b/>
                      <w:bCs/>
                      <w:color w:val="5F497A"/>
                      <w:szCs w:val="20"/>
                    </w:rPr>
                    <w:t xml:space="preserve"> </w:t>
                  </w:r>
                </w:p>
              </w:tc>
            </w:tr>
            <w:tr w:rsidR="00F83DB0" w:rsidRPr="00946E69" w14:paraId="1E1A8A67" w14:textId="77777777" w:rsidTr="005C0FCC">
              <w:tc>
                <w:tcPr>
                  <w:tcW w:w="1867" w:type="dxa"/>
                </w:tcPr>
                <w:p w14:paraId="38046162" w14:textId="77777777" w:rsidR="00F83DB0" w:rsidRPr="00946E69" w:rsidRDefault="00F83DB0" w:rsidP="00F83DB0">
                  <w:pPr>
                    <w:rPr>
                      <w:rFonts w:cs="Arial"/>
                      <w:szCs w:val="20"/>
                    </w:rPr>
                  </w:pPr>
                  <w:r w:rsidRPr="00946E69">
                    <w:rPr>
                      <w:rFonts w:cs="Arial"/>
                      <w:szCs w:val="20"/>
                    </w:rPr>
                    <w:t>Max Auto Dilution:</w:t>
                  </w:r>
                </w:p>
              </w:tc>
              <w:tc>
                <w:tcPr>
                  <w:tcW w:w="7200" w:type="dxa"/>
                </w:tcPr>
                <w:p w14:paraId="1B18B669" w14:textId="5F7E0EFB" w:rsidR="00F83DB0" w:rsidRPr="00946E69" w:rsidRDefault="00CA67BE" w:rsidP="00F83DB0">
                  <w:pPr>
                    <w:autoSpaceDE w:val="0"/>
                    <w:autoSpaceDN w:val="0"/>
                    <w:adjustRightInd w:val="0"/>
                    <w:rPr>
                      <w:rFonts w:cs="Arial"/>
                      <w:szCs w:val="20"/>
                    </w:rPr>
                  </w:pPr>
                  <w:r w:rsidRPr="00946E69">
                    <w:rPr>
                      <w:rFonts w:cs="Arial"/>
                      <w:szCs w:val="20"/>
                    </w:rPr>
                    <w:t>1:5</w:t>
                  </w:r>
                </w:p>
              </w:tc>
            </w:tr>
            <w:tr w:rsidR="00F83DB0" w:rsidRPr="00946E69" w14:paraId="4B91BF23" w14:textId="77777777" w:rsidTr="00A23086">
              <w:trPr>
                <w:trHeight w:val="485"/>
              </w:trPr>
              <w:tc>
                <w:tcPr>
                  <w:tcW w:w="1867" w:type="dxa"/>
                </w:tcPr>
                <w:p w14:paraId="7B3C43FE" w14:textId="77777777" w:rsidR="00F83DB0" w:rsidRPr="00946E69" w:rsidRDefault="00F83DB0" w:rsidP="00F83DB0">
                  <w:pPr>
                    <w:rPr>
                      <w:rFonts w:cs="Arial"/>
                      <w:szCs w:val="20"/>
                    </w:rPr>
                  </w:pPr>
                  <w:r w:rsidRPr="00946E69">
                    <w:rPr>
                      <w:rFonts w:cs="Arial"/>
                      <w:szCs w:val="20"/>
                    </w:rPr>
                    <w:t>Maximum Manual Dilution:</w:t>
                  </w:r>
                </w:p>
              </w:tc>
              <w:tc>
                <w:tcPr>
                  <w:tcW w:w="7200" w:type="dxa"/>
                </w:tcPr>
                <w:p w14:paraId="5209586A" w14:textId="5559DED7" w:rsidR="00CA67BE" w:rsidRPr="00946E69" w:rsidRDefault="00BD54BA" w:rsidP="00CA67BE">
                  <w:pPr>
                    <w:autoSpaceDE w:val="0"/>
                    <w:autoSpaceDN w:val="0"/>
                    <w:adjustRightInd w:val="0"/>
                    <w:rPr>
                      <w:rFonts w:cs="Arial"/>
                      <w:i/>
                      <w:sz w:val="16"/>
                      <w:szCs w:val="16"/>
                    </w:rPr>
                  </w:pPr>
                  <w:r w:rsidRPr="00946E69">
                    <w:rPr>
                      <w:rFonts w:cs="Arial"/>
                      <w:szCs w:val="20"/>
                    </w:rPr>
                    <w:t>None specified.</w:t>
                  </w:r>
                </w:p>
              </w:tc>
            </w:tr>
            <w:tr w:rsidR="00F83DB0" w:rsidRPr="00946E69" w14:paraId="51336689" w14:textId="77777777" w:rsidTr="005C0FCC">
              <w:tc>
                <w:tcPr>
                  <w:tcW w:w="1867" w:type="dxa"/>
                </w:tcPr>
                <w:p w14:paraId="315E7962" w14:textId="77777777" w:rsidR="00F83DB0" w:rsidRPr="00946E69" w:rsidRDefault="00F83DB0" w:rsidP="00F83DB0">
                  <w:pPr>
                    <w:rPr>
                      <w:rFonts w:cs="Arial"/>
                      <w:szCs w:val="20"/>
                    </w:rPr>
                  </w:pPr>
                  <w:r w:rsidRPr="00946E69">
                    <w:rPr>
                      <w:rFonts w:cs="Arial"/>
                      <w:szCs w:val="20"/>
                    </w:rPr>
                    <w:t>Diluent:</w:t>
                  </w:r>
                </w:p>
              </w:tc>
              <w:tc>
                <w:tcPr>
                  <w:tcW w:w="7200" w:type="dxa"/>
                </w:tcPr>
                <w:p w14:paraId="10636C03" w14:textId="2B51BC27" w:rsidR="00F83DB0" w:rsidRPr="00946E69" w:rsidRDefault="00BD54BA" w:rsidP="00CA67BE">
                  <w:pPr>
                    <w:autoSpaceDE w:val="0"/>
                    <w:autoSpaceDN w:val="0"/>
                    <w:adjustRightInd w:val="0"/>
                    <w:rPr>
                      <w:rFonts w:cs="Arial"/>
                      <w:szCs w:val="20"/>
                    </w:rPr>
                  </w:pPr>
                  <w:r w:rsidRPr="00946E69">
                    <w:rPr>
                      <w:rFonts w:cs="Arial"/>
                      <w:szCs w:val="20"/>
                    </w:rPr>
                    <w:t>Onboard diluent</w:t>
                  </w:r>
                </w:p>
              </w:tc>
            </w:tr>
            <w:tr w:rsidR="00F83DB0" w:rsidRPr="00946E69" w14:paraId="130A8B4A" w14:textId="77777777" w:rsidTr="008F122D">
              <w:tc>
                <w:tcPr>
                  <w:tcW w:w="1867" w:type="dxa"/>
                  <w:tcBorders>
                    <w:bottom w:val="single" w:sz="4" w:space="0" w:color="000000" w:themeColor="text1"/>
                  </w:tcBorders>
                </w:tcPr>
                <w:p w14:paraId="3BF17F7E" w14:textId="77777777" w:rsidR="00F83DB0" w:rsidRPr="00946E69" w:rsidRDefault="00F83DB0" w:rsidP="00F83DB0">
                  <w:pPr>
                    <w:rPr>
                      <w:rFonts w:cs="Arial"/>
                      <w:szCs w:val="20"/>
                    </w:rPr>
                  </w:pPr>
                  <w:r w:rsidRPr="00946E69">
                    <w:rPr>
                      <w:rFonts w:cs="Arial"/>
                      <w:szCs w:val="20"/>
                    </w:rPr>
                    <w:t>Manual Dilution:</w:t>
                  </w:r>
                </w:p>
              </w:tc>
              <w:tc>
                <w:tcPr>
                  <w:tcW w:w="7200" w:type="dxa"/>
                  <w:tcBorders>
                    <w:bottom w:val="single" w:sz="4" w:space="0" w:color="000000" w:themeColor="text1"/>
                  </w:tcBorders>
                </w:tcPr>
                <w:p w14:paraId="3AB4E9ED" w14:textId="77777777" w:rsidR="00F83DB0" w:rsidRPr="00946E69" w:rsidRDefault="00F83DB0" w:rsidP="00F83DB0">
                  <w:pPr>
                    <w:autoSpaceDE w:val="0"/>
                    <w:autoSpaceDN w:val="0"/>
                    <w:adjustRightInd w:val="0"/>
                    <w:rPr>
                      <w:rFonts w:eastAsia="HelenPro-Regular" w:cs="Arial"/>
                      <w:szCs w:val="20"/>
                    </w:rPr>
                  </w:pPr>
                  <w:r w:rsidRPr="00946E69">
                    <w:rPr>
                      <w:rFonts w:cs="Arial"/>
                      <w:szCs w:val="20"/>
                    </w:rPr>
                    <w:t xml:space="preserve">Follow Abbott </w:t>
                  </w:r>
                  <w:hyperlink r:id="rId15" w:history="1">
                    <w:r w:rsidRPr="00946E69">
                      <w:rPr>
                        <w:rStyle w:val="Hyperlink"/>
                        <w:rFonts w:cs="Arial"/>
                        <w:szCs w:val="20"/>
                      </w:rPr>
                      <w:t>Alinity Operator’s Manual</w:t>
                    </w:r>
                  </w:hyperlink>
                  <w:r w:rsidRPr="00946E69">
                    <w:rPr>
                      <w:rFonts w:cs="Arial"/>
                      <w:szCs w:val="20"/>
                    </w:rPr>
                    <w:t xml:space="preserve"> instructions for programming automated dilutions.  </w:t>
                  </w:r>
                  <w:r w:rsidRPr="00946E69">
                    <w:rPr>
                      <w:rFonts w:eastAsia="HelenPro-Regular" w:cs="Arial"/>
                      <w:szCs w:val="20"/>
                    </w:rPr>
                    <w:t xml:space="preserve">The system will automatically calculate the concentration of the sample and report the result.  </w:t>
                  </w:r>
                </w:p>
                <w:p w14:paraId="497F0B2E" w14:textId="77777777" w:rsidR="00F83DB0" w:rsidRPr="00946E69" w:rsidRDefault="00F83DB0" w:rsidP="00F83DB0">
                  <w:pPr>
                    <w:autoSpaceDE w:val="0"/>
                    <w:autoSpaceDN w:val="0"/>
                    <w:adjustRightInd w:val="0"/>
                    <w:rPr>
                      <w:rFonts w:eastAsia="HelenPro-Regular" w:cs="Arial"/>
                      <w:szCs w:val="20"/>
                    </w:rPr>
                  </w:pPr>
                </w:p>
                <w:p w14:paraId="29DCB4A3" w14:textId="5950915D" w:rsidR="00F83DB0" w:rsidRPr="00946E69" w:rsidRDefault="00F83DB0" w:rsidP="00852200">
                  <w:pPr>
                    <w:autoSpaceDE w:val="0"/>
                    <w:autoSpaceDN w:val="0"/>
                    <w:adjustRightInd w:val="0"/>
                    <w:rPr>
                      <w:rFonts w:eastAsia="HelenPro-Regular" w:cs="Arial"/>
                      <w:szCs w:val="20"/>
                    </w:rPr>
                  </w:pPr>
                  <w:r w:rsidRPr="00946E69">
                    <w:rPr>
                      <w:rFonts w:eastAsia="HelenPro-Regular" w:cs="Arial"/>
                      <w:szCs w:val="20"/>
                    </w:rPr>
                    <w:t xml:space="preserve">If a diluted sample result is less than the lower value of the measuring interval of </w:t>
                  </w:r>
                  <w:r w:rsidR="00BD54BA" w:rsidRPr="00946E69">
                    <w:rPr>
                      <w:rFonts w:eastAsia="HelenPro-Regular" w:cs="Arial"/>
                      <w:szCs w:val="20"/>
                    </w:rPr>
                    <w:t>0.0</w:t>
                  </w:r>
                  <w:r w:rsidR="00852200" w:rsidRPr="00946E69">
                    <w:rPr>
                      <w:rFonts w:eastAsia="HelenPro-Regular" w:cs="Arial"/>
                      <w:szCs w:val="20"/>
                    </w:rPr>
                    <w:t>1</w:t>
                  </w:r>
                  <w:r w:rsidRPr="00946E69">
                    <w:rPr>
                      <w:rFonts w:eastAsia="HelenPro-Regular" w:cs="Arial"/>
                      <w:szCs w:val="20"/>
                    </w:rPr>
                    <w:t>, do not report the result. Rerun and/or investigate for other possible causes of error.</w:t>
                  </w:r>
                </w:p>
              </w:tc>
            </w:tr>
            <w:tr w:rsidR="008F122D" w:rsidRPr="00946E69" w14:paraId="6CBB21AA" w14:textId="77777777" w:rsidTr="008F122D">
              <w:tc>
                <w:tcPr>
                  <w:tcW w:w="1867" w:type="dxa"/>
                  <w:tcBorders>
                    <w:left w:val="nil"/>
                    <w:right w:val="nil"/>
                  </w:tcBorders>
                </w:tcPr>
                <w:p w14:paraId="358C8530" w14:textId="77777777" w:rsidR="008F122D" w:rsidRPr="00946E69" w:rsidRDefault="008F122D" w:rsidP="00F83DB0">
                  <w:pPr>
                    <w:rPr>
                      <w:rFonts w:cs="Arial"/>
                      <w:szCs w:val="20"/>
                    </w:rPr>
                  </w:pPr>
                </w:p>
              </w:tc>
              <w:tc>
                <w:tcPr>
                  <w:tcW w:w="7200" w:type="dxa"/>
                  <w:tcBorders>
                    <w:left w:val="nil"/>
                    <w:right w:val="nil"/>
                  </w:tcBorders>
                </w:tcPr>
                <w:p w14:paraId="6ADE499E" w14:textId="77777777" w:rsidR="008F122D" w:rsidRPr="00946E69" w:rsidRDefault="008F122D" w:rsidP="00F83DB0">
                  <w:pPr>
                    <w:autoSpaceDE w:val="0"/>
                    <w:autoSpaceDN w:val="0"/>
                    <w:adjustRightInd w:val="0"/>
                    <w:rPr>
                      <w:rFonts w:cs="Arial"/>
                      <w:szCs w:val="20"/>
                    </w:rPr>
                  </w:pPr>
                </w:p>
              </w:tc>
            </w:tr>
          </w:tbl>
          <w:p w14:paraId="6811B3C2" w14:textId="77777777" w:rsidR="00F83DB0" w:rsidRPr="00946E69" w:rsidRDefault="00F83DB0" w:rsidP="00E47DE5">
            <w:pPr>
              <w:autoSpaceDE w:val="0"/>
              <w:autoSpaceDN w:val="0"/>
              <w:adjustRightInd w:val="0"/>
              <w:rPr>
                <w:rFonts w:cs="Arial"/>
                <w:bCs/>
                <w:szCs w:val="20"/>
              </w:rPr>
            </w:pPr>
          </w:p>
        </w:tc>
      </w:tr>
      <w:tr w:rsidR="00E3253B" w:rsidRPr="00946E69" w14:paraId="5CD0003D" w14:textId="77777777" w:rsidTr="007132A9">
        <w:trPr>
          <w:tblHeader/>
        </w:trPr>
        <w:tc>
          <w:tcPr>
            <w:tcW w:w="1800" w:type="dxa"/>
            <w:tcBorders>
              <w:top w:val="nil"/>
              <w:left w:val="nil"/>
              <w:bottom w:val="nil"/>
              <w:right w:val="nil"/>
            </w:tcBorders>
          </w:tcPr>
          <w:p w14:paraId="643D95AC" w14:textId="77777777" w:rsidR="00EA580E" w:rsidRPr="00946E69" w:rsidRDefault="00EA580E" w:rsidP="0039587D">
            <w:pPr>
              <w:rPr>
                <w:rFonts w:cs="Arial"/>
                <w:b/>
                <w:bCs/>
                <w:color w:val="0000FF"/>
                <w:szCs w:val="20"/>
              </w:rPr>
            </w:pPr>
          </w:p>
          <w:p w14:paraId="29A3D209" w14:textId="77777777" w:rsidR="00EA580E" w:rsidRPr="00946E69" w:rsidRDefault="00EA580E" w:rsidP="0039587D">
            <w:pPr>
              <w:rPr>
                <w:rFonts w:cs="Arial"/>
                <w:b/>
                <w:bCs/>
                <w:color w:val="0000FF"/>
                <w:szCs w:val="20"/>
              </w:rPr>
            </w:pPr>
          </w:p>
          <w:p w14:paraId="5CD00036" w14:textId="77777777" w:rsidR="00E3253B" w:rsidRPr="00946E69" w:rsidRDefault="00E3253B" w:rsidP="0039587D">
            <w:pPr>
              <w:rPr>
                <w:rFonts w:cs="Arial"/>
                <w:b/>
                <w:bCs/>
                <w:color w:val="0000FF"/>
                <w:szCs w:val="20"/>
              </w:rPr>
            </w:pPr>
            <w:r w:rsidRPr="00946E69">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366D2AFB" w:rsidR="00EA580E" w:rsidRPr="00946E69" w:rsidRDefault="00EA580E" w:rsidP="00EA580E">
            <w:pPr>
              <w:rPr>
                <w:rFonts w:cs="Arial"/>
                <w:b/>
                <w:bCs/>
                <w:color w:val="7030A0"/>
                <w:szCs w:val="20"/>
              </w:rPr>
            </w:pPr>
            <w:r w:rsidRPr="00946E69">
              <w:rPr>
                <w:rFonts w:cs="Arial"/>
                <w:b/>
                <w:bCs/>
                <w:color w:val="7030A0"/>
                <w:szCs w:val="20"/>
              </w:rPr>
              <w:t>Alinity c:</w:t>
            </w:r>
          </w:p>
          <w:p w14:paraId="7EEC7ABE" w14:textId="1E721EC0" w:rsidR="00F84C8E" w:rsidRPr="00440B58" w:rsidRDefault="00F84C8E" w:rsidP="00F84C8E">
            <w:pPr>
              <w:pStyle w:val="Header"/>
              <w:numPr>
                <w:ilvl w:val="0"/>
                <w:numId w:val="40"/>
              </w:numPr>
              <w:tabs>
                <w:tab w:val="clear" w:pos="4320"/>
                <w:tab w:val="clear" w:pos="8640"/>
              </w:tabs>
              <w:rPr>
                <w:rFonts w:cs="Arial"/>
                <w:szCs w:val="20"/>
                <w:highlight w:val="yellow"/>
              </w:rPr>
            </w:pPr>
            <w:r w:rsidRPr="00440B58">
              <w:rPr>
                <w:rFonts w:cs="Arial"/>
                <w:szCs w:val="20"/>
                <w:highlight w:val="yellow"/>
              </w:rPr>
              <w:t xml:space="preserve">Results between </w:t>
            </w:r>
            <w:r w:rsidR="008F122D" w:rsidRPr="00440B58">
              <w:rPr>
                <w:rFonts w:cs="Arial"/>
                <w:szCs w:val="20"/>
                <w:highlight w:val="yellow"/>
              </w:rPr>
              <w:t>0.0</w:t>
            </w:r>
            <w:r w:rsidR="00561549" w:rsidRPr="00440B58">
              <w:rPr>
                <w:rFonts w:cs="Arial"/>
                <w:szCs w:val="20"/>
                <w:highlight w:val="yellow"/>
              </w:rPr>
              <w:t>1</w:t>
            </w:r>
            <w:r w:rsidR="00E47DE5" w:rsidRPr="00440B58">
              <w:rPr>
                <w:rFonts w:cs="Arial"/>
                <w:szCs w:val="20"/>
                <w:highlight w:val="yellow"/>
              </w:rPr>
              <w:t xml:space="preserve"> </w:t>
            </w:r>
            <w:r w:rsidRPr="00440B58">
              <w:rPr>
                <w:rFonts w:cs="Arial"/>
                <w:szCs w:val="20"/>
                <w:highlight w:val="yellow"/>
              </w:rPr>
              <w:t xml:space="preserve">and </w:t>
            </w:r>
            <w:r w:rsidR="008F122D" w:rsidRPr="00440B58">
              <w:rPr>
                <w:rFonts w:cs="Arial"/>
                <w:szCs w:val="20"/>
                <w:highlight w:val="yellow"/>
              </w:rPr>
              <w:t>100.00</w:t>
            </w:r>
            <w:r w:rsidR="00E47DE5" w:rsidRPr="00440B58">
              <w:rPr>
                <w:rFonts w:cs="Arial"/>
                <w:szCs w:val="20"/>
                <w:highlight w:val="yellow"/>
              </w:rPr>
              <w:t xml:space="preserve"> </w:t>
            </w:r>
            <w:r w:rsidRPr="00440B58">
              <w:rPr>
                <w:rFonts w:cs="Arial"/>
                <w:szCs w:val="20"/>
                <w:highlight w:val="yellow"/>
              </w:rPr>
              <w:t>without error messages are released</w:t>
            </w:r>
          </w:p>
          <w:p w14:paraId="512DB6C5" w14:textId="177141B5" w:rsidR="00F84C8E" w:rsidRPr="00440B58" w:rsidRDefault="008F122D" w:rsidP="008F122D">
            <w:pPr>
              <w:numPr>
                <w:ilvl w:val="0"/>
                <w:numId w:val="40"/>
              </w:numPr>
              <w:rPr>
                <w:rFonts w:cs="Arial"/>
                <w:szCs w:val="20"/>
                <w:highlight w:val="yellow"/>
              </w:rPr>
            </w:pPr>
            <w:r w:rsidRPr="00440B58">
              <w:rPr>
                <w:rFonts w:cs="Arial"/>
                <w:szCs w:val="20"/>
                <w:highlight w:val="yellow"/>
              </w:rPr>
              <w:t>Results below 0.0</w:t>
            </w:r>
            <w:r w:rsidR="00561549" w:rsidRPr="00440B58">
              <w:rPr>
                <w:rFonts w:cs="Arial"/>
                <w:szCs w:val="20"/>
                <w:highlight w:val="yellow"/>
              </w:rPr>
              <w:t>1</w:t>
            </w:r>
            <w:r w:rsidR="00E47DE5" w:rsidRPr="00440B58">
              <w:rPr>
                <w:rFonts w:cs="Arial"/>
                <w:szCs w:val="20"/>
                <w:highlight w:val="yellow"/>
              </w:rPr>
              <w:t xml:space="preserve"> </w:t>
            </w:r>
            <w:r w:rsidR="00F84C8E" w:rsidRPr="00440B58">
              <w:rPr>
                <w:rFonts w:cs="Arial"/>
                <w:szCs w:val="20"/>
                <w:highlight w:val="yellow"/>
              </w:rPr>
              <w:t xml:space="preserve">without error messages are reported as &lt; </w:t>
            </w:r>
            <w:r w:rsidRPr="00440B58">
              <w:rPr>
                <w:rFonts w:cs="Arial"/>
                <w:szCs w:val="20"/>
                <w:highlight w:val="yellow"/>
              </w:rPr>
              <w:t>0.0</w:t>
            </w:r>
            <w:r w:rsidR="00561549" w:rsidRPr="00440B58">
              <w:rPr>
                <w:rFonts w:cs="Arial"/>
                <w:szCs w:val="20"/>
                <w:highlight w:val="yellow"/>
              </w:rPr>
              <w:t>1</w:t>
            </w:r>
            <w:r w:rsidRPr="00440B58">
              <w:rPr>
                <w:rFonts w:cs="Arial"/>
                <w:szCs w:val="20"/>
                <w:highlight w:val="yellow"/>
              </w:rPr>
              <w:t xml:space="preserve"> µIU/mL</w:t>
            </w:r>
          </w:p>
          <w:p w14:paraId="61C98532" w14:textId="60946933" w:rsidR="00F84C8E" w:rsidRPr="00946E69" w:rsidRDefault="00F84C8E" w:rsidP="00F84C8E">
            <w:pPr>
              <w:numPr>
                <w:ilvl w:val="0"/>
                <w:numId w:val="40"/>
              </w:numPr>
              <w:rPr>
                <w:rFonts w:cs="Arial"/>
                <w:szCs w:val="20"/>
              </w:rPr>
            </w:pPr>
            <w:r w:rsidRPr="00946E69">
              <w:rPr>
                <w:rFonts w:cs="Arial"/>
                <w:szCs w:val="20"/>
              </w:rPr>
              <w:t>Results &gt;</w:t>
            </w:r>
            <w:r w:rsidR="008F122D" w:rsidRPr="00946E69">
              <w:rPr>
                <w:rFonts w:cs="Arial"/>
                <w:szCs w:val="20"/>
              </w:rPr>
              <w:t xml:space="preserve"> 100.0000</w:t>
            </w:r>
            <w:r w:rsidR="00E47DE5" w:rsidRPr="00946E69">
              <w:rPr>
                <w:rFonts w:cs="Arial"/>
                <w:szCs w:val="20"/>
              </w:rPr>
              <w:t xml:space="preserve"> </w:t>
            </w:r>
            <w:r w:rsidRPr="00946E69">
              <w:rPr>
                <w:rFonts w:cs="Arial"/>
                <w:szCs w:val="20"/>
              </w:rPr>
              <w:t xml:space="preserve">should be diluted using the onboard automated </w:t>
            </w:r>
            <w:r w:rsidR="008F122D" w:rsidRPr="00946E69">
              <w:rPr>
                <w:rFonts w:cs="Arial"/>
                <w:szCs w:val="20"/>
              </w:rPr>
              <w:t>1:5 dilution</w:t>
            </w:r>
            <w:r w:rsidRPr="00946E69">
              <w:rPr>
                <w:rFonts w:cs="Arial"/>
                <w:szCs w:val="20"/>
              </w:rPr>
              <w:t>.  Release results without error messages following this dilution.</w:t>
            </w:r>
          </w:p>
          <w:p w14:paraId="1516BBCC" w14:textId="392D6231" w:rsidR="00EA580E" w:rsidRPr="00946E69" w:rsidRDefault="00F84C8E" w:rsidP="008F122D">
            <w:pPr>
              <w:numPr>
                <w:ilvl w:val="0"/>
                <w:numId w:val="40"/>
              </w:numPr>
              <w:rPr>
                <w:rFonts w:cs="Arial"/>
                <w:szCs w:val="20"/>
              </w:rPr>
            </w:pPr>
            <w:r w:rsidRPr="00946E69">
              <w:rPr>
                <w:rFonts w:cs="Arial"/>
                <w:szCs w:val="20"/>
              </w:rPr>
              <w:t xml:space="preserve">Results &gt; </w:t>
            </w:r>
            <w:r w:rsidR="008F122D" w:rsidRPr="00946E69">
              <w:rPr>
                <w:rFonts w:cs="Arial"/>
                <w:szCs w:val="20"/>
              </w:rPr>
              <w:t>500.0000</w:t>
            </w:r>
            <w:r w:rsidR="00E47DE5" w:rsidRPr="00946E69">
              <w:rPr>
                <w:rFonts w:cs="Arial"/>
                <w:szCs w:val="20"/>
              </w:rPr>
              <w:t xml:space="preserve"> </w:t>
            </w:r>
            <w:r w:rsidRPr="00946E69">
              <w:rPr>
                <w:rFonts w:cs="Arial"/>
                <w:szCs w:val="20"/>
              </w:rPr>
              <w:t xml:space="preserve">following automated dilution are reported as &gt; </w:t>
            </w:r>
            <w:r w:rsidR="008F122D" w:rsidRPr="00946E69">
              <w:rPr>
                <w:rFonts w:cs="Arial"/>
                <w:szCs w:val="20"/>
              </w:rPr>
              <w:t>500.0000 µIU/mL</w:t>
            </w:r>
          </w:p>
          <w:p w14:paraId="5CD0003C" w14:textId="77777777" w:rsidR="00F83DB0" w:rsidRPr="00946E69" w:rsidRDefault="00F83DB0" w:rsidP="008F122D">
            <w:pPr>
              <w:ind w:left="360"/>
              <w:rPr>
                <w:rFonts w:cs="Arial"/>
                <w:szCs w:val="20"/>
              </w:rPr>
            </w:pPr>
          </w:p>
        </w:tc>
      </w:tr>
      <w:tr w:rsidR="00E3253B" w:rsidRPr="00946E69" w14:paraId="5CD00040" w14:textId="77777777" w:rsidTr="007132A9">
        <w:trPr>
          <w:trHeight w:val="738"/>
          <w:tblHeader/>
        </w:trPr>
        <w:tc>
          <w:tcPr>
            <w:tcW w:w="1800" w:type="dxa"/>
            <w:tcBorders>
              <w:top w:val="nil"/>
              <w:left w:val="nil"/>
              <w:bottom w:val="nil"/>
              <w:right w:val="nil"/>
            </w:tcBorders>
          </w:tcPr>
          <w:p w14:paraId="5CD0003E" w14:textId="242F4812" w:rsidR="00E3253B" w:rsidRPr="00946E69" w:rsidRDefault="00E3253B" w:rsidP="0039587D">
            <w:pPr>
              <w:rPr>
                <w:rFonts w:cs="Arial"/>
                <w:b/>
                <w:bCs/>
                <w:color w:val="0000FF"/>
                <w:szCs w:val="20"/>
              </w:rPr>
            </w:pPr>
            <w:r w:rsidRPr="00946E69">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41464C83" w:rsidR="00E3253B" w:rsidRPr="00946E69" w:rsidRDefault="00E3253B">
            <w:pPr>
              <w:pStyle w:val="Header"/>
              <w:tabs>
                <w:tab w:val="clear" w:pos="4320"/>
                <w:tab w:val="clear" w:pos="8640"/>
              </w:tabs>
              <w:rPr>
                <w:rFonts w:cs="Arial"/>
                <w:szCs w:val="20"/>
              </w:rPr>
            </w:pPr>
            <w:r w:rsidRPr="00946E69">
              <w:rPr>
                <w:rFonts w:cs="Arial"/>
                <w:szCs w:val="20"/>
              </w:rPr>
              <w:t>Promptly stopper tested specimen and stor</w:t>
            </w:r>
            <w:r w:rsidR="00DC24D6" w:rsidRPr="00946E69">
              <w:rPr>
                <w:rFonts w:cs="Arial"/>
                <w:szCs w:val="20"/>
              </w:rPr>
              <w:t>e upright in a specimen rack</w:t>
            </w:r>
            <w:r w:rsidRPr="00946E69">
              <w:rPr>
                <w:rFonts w:cs="Arial"/>
                <w:szCs w:val="20"/>
              </w:rPr>
              <w:t>.</w:t>
            </w:r>
            <w:r w:rsidR="00250A09" w:rsidRPr="00946E69">
              <w:rPr>
                <w:rFonts w:cs="Arial"/>
                <w:szCs w:val="20"/>
              </w:rPr>
              <w:t xml:space="preserve"> </w:t>
            </w:r>
            <w:r w:rsidRPr="00946E69">
              <w:rPr>
                <w:rFonts w:cs="Arial"/>
                <w:szCs w:val="20"/>
              </w:rPr>
              <w:t xml:space="preserve"> Every 8 hours </w:t>
            </w:r>
            <w:r w:rsidR="00D271B1" w:rsidRPr="00946E69">
              <w:rPr>
                <w:rFonts w:cs="Arial"/>
                <w:szCs w:val="20"/>
              </w:rPr>
              <w:t>remove specimens to refrigerator</w:t>
            </w:r>
            <w:r w:rsidRPr="00946E69">
              <w:rPr>
                <w:rFonts w:cs="Arial"/>
                <w:szCs w:val="20"/>
              </w:rPr>
              <w:t>/freezer storage.</w:t>
            </w:r>
            <w:r w:rsidR="00250A09" w:rsidRPr="00946E69">
              <w:rPr>
                <w:rFonts w:cs="Arial"/>
                <w:szCs w:val="20"/>
              </w:rPr>
              <w:t xml:space="preserve"> </w:t>
            </w:r>
            <w:r w:rsidR="00BD54BA" w:rsidRPr="00946E69">
              <w:rPr>
                <w:rFonts w:cs="Arial"/>
                <w:szCs w:val="20"/>
              </w:rPr>
              <w:t xml:space="preserve"> Samples are retained 14</w:t>
            </w:r>
            <w:r w:rsidRPr="00946E69">
              <w:rPr>
                <w:rFonts w:cs="Arial"/>
                <w:szCs w:val="20"/>
              </w:rPr>
              <w:t xml:space="preserve"> d</w:t>
            </w:r>
            <w:r w:rsidR="00DC7421" w:rsidRPr="00946E69">
              <w:rPr>
                <w:rFonts w:cs="Arial"/>
                <w:szCs w:val="20"/>
              </w:rPr>
              <w:t>ays in specimen storage freezer.</w:t>
            </w:r>
          </w:p>
        </w:tc>
      </w:tr>
      <w:tr w:rsidR="00E3253B" w:rsidRPr="00946E69" w14:paraId="5CD00047" w14:textId="77777777" w:rsidTr="007132A9">
        <w:trPr>
          <w:tblHeader/>
        </w:trPr>
        <w:tc>
          <w:tcPr>
            <w:tcW w:w="1800" w:type="dxa"/>
            <w:tcBorders>
              <w:top w:val="nil"/>
              <w:left w:val="nil"/>
              <w:bottom w:val="nil"/>
              <w:right w:val="nil"/>
            </w:tcBorders>
          </w:tcPr>
          <w:p w14:paraId="5CD00041" w14:textId="77777777" w:rsidR="00E3253B" w:rsidRPr="00946E69" w:rsidRDefault="00E3253B">
            <w:pPr>
              <w:ind w:left="-108" w:right="-108"/>
              <w:rPr>
                <w:rFonts w:cs="Arial"/>
                <w:b/>
                <w:bCs/>
                <w:color w:val="0000FF"/>
                <w:szCs w:val="20"/>
              </w:rPr>
            </w:pPr>
            <w:r w:rsidRPr="00946E69">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84F8DC7" w14:textId="77777777" w:rsidR="00E3253B" w:rsidRPr="00946E69" w:rsidRDefault="008F122D" w:rsidP="00B415C8">
            <w:pPr>
              <w:numPr>
                <w:ilvl w:val="0"/>
                <w:numId w:val="33"/>
              </w:numPr>
              <w:rPr>
                <w:rFonts w:cs="Arial"/>
                <w:szCs w:val="20"/>
              </w:rPr>
            </w:pPr>
            <w:r w:rsidRPr="00946E69">
              <w:rPr>
                <w:rFonts w:cs="Arial"/>
                <w:szCs w:val="20"/>
              </w:rPr>
              <w:t xml:space="preserve">Abbott Alinity I TSH Reagent Instructions for Use, </w:t>
            </w:r>
            <w:r w:rsidR="0000237D" w:rsidRPr="00946E69">
              <w:rPr>
                <w:rFonts w:cs="Arial"/>
                <w:szCs w:val="20"/>
              </w:rPr>
              <w:t>Abbott Diagnostics Division, Abbott Park, IL USA.  Revised February 2018</w:t>
            </w:r>
          </w:p>
          <w:p w14:paraId="3F7612FC" w14:textId="42FD823E" w:rsidR="0000237D" w:rsidRPr="00946E69" w:rsidRDefault="0000237D" w:rsidP="0000237D">
            <w:pPr>
              <w:pStyle w:val="ListParagraph"/>
              <w:numPr>
                <w:ilvl w:val="0"/>
                <w:numId w:val="33"/>
              </w:numPr>
              <w:rPr>
                <w:rFonts w:cs="Arial"/>
                <w:szCs w:val="20"/>
              </w:rPr>
            </w:pPr>
            <w:r w:rsidRPr="00946E69">
              <w:rPr>
                <w:rFonts w:cs="Arial"/>
                <w:szCs w:val="20"/>
              </w:rPr>
              <w:t>Abbott Alinity I TSH Calibrator Kit Package Insert, Abbott Diagnostics Division, Abbott Park, IL USA.  Revised December 2017</w:t>
            </w:r>
          </w:p>
          <w:p w14:paraId="349B7F7B" w14:textId="7B57C965" w:rsidR="0000237D" w:rsidRPr="00946E69" w:rsidRDefault="0000237D" w:rsidP="0000237D">
            <w:pPr>
              <w:pStyle w:val="ListParagraph"/>
              <w:numPr>
                <w:ilvl w:val="0"/>
                <w:numId w:val="33"/>
              </w:numPr>
              <w:rPr>
                <w:rFonts w:cs="Arial"/>
                <w:szCs w:val="20"/>
              </w:rPr>
            </w:pPr>
            <w:r w:rsidRPr="00946E69">
              <w:rPr>
                <w:rFonts w:cs="Arial"/>
                <w:szCs w:val="20"/>
              </w:rPr>
              <w:t>Abbott Architect TSH Reagent Instructions for Use, Abbott Diagnostics Division, Abbott Park, IL USA.  Revised November 2015</w:t>
            </w:r>
          </w:p>
          <w:p w14:paraId="2EFFB106" w14:textId="3D780887" w:rsidR="0000237D" w:rsidRPr="00946E69" w:rsidRDefault="0000237D" w:rsidP="0000237D">
            <w:pPr>
              <w:pStyle w:val="ListParagraph"/>
              <w:numPr>
                <w:ilvl w:val="0"/>
                <w:numId w:val="33"/>
              </w:numPr>
              <w:rPr>
                <w:rFonts w:cs="Arial"/>
                <w:szCs w:val="20"/>
              </w:rPr>
            </w:pPr>
            <w:r w:rsidRPr="00946E69">
              <w:rPr>
                <w:rFonts w:cs="Arial"/>
                <w:szCs w:val="20"/>
              </w:rPr>
              <w:t>Abbott Architect TSH Calibrator Kit Package Insert, Abbott Diagnostics Division, Abbott Park, IL USA.  Revised November 2015</w:t>
            </w:r>
          </w:p>
          <w:p w14:paraId="40EBE4E8" w14:textId="77777777" w:rsidR="0000237D" w:rsidRPr="00946E69" w:rsidRDefault="00440B58" w:rsidP="00B415C8">
            <w:pPr>
              <w:numPr>
                <w:ilvl w:val="0"/>
                <w:numId w:val="33"/>
              </w:numPr>
              <w:rPr>
                <w:rFonts w:cs="Arial"/>
                <w:szCs w:val="20"/>
              </w:rPr>
            </w:pPr>
            <w:hyperlink r:id="rId16" w:anchor="/login;next=search;queryParams=%7B%7D" w:history="1">
              <w:r w:rsidR="0000237D" w:rsidRPr="00946E69">
                <w:rPr>
                  <w:rStyle w:val="Hyperlink"/>
                  <w:rFonts w:cs="Arial"/>
                  <w:szCs w:val="20"/>
                </w:rPr>
                <w:t>CALIPER Reference Interval Studies</w:t>
              </w:r>
            </w:hyperlink>
            <w:r w:rsidR="0000237D" w:rsidRPr="00946E69">
              <w:rPr>
                <w:rFonts w:cs="Arial"/>
                <w:szCs w:val="20"/>
              </w:rPr>
              <w:t>, accessed 10/27/2020.</w:t>
            </w:r>
          </w:p>
          <w:p w14:paraId="3C00344B" w14:textId="49ADDCBF" w:rsidR="00D16F80" w:rsidRPr="00946E69" w:rsidRDefault="00D16F80" w:rsidP="00B415C8">
            <w:pPr>
              <w:numPr>
                <w:ilvl w:val="0"/>
                <w:numId w:val="33"/>
              </w:numPr>
              <w:rPr>
                <w:rFonts w:cs="Arial"/>
                <w:szCs w:val="20"/>
              </w:rPr>
            </w:pPr>
            <w:proofErr w:type="spellStart"/>
            <w:r w:rsidRPr="00946E69">
              <w:rPr>
                <w:rFonts w:cs="Arial"/>
                <w:szCs w:val="20"/>
              </w:rPr>
              <w:t>BioRad</w:t>
            </w:r>
            <w:proofErr w:type="spellEnd"/>
            <w:r w:rsidRPr="00946E69">
              <w:rPr>
                <w:rFonts w:cs="Arial"/>
                <w:szCs w:val="20"/>
              </w:rPr>
              <w:t xml:space="preserve"> </w:t>
            </w:r>
            <w:proofErr w:type="spellStart"/>
            <w:r w:rsidRPr="00946E69">
              <w:rPr>
                <w:rFonts w:cs="Arial"/>
                <w:szCs w:val="20"/>
              </w:rPr>
              <w:t>Liquichek</w:t>
            </w:r>
            <w:proofErr w:type="spellEnd"/>
            <w:r w:rsidRPr="00946E69">
              <w:rPr>
                <w:rFonts w:cs="Arial"/>
                <w:szCs w:val="20"/>
              </w:rPr>
              <w:t xml:space="preserve"> Immunoassay Plus Quality Control Package Insert, </w:t>
            </w:r>
            <w:proofErr w:type="spellStart"/>
            <w:r w:rsidRPr="00946E69">
              <w:rPr>
                <w:rFonts w:cs="Arial"/>
                <w:szCs w:val="20"/>
              </w:rPr>
              <w:t>BioRad</w:t>
            </w:r>
            <w:proofErr w:type="spellEnd"/>
            <w:r w:rsidRPr="00946E69">
              <w:rPr>
                <w:rFonts w:cs="Arial"/>
                <w:szCs w:val="20"/>
              </w:rPr>
              <w:t xml:space="preserve"> Laboratories, Irvine, CA.  Revised </w:t>
            </w:r>
            <w:r w:rsidR="00276256" w:rsidRPr="00946E69">
              <w:rPr>
                <w:rFonts w:cs="Arial"/>
                <w:szCs w:val="20"/>
              </w:rPr>
              <w:t>April 2020</w:t>
            </w:r>
          </w:p>
          <w:p w14:paraId="5CD00046" w14:textId="5EA8F290" w:rsidR="0000237D" w:rsidRPr="00946E69" w:rsidRDefault="0000237D" w:rsidP="0000237D">
            <w:pPr>
              <w:ind w:left="360"/>
              <w:rPr>
                <w:rFonts w:cs="Arial"/>
                <w:szCs w:val="20"/>
              </w:rPr>
            </w:pPr>
          </w:p>
        </w:tc>
      </w:tr>
      <w:tr w:rsidR="00F50200" w:rsidRPr="00946E69"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6EFEBE2B" w:rsidR="00F50200" w:rsidRPr="00946E69" w:rsidRDefault="00F50200">
            <w:pPr>
              <w:rPr>
                <w:rFonts w:cs="Arial"/>
                <w:b/>
                <w:bCs/>
                <w:color w:val="3366FF"/>
                <w:szCs w:val="20"/>
              </w:rPr>
            </w:pPr>
            <w:r w:rsidRPr="00946E69">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946E69" w:rsidRDefault="00F50200">
            <w:pPr>
              <w:rPr>
                <w:rFonts w:cs="Arial"/>
                <w:b/>
                <w:bCs/>
                <w:szCs w:val="20"/>
              </w:rPr>
            </w:pPr>
            <w:r w:rsidRPr="00946E69">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946E69" w:rsidRDefault="00F50200">
            <w:pPr>
              <w:rPr>
                <w:rFonts w:cs="Arial"/>
                <w:b/>
                <w:bCs/>
                <w:iCs/>
                <w:szCs w:val="20"/>
              </w:rPr>
            </w:pPr>
            <w:r w:rsidRPr="00946E69">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946E69" w:rsidRDefault="00F50200">
            <w:pPr>
              <w:rPr>
                <w:rFonts w:cs="Arial"/>
                <w:b/>
                <w:bCs/>
                <w:iCs/>
                <w:szCs w:val="20"/>
              </w:rPr>
            </w:pPr>
            <w:r w:rsidRPr="00946E69">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946E69" w:rsidRDefault="00F50200">
            <w:pPr>
              <w:rPr>
                <w:rFonts w:cs="Arial"/>
                <w:b/>
                <w:bCs/>
                <w:iCs/>
                <w:szCs w:val="20"/>
              </w:rPr>
            </w:pPr>
            <w:r w:rsidRPr="00946E69">
              <w:rPr>
                <w:rFonts w:cs="Arial"/>
                <w:b/>
                <w:bCs/>
                <w:iCs/>
                <w:szCs w:val="20"/>
              </w:rPr>
              <w:t>Summary of Revisions</w:t>
            </w:r>
          </w:p>
        </w:tc>
      </w:tr>
      <w:tr w:rsidR="00F50200" w:rsidRPr="00946E69"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Pr="00946E69"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40F2266A" w:rsidR="00F50200" w:rsidRPr="00946E69"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00F09FE5" w:rsidR="00F50200" w:rsidRPr="00946E69" w:rsidRDefault="00CA67BE">
            <w:pPr>
              <w:rPr>
                <w:rFonts w:cs="Arial"/>
                <w:iCs/>
                <w:szCs w:val="20"/>
              </w:rPr>
            </w:pPr>
            <w:proofErr w:type="spellStart"/>
            <w:r w:rsidRPr="00946E69">
              <w:rPr>
                <w:rFonts w:cs="Arial"/>
                <w:iCs/>
                <w:szCs w:val="20"/>
              </w:rPr>
              <w:t>Elauteria</w:t>
            </w:r>
            <w:proofErr w:type="spellEnd"/>
            <w:r w:rsidRPr="00946E69">
              <w:rPr>
                <w:rFonts w:cs="Arial"/>
                <w:iCs/>
                <w:szCs w:val="20"/>
              </w:rPr>
              <w:t xml:space="preserve"> Earnhardt</w:t>
            </w:r>
          </w:p>
        </w:tc>
        <w:tc>
          <w:tcPr>
            <w:tcW w:w="1530" w:type="dxa"/>
            <w:tcBorders>
              <w:top w:val="single" w:sz="4" w:space="0" w:color="auto"/>
              <w:left w:val="single" w:sz="4" w:space="0" w:color="auto"/>
              <w:bottom w:val="single" w:sz="4" w:space="0" w:color="auto"/>
              <w:right w:val="single" w:sz="4" w:space="0" w:color="auto"/>
            </w:tcBorders>
          </w:tcPr>
          <w:p w14:paraId="5CD00051" w14:textId="3158B321" w:rsidR="00F50200" w:rsidRPr="00946E69"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946E69" w:rsidRDefault="00824C10">
            <w:pPr>
              <w:rPr>
                <w:rFonts w:cs="Arial"/>
                <w:iCs/>
                <w:szCs w:val="20"/>
              </w:rPr>
            </w:pPr>
            <w:r w:rsidRPr="00946E69">
              <w:rPr>
                <w:rFonts w:cs="Arial"/>
                <w:iCs/>
                <w:szCs w:val="20"/>
              </w:rPr>
              <w:t>New Procedure for Abbott analyzers</w:t>
            </w:r>
          </w:p>
        </w:tc>
      </w:tr>
      <w:tr w:rsidR="00F50200" w:rsidRPr="00946E69"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Pr="00946E69"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5749E25F" w:rsidR="00F50200" w:rsidRPr="00946E69" w:rsidRDefault="00BD54BA">
            <w:pPr>
              <w:rPr>
                <w:rFonts w:cs="Arial"/>
                <w:iCs/>
                <w:szCs w:val="20"/>
              </w:rPr>
            </w:pPr>
            <w:r w:rsidRPr="00946E69">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487E494D" w:rsidR="00F50200" w:rsidRPr="00946E69" w:rsidRDefault="00BD54BA">
            <w:pPr>
              <w:rPr>
                <w:rFonts w:cs="Arial"/>
                <w:iCs/>
                <w:szCs w:val="20"/>
              </w:rPr>
            </w:pPr>
            <w:r w:rsidRPr="00946E69">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FCEF34E" w:rsidR="00F50200" w:rsidRPr="00946E69" w:rsidRDefault="00BD54BA">
            <w:pPr>
              <w:rPr>
                <w:rFonts w:cs="Arial"/>
                <w:iCs/>
                <w:szCs w:val="20"/>
              </w:rPr>
            </w:pPr>
            <w:r w:rsidRPr="00946E69">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476A974F" w:rsidR="00F50200" w:rsidRPr="00946E69" w:rsidRDefault="00BD54BA">
            <w:pPr>
              <w:rPr>
                <w:rFonts w:cs="Arial"/>
                <w:iCs/>
                <w:szCs w:val="20"/>
              </w:rPr>
            </w:pPr>
            <w:r w:rsidRPr="00946E69">
              <w:rPr>
                <w:rFonts w:cs="Arial"/>
                <w:iCs/>
                <w:szCs w:val="20"/>
              </w:rPr>
              <w:t>Added all Architect information, reference intervals, reference</w:t>
            </w:r>
            <w:r w:rsidR="008F122D" w:rsidRPr="00946E69">
              <w:rPr>
                <w:rFonts w:cs="Arial"/>
                <w:iCs/>
                <w:szCs w:val="20"/>
              </w:rPr>
              <w:t>s, result reporting, dilutions,</w:t>
            </w:r>
            <w:r w:rsidR="0000237D" w:rsidRPr="00946E69">
              <w:rPr>
                <w:rFonts w:cs="Arial"/>
                <w:iCs/>
                <w:szCs w:val="20"/>
              </w:rPr>
              <w:t xml:space="preserve"> qc material, </w:t>
            </w:r>
            <w:proofErr w:type="spellStart"/>
            <w:r w:rsidR="0000237D" w:rsidRPr="00946E69">
              <w:rPr>
                <w:rFonts w:cs="Arial"/>
                <w:iCs/>
                <w:szCs w:val="20"/>
              </w:rPr>
              <w:t>etc</w:t>
            </w:r>
            <w:proofErr w:type="spellEnd"/>
            <w:r w:rsidR="0000237D" w:rsidRPr="00946E69">
              <w:rPr>
                <w:rFonts w:cs="Arial"/>
                <w:iCs/>
                <w:szCs w:val="20"/>
              </w:rPr>
              <w:t xml:space="preserve"> for new testing on Alinity and Architect</w:t>
            </w:r>
            <w:r w:rsidR="008F122D" w:rsidRPr="00946E69">
              <w:rPr>
                <w:rFonts w:cs="Arial"/>
                <w:iCs/>
                <w:szCs w:val="20"/>
              </w:rPr>
              <w:t xml:space="preserve"> </w:t>
            </w:r>
          </w:p>
        </w:tc>
      </w:tr>
      <w:tr w:rsidR="00DB689C" w:rsidRPr="00946E69" w14:paraId="70F4CDAA"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44B50F5A" w14:textId="77777777" w:rsidR="00DB689C" w:rsidRPr="00946E69" w:rsidRDefault="00DB689C">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711AC4E3" w14:textId="7A82F0A2" w:rsidR="00DB689C" w:rsidRPr="00946E69" w:rsidRDefault="00DB689C">
            <w:pPr>
              <w:rPr>
                <w:rFonts w:cs="Arial"/>
                <w:iCs/>
                <w:szCs w:val="20"/>
              </w:rPr>
            </w:pPr>
            <w:r w:rsidRPr="00946E69">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2B002676" w14:textId="0C567D0D" w:rsidR="00DB689C" w:rsidRPr="00946E69" w:rsidRDefault="00DB689C">
            <w:pPr>
              <w:rPr>
                <w:rFonts w:cs="Arial"/>
                <w:iCs/>
                <w:szCs w:val="20"/>
              </w:rPr>
            </w:pPr>
            <w:r w:rsidRPr="00946E69">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3FD04938" w14:textId="6D081B7C" w:rsidR="00DB689C" w:rsidRPr="00946E69" w:rsidRDefault="00DB689C">
            <w:pPr>
              <w:rPr>
                <w:rFonts w:cs="Arial"/>
                <w:iCs/>
                <w:szCs w:val="20"/>
              </w:rPr>
            </w:pPr>
            <w:r w:rsidRPr="00946E69">
              <w:rPr>
                <w:rFonts w:cs="Arial"/>
                <w:iCs/>
                <w:szCs w:val="20"/>
              </w:rPr>
              <w:t>January 26, 2021</w:t>
            </w:r>
          </w:p>
        </w:tc>
        <w:tc>
          <w:tcPr>
            <w:tcW w:w="4410" w:type="dxa"/>
            <w:tcBorders>
              <w:top w:val="single" w:sz="4" w:space="0" w:color="auto"/>
              <w:left w:val="single" w:sz="4" w:space="0" w:color="auto"/>
              <w:bottom w:val="single" w:sz="4" w:space="0" w:color="auto"/>
              <w:right w:val="single" w:sz="4" w:space="0" w:color="auto"/>
            </w:tcBorders>
          </w:tcPr>
          <w:p w14:paraId="3495C6B5" w14:textId="6B1353FD" w:rsidR="00DB689C" w:rsidRPr="00946E69" w:rsidRDefault="00DB689C">
            <w:pPr>
              <w:rPr>
                <w:rFonts w:cs="Arial"/>
                <w:iCs/>
                <w:szCs w:val="20"/>
              </w:rPr>
            </w:pPr>
            <w:r w:rsidRPr="00946E69">
              <w:rPr>
                <w:rFonts w:cs="Arial"/>
                <w:iCs/>
                <w:szCs w:val="20"/>
              </w:rPr>
              <w:t>Added newborn reference range after consultation with Endocrine dept.</w:t>
            </w:r>
          </w:p>
        </w:tc>
      </w:tr>
      <w:tr w:rsidR="0005168C" w:rsidRPr="00946E69" w14:paraId="3DD5CB51"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57536976" w14:textId="77777777" w:rsidR="0005168C" w:rsidRPr="00946E69" w:rsidRDefault="0005168C">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3601CA1B" w14:textId="4DE5BF1D" w:rsidR="0005168C" w:rsidRPr="00946E69" w:rsidRDefault="0005168C">
            <w:pPr>
              <w:rPr>
                <w:rFonts w:cs="Arial"/>
                <w:iCs/>
                <w:szCs w:val="20"/>
              </w:rPr>
            </w:pPr>
            <w:r w:rsidRPr="00946E69">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7DB33968" w14:textId="2E026D3D" w:rsidR="0005168C" w:rsidRPr="00946E69" w:rsidRDefault="0005168C">
            <w:pPr>
              <w:rPr>
                <w:rFonts w:cs="Arial"/>
                <w:iCs/>
                <w:szCs w:val="20"/>
              </w:rPr>
            </w:pPr>
            <w:r w:rsidRPr="00946E69">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5FAE558C" w14:textId="2E2596B3" w:rsidR="0005168C" w:rsidRPr="00946E69" w:rsidRDefault="0005168C">
            <w:pPr>
              <w:rPr>
                <w:rFonts w:cs="Arial"/>
                <w:iCs/>
                <w:szCs w:val="20"/>
              </w:rPr>
            </w:pPr>
            <w:r w:rsidRPr="00946E69">
              <w:rPr>
                <w:rFonts w:cs="Arial"/>
                <w:iCs/>
                <w:szCs w:val="20"/>
              </w:rPr>
              <w:t>9/17/2021</w:t>
            </w:r>
          </w:p>
        </w:tc>
        <w:tc>
          <w:tcPr>
            <w:tcW w:w="4410" w:type="dxa"/>
            <w:tcBorders>
              <w:top w:val="single" w:sz="4" w:space="0" w:color="auto"/>
              <w:left w:val="single" w:sz="4" w:space="0" w:color="auto"/>
              <w:bottom w:val="single" w:sz="4" w:space="0" w:color="auto"/>
              <w:right w:val="single" w:sz="4" w:space="0" w:color="auto"/>
            </w:tcBorders>
          </w:tcPr>
          <w:p w14:paraId="3E14C4FC" w14:textId="4F7A6393" w:rsidR="0005168C" w:rsidRPr="00946E69" w:rsidRDefault="0005168C">
            <w:pPr>
              <w:rPr>
                <w:rFonts w:cs="Arial"/>
                <w:iCs/>
                <w:szCs w:val="20"/>
              </w:rPr>
            </w:pPr>
            <w:r w:rsidRPr="00946E69">
              <w:rPr>
                <w:rFonts w:cs="Arial"/>
                <w:iCs/>
                <w:szCs w:val="20"/>
              </w:rPr>
              <w:t xml:space="preserve">Minor update. Revised time before sample separation from gel/red cells to match IFU. </w:t>
            </w:r>
          </w:p>
        </w:tc>
      </w:tr>
      <w:tr w:rsidR="00561549" w14:paraId="7841F800"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78BD35EC" w14:textId="77777777" w:rsidR="00561549" w:rsidRPr="00946E69" w:rsidRDefault="00561549">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0DCAA0F7" w14:textId="15D41668" w:rsidR="00561549" w:rsidRPr="00946E69" w:rsidRDefault="00561549">
            <w:pPr>
              <w:rPr>
                <w:rFonts w:cs="Arial"/>
                <w:iCs/>
                <w:szCs w:val="20"/>
              </w:rPr>
            </w:pPr>
            <w:r w:rsidRPr="00946E69">
              <w:rPr>
                <w:rFonts w:cs="Arial"/>
                <w:iCs/>
                <w:szCs w:val="20"/>
              </w:rPr>
              <w:t>3</w:t>
            </w:r>
          </w:p>
        </w:tc>
        <w:tc>
          <w:tcPr>
            <w:tcW w:w="2430" w:type="dxa"/>
            <w:tcBorders>
              <w:top w:val="single" w:sz="4" w:space="0" w:color="auto"/>
              <w:left w:val="single" w:sz="4" w:space="0" w:color="auto"/>
              <w:bottom w:val="single" w:sz="4" w:space="0" w:color="auto"/>
              <w:right w:val="single" w:sz="4" w:space="0" w:color="auto"/>
            </w:tcBorders>
          </w:tcPr>
          <w:p w14:paraId="318DCB85" w14:textId="046C57BF" w:rsidR="00561549" w:rsidRPr="00946E69" w:rsidRDefault="00561549">
            <w:pPr>
              <w:rPr>
                <w:rFonts w:cs="Arial"/>
                <w:iCs/>
                <w:szCs w:val="20"/>
              </w:rPr>
            </w:pPr>
            <w:r w:rsidRPr="00946E69">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27C5721A" w14:textId="4B6EE432" w:rsidR="00561549" w:rsidRPr="00946E69" w:rsidRDefault="00561549">
            <w:pPr>
              <w:rPr>
                <w:rFonts w:cs="Arial"/>
                <w:iCs/>
                <w:szCs w:val="20"/>
              </w:rPr>
            </w:pPr>
            <w:r w:rsidRPr="00946E69">
              <w:rPr>
                <w:rFonts w:cs="Arial"/>
                <w:iCs/>
                <w:szCs w:val="20"/>
              </w:rPr>
              <w:t>11/1/2022</w:t>
            </w:r>
          </w:p>
        </w:tc>
        <w:tc>
          <w:tcPr>
            <w:tcW w:w="4410" w:type="dxa"/>
            <w:tcBorders>
              <w:top w:val="single" w:sz="4" w:space="0" w:color="auto"/>
              <w:left w:val="single" w:sz="4" w:space="0" w:color="auto"/>
              <w:bottom w:val="single" w:sz="4" w:space="0" w:color="auto"/>
              <w:right w:val="single" w:sz="4" w:space="0" w:color="auto"/>
            </w:tcBorders>
          </w:tcPr>
          <w:p w14:paraId="5CB71F8B" w14:textId="783539A3" w:rsidR="00561549" w:rsidRDefault="00561549">
            <w:pPr>
              <w:rPr>
                <w:rFonts w:cs="Arial"/>
                <w:iCs/>
                <w:szCs w:val="20"/>
              </w:rPr>
            </w:pPr>
            <w:r w:rsidRPr="00440B58">
              <w:rPr>
                <w:rFonts w:cs="Arial"/>
                <w:iCs/>
                <w:szCs w:val="20"/>
                <w:highlight w:val="yellow"/>
              </w:rPr>
              <w:t>Corrected reportable range to reflect actual practices. Low changed from 0.0083 to 0.01</w:t>
            </w:r>
            <w:bookmarkStart w:id="0" w:name="_GoBack"/>
            <w:bookmarkEnd w:id="0"/>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13344F89" w:rsidR="00B13C1A" w:rsidRPr="002E718D" w:rsidRDefault="00B13C1A" w:rsidP="002E718D">
    <w:pPr>
      <w:ind w:left="-1260" w:right="-1260"/>
      <w:rPr>
        <w:rFonts w:cs="Arial"/>
        <w:sz w:val="16"/>
      </w:rPr>
    </w:pPr>
    <w:r>
      <w:rPr>
        <w:rFonts w:cs="Arial"/>
        <w:sz w:val="16"/>
      </w:rPr>
      <w:t>Laboratory, Chi</w:t>
    </w:r>
    <w:r w:rsidR="00342EC1">
      <w:rPr>
        <w:rFonts w:cs="Arial"/>
        <w:sz w:val="16"/>
      </w:rPr>
      <w:t>ldren’s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40B58">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40B58">
      <w:rPr>
        <w:noProof/>
        <w:sz w:val="18"/>
      </w:rPr>
      <w:t>8</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26CB11D6"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1F3E5E">
      <w:rPr>
        <w:rFonts w:cs="Arial"/>
      </w:rPr>
      <w:t>6.90</w:t>
    </w:r>
    <w:r w:rsidR="00B7757F">
      <w:rPr>
        <w:rFonts w:cs="Arial"/>
      </w:rPr>
      <w:t>1</w:t>
    </w:r>
    <w:r w:rsidR="007C2CE1">
      <w:rPr>
        <w:rFonts w:cs="Arial"/>
      </w:rPr>
      <w:t xml:space="preserve"> TSH</w:t>
    </w:r>
  </w:p>
  <w:p w14:paraId="5CD00060" w14:textId="365A9DF7" w:rsidR="00B13C1A" w:rsidRDefault="00981A4A">
    <w:pPr>
      <w:ind w:left="-1260" w:right="-1260"/>
      <w:rPr>
        <w:rFonts w:cs="Arial"/>
      </w:rPr>
    </w:pPr>
    <w:r>
      <w:rPr>
        <w:rFonts w:cs="Arial"/>
      </w:rPr>
      <w:t xml:space="preserve">Version </w:t>
    </w:r>
    <w:r w:rsidR="00561549">
      <w:rPr>
        <w:rFonts w:cs="Arial"/>
      </w:rPr>
      <w:t>3</w:t>
    </w:r>
  </w:p>
  <w:p w14:paraId="5CD00061" w14:textId="33732876" w:rsidR="00B13C1A" w:rsidRDefault="00B13C1A">
    <w:pPr>
      <w:ind w:left="-1260" w:right="-1260"/>
      <w:rPr>
        <w:rFonts w:cs="Arial"/>
      </w:rPr>
    </w:pPr>
    <w:r>
      <w:rPr>
        <w:rFonts w:cs="Arial"/>
      </w:rPr>
      <w:t>Effective Date:</w:t>
    </w:r>
    <w:r w:rsidR="00DB689C">
      <w:rPr>
        <w:rFonts w:cs="Arial"/>
      </w:rPr>
      <w:t xml:space="preserve"> </w:t>
    </w:r>
    <w:r w:rsidR="00561549">
      <w:rPr>
        <w:rFonts w:cs="Arial"/>
      </w:rPr>
      <w:t>November</w:t>
    </w:r>
    <w:r w:rsidR="00DB689C">
      <w:rPr>
        <w:rFonts w:cs="Arial"/>
      </w:rPr>
      <w:t xml:space="preserve"> </w:t>
    </w:r>
    <w:r w:rsidR="00561549">
      <w:rPr>
        <w:rFonts w:cs="Arial"/>
      </w:rPr>
      <w:t>1</w:t>
    </w:r>
    <w:r w:rsidR="00DB689C">
      <w:rPr>
        <w:rFonts w:cs="Arial"/>
      </w:rPr>
      <w:t>, 202</w:t>
    </w:r>
    <w:r w:rsidR="00561549">
      <w:rPr>
        <w:rFonts w:cs="Arial"/>
      </w:rPr>
      <w:t>2</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476DB"/>
    <w:multiLevelType w:val="hybridMultilevel"/>
    <w:tmpl w:val="3C4A6F46"/>
    <w:lvl w:ilvl="0" w:tplc="0F98761A">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F40A5"/>
    <w:multiLevelType w:val="hybridMultilevel"/>
    <w:tmpl w:val="8F0A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7"/>
  </w:num>
  <w:num w:numId="8">
    <w:abstractNumId w:val="22"/>
  </w:num>
  <w:num w:numId="9">
    <w:abstractNumId w:val="13"/>
  </w:num>
  <w:num w:numId="10">
    <w:abstractNumId w:val="2"/>
  </w:num>
  <w:num w:numId="11">
    <w:abstractNumId w:val="29"/>
  </w:num>
  <w:num w:numId="12">
    <w:abstractNumId w:val="8"/>
  </w:num>
  <w:num w:numId="13">
    <w:abstractNumId w:val="30"/>
  </w:num>
  <w:num w:numId="14">
    <w:abstractNumId w:val="38"/>
  </w:num>
  <w:num w:numId="15">
    <w:abstractNumId w:val="20"/>
  </w:num>
  <w:num w:numId="16">
    <w:abstractNumId w:val="1"/>
  </w:num>
  <w:num w:numId="17">
    <w:abstractNumId w:val="41"/>
  </w:num>
  <w:num w:numId="18">
    <w:abstractNumId w:val="11"/>
  </w:num>
  <w:num w:numId="19">
    <w:abstractNumId w:val="19"/>
  </w:num>
  <w:num w:numId="20">
    <w:abstractNumId w:val="26"/>
  </w:num>
  <w:num w:numId="21">
    <w:abstractNumId w:val="34"/>
  </w:num>
  <w:num w:numId="22">
    <w:abstractNumId w:val="39"/>
  </w:num>
  <w:num w:numId="23">
    <w:abstractNumId w:val="24"/>
  </w:num>
  <w:num w:numId="24">
    <w:abstractNumId w:val="6"/>
  </w:num>
  <w:num w:numId="25">
    <w:abstractNumId w:val="18"/>
  </w:num>
  <w:num w:numId="26">
    <w:abstractNumId w:val="12"/>
  </w:num>
  <w:num w:numId="27">
    <w:abstractNumId w:val="7"/>
  </w:num>
  <w:num w:numId="28">
    <w:abstractNumId w:val="23"/>
  </w:num>
  <w:num w:numId="29">
    <w:abstractNumId w:val="33"/>
  </w:num>
  <w:num w:numId="30">
    <w:abstractNumId w:val="31"/>
  </w:num>
  <w:num w:numId="31">
    <w:abstractNumId w:val="21"/>
  </w:num>
  <w:num w:numId="32">
    <w:abstractNumId w:val="17"/>
  </w:num>
  <w:num w:numId="33">
    <w:abstractNumId w:val="4"/>
  </w:num>
  <w:num w:numId="34">
    <w:abstractNumId w:val="37"/>
  </w:num>
  <w:num w:numId="35">
    <w:abstractNumId w:val="35"/>
  </w:num>
  <w:num w:numId="36">
    <w:abstractNumId w:val="15"/>
  </w:num>
  <w:num w:numId="37">
    <w:abstractNumId w:val="40"/>
  </w:num>
  <w:num w:numId="38">
    <w:abstractNumId w:val="0"/>
  </w:num>
  <w:num w:numId="39">
    <w:abstractNumId w:val="9"/>
  </w:num>
  <w:num w:numId="40">
    <w:abstractNumId w:val="25"/>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237D"/>
    <w:rsid w:val="0002281F"/>
    <w:rsid w:val="000244AC"/>
    <w:rsid w:val="00025B50"/>
    <w:rsid w:val="0002771B"/>
    <w:rsid w:val="0005168C"/>
    <w:rsid w:val="00064AD2"/>
    <w:rsid w:val="000A3E5A"/>
    <w:rsid w:val="000E63E3"/>
    <w:rsid w:val="001102B2"/>
    <w:rsid w:val="00115DD6"/>
    <w:rsid w:val="001241E4"/>
    <w:rsid w:val="0017089C"/>
    <w:rsid w:val="00196BAF"/>
    <w:rsid w:val="001A1584"/>
    <w:rsid w:val="001B58ED"/>
    <w:rsid w:val="001C1CFA"/>
    <w:rsid w:val="001C641E"/>
    <w:rsid w:val="001D1786"/>
    <w:rsid w:val="001D284B"/>
    <w:rsid w:val="001E5B15"/>
    <w:rsid w:val="001E66AC"/>
    <w:rsid w:val="001F3E5E"/>
    <w:rsid w:val="001F5D12"/>
    <w:rsid w:val="00233AA0"/>
    <w:rsid w:val="00234774"/>
    <w:rsid w:val="002462C0"/>
    <w:rsid w:val="00250A09"/>
    <w:rsid w:val="00252F1D"/>
    <w:rsid w:val="00276256"/>
    <w:rsid w:val="002827D9"/>
    <w:rsid w:val="002A3FA3"/>
    <w:rsid w:val="002C12BF"/>
    <w:rsid w:val="002C29CB"/>
    <w:rsid w:val="002C3006"/>
    <w:rsid w:val="002C7345"/>
    <w:rsid w:val="002E718D"/>
    <w:rsid w:val="002F271E"/>
    <w:rsid w:val="002F5C68"/>
    <w:rsid w:val="002F5F18"/>
    <w:rsid w:val="0030640D"/>
    <w:rsid w:val="003100D1"/>
    <w:rsid w:val="003145F4"/>
    <w:rsid w:val="00326F18"/>
    <w:rsid w:val="003278F7"/>
    <w:rsid w:val="00342EC1"/>
    <w:rsid w:val="00370B0F"/>
    <w:rsid w:val="00387FF5"/>
    <w:rsid w:val="0039587D"/>
    <w:rsid w:val="003A65AD"/>
    <w:rsid w:val="003C2130"/>
    <w:rsid w:val="003D5BD7"/>
    <w:rsid w:val="003D713F"/>
    <w:rsid w:val="003E0A08"/>
    <w:rsid w:val="003E168B"/>
    <w:rsid w:val="00416B6C"/>
    <w:rsid w:val="00420763"/>
    <w:rsid w:val="0042435C"/>
    <w:rsid w:val="00437425"/>
    <w:rsid w:val="00440B58"/>
    <w:rsid w:val="00440E37"/>
    <w:rsid w:val="004735E9"/>
    <w:rsid w:val="00486653"/>
    <w:rsid w:val="004A698D"/>
    <w:rsid w:val="004B5D63"/>
    <w:rsid w:val="004C14CE"/>
    <w:rsid w:val="004C6A64"/>
    <w:rsid w:val="00504F3B"/>
    <w:rsid w:val="005125A4"/>
    <w:rsid w:val="00535FCF"/>
    <w:rsid w:val="0055321A"/>
    <w:rsid w:val="00561549"/>
    <w:rsid w:val="005665A7"/>
    <w:rsid w:val="00575F3F"/>
    <w:rsid w:val="005A7373"/>
    <w:rsid w:val="005B66A7"/>
    <w:rsid w:val="005C6F36"/>
    <w:rsid w:val="006200C0"/>
    <w:rsid w:val="00632622"/>
    <w:rsid w:val="00646E63"/>
    <w:rsid w:val="00652F45"/>
    <w:rsid w:val="00655B61"/>
    <w:rsid w:val="00685D61"/>
    <w:rsid w:val="00685E87"/>
    <w:rsid w:val="00693888"/>
    <w:rsid w:val="006A26B2"/>
    <w:rsid w:val="006A2770"/>
    <w:rsid w:val="006A41B1"/>
    <w:rsid w:val="006A5A84"/>
    <w:rsid w:val="006B78CE"/>
    <w:rsid w:val="006C5661"/>
    <w:rsid w:val="006C7814"/>
    <w:rsid w:val="006D4A4E"/>
    <w:rsid w:val="006F3EAE"/>
    <w:rsid w:val="006F6017"/>
    <w:rsid w:val="00710CFC"/>
    <w:rsid w:val="007132A9"/>
    <w:rsid w:val="00747868"/>
    <w:rsid w:val="00756E1B"/>
    <w:rsid w:val="007B1809"/>
    <w:rsid w:val="007B29CD"/>
    <w:rsid w:val="007B2A3E"/>
    <w:rsid w:val="007B410A"/>
    <w:rsid w:val="007C2CE1"/>
    <w:rsid w:val="007D7A22"/>
    <w:rsid w:val="007F5B07"/>
    <w:rsid w:val="008044BA"/>
    <w:rsid w:val="0081197E"/>
    <w:rsid w:val="0081598A"/>
    <w:rsid w:val="00824C10"/>
    <w:rsid w:val="00852200"/>
    <w:rsid w:val="008A71A5"/>
    <w:rsid w:val="008A7CDA"/>
    <w:rsid w:val="008B53E5"/>
    <w:rsid w:val="008D3369"/>
    <w:rsid w:val="008D7EF5"/>
    <w:rsid w:val="008F122D"/>
    <w:rsid w:val="008F2C66"/>
    <w:rsid w:val="008F7144"/>
    <w:rsid w:val="00914DEC"/>
    <w:rsid w:val="00944DFA"/>
    <w:rsid w:val="00946E69"/>
    <w:rsid w:val="009475C8"/>
    <w:rsid w:val="00950E15"/>
    <w:rsid w:val="00981A4A"/>
    <w:rsid w:val="00984816"/>
    <w:rsid w:val="009A1A3D"/>
    <w:rsid w:val="009C08FA"/>
    <w:rsid w:val="009C4BDA"/>
    <w:rsid w:val="009C5A69"/>
    <w:rsid w:val="009D085B"/>
    <w:rsid w:val="009E231A"/>
    <w:rsid w:val="009F5F31"/>
    <w:rsid w:val="00A002D3"/>
    <w:rsid w:val="00A062E1"/>
    <w:rsid w:val="00A166AA"/>
    <w:rsid w:val="00A23086"/>
    <w:rsid w:val="00A23FFE"/>
    <w:rsid w:val="00A32948"/>
    <w:rsid w:val="00A34EE2"/>
    <w:rsid w:val="00A5637B"/>
    <w:rsid w:val="00A64AE8"/>
    <w:rsid w:val="00A776A5"/>
    <w:rsid w:val="00A838E8"/>
    <w:rsid w:val="00A86097"/>
    <w:rsid w:val="00A94DDD"/>
    <w:rsid w:val="00A9779B"/>
    <w:rsid w:val="00AA5656"/>
    <w:rsid w:val="00AB7769"/>
    <w:rsid w:val="00AB7F16"/>
    <w:rsid w:val="00AE2334"/>
    <w:rsid w:val="00AF1198"/>
    <w:rsid w:val="00AF56A8"/>
    <w:rsid w:val="00B01603"/>
    <w:rsid w:val="00B067D8"/>
    <w:rsid w:val="00B109AB"/>
    <w:rsid w:val="00B11633"/>
    <w:rsid w:val="00B13C1A"/>
    <w:rsid w:val="00B2749D"/>
    <w:rsid w:val="00B415C8"/>
    <w:rsid w:val="00B7757F"/>
    <w:rsid w:val="00B81E92"/>
    <w:rsid w:val="00BA60F5"/>
    <w:rsid w:val="00BB3F98"/>
    <w:rsid w:val="00BC1DCC"/>
    <w:rsid w:val="00BD0AE4"/>
    <w:rsid w:val="00BD0E0F"/>
    <w:rsid w:val="00BD3CED"/>
    <w:rsid w:val="00BD54BA"/>
    <w:rsid w:val="00C00B65"/>
    <w:rsid w:val="00C13C50"/>
    <w:rsid w:val="00CA67BE"/>
    <w:rsid w:val="00CD06C7"/>
    <w:rsid w:val="00CE07E8"/>
    <w:rsid w:val="00CE16FB"/>
    <w:rsid w:val="00CF08A6"/>
    <w:rsid w:val="00D01CFA"/>
    <w:rsid w:val="00D16F80"/>
    <w:rsid w:val="00D271B1"/>
    <w:rsid w:val="00D302B9"/>
    <w:rsid w:val="00D60BD8"/>
    <w:rsid w:val="00D63C07"/>
    <w:rsid w:val="00D75850"/>
    <w:rsid w:val="00D955F6"/>
    <w:rsid w:val="00DB689C"/>
    <w:rsid w:val="00DC24D6"/>
    <w:rsid w:val="00DC7091"/>
    <w:rsid w:val="00DC7421"/>
    <w:rsid w:val="00DF5549"/>
    <w:rsid w:val="00DF6343"/>
    <w:rsid w:val="00E049CF"/>
    <w:rsid w:val="00E246BA"/>
    <w:rsid w:val="00E3253B"/>
    <w:rsid w:val="00E47DE5"/>
    <w:rsid w:val="00E55C7B"/>
    <w:rsid w:val="00E8154B"/>
    <w:rsid w:val="00E93074"/>
    <w:rsid w:val="00EA2B3F"/>
    <w:rsid w:val="00EA580E"/>
    <w:rsid w:val="00EB3C2E"/>
    <w:rsid w:val="00EB4B6C"/>
    <w:rsid w:val="00EE145B"/>
    <w:rsid w:val="00EF1741"/>
    <w:rsid w:val="00F0405E"/>
    <w:rsid w:val="00F236AF"/>
    <w:rsid w:val="00F50200"/>
    <w:rsid w:val="00F52BBA"/>
    <w:rsid w:val="00F6060A"/>
    <w:rsid w:val="00F63DA5"/>
    <w:rsid w:val="00F83DB0"/>
    <w:rsid w:val="00F84C8E"/>
    <w:rsid w:val="00FC1FB6"/>
    <w:rsid w:val="00FE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 w:id="12103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2023-01-18T06:00:00+00:00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6.901 TSH</Document_x0020_Title>
    <Content_x0020_Release_x0020_Date xmlns="199f0838-75a6-4f0c-9be1-f2c07140bccc">2021-09-17T05:00:00+00:00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F6TN54CWY5RS-50183619-47428</_dlc_DocId>
    <_dlc_DocIdUrl xmlns="199f0838-75a6-4f0c-9be1-f2c07140bccc">
      <Url>https://vcpsharepoint4.childrenshc.org/references/_layouts/15/DocIdRedir.aspx?ID=F6TN54CWY5RS-50183619-47428</Url>
      <Description>F6TN54CWY5RS-50183619-47428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BCDF9DE0-F9BD-497E-BA37-5AFE9B63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88E5-01B6-45A3-B360-8B0A61C6A9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9f0838-75a6-4f0c-9be1-f2c07140bccc"/>
    <ds:schemaRef ds:uri="http://purl.org/dc/elements/1.1/"/>
    <ds:schemaRef ds:uri="http://schemas.microsoft.com/office/2006/metadata/properties"/>
    <ds:schemaRef ds:uri="c1848e11-9cf6-4ce4-877e-6837d2c2fa23"/>
    <ds:schemaRef ds:uri="http://schemas.microsoft.com/sharepoint.v3"/>
    <ds:schemaRef ds:uri="http://schemas.microsoft.com/sharepoint/v3"/>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B89AC2E1-49CB-4D99-AF35-8A370D53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2670</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 6.901 TSH</vt:lpstr>
    </vt:vector>
  </TitlesOfParts>
  <Company>Authorized User</Company>
  <LinksUpToDate>false</LinksUpToDate>
  <CharactersWithSpaces>18341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6.901 TSH</dc:title>
  <dc:creator>CE155076</dc:creator>
  <dc:description>new procedure for abbott analyzers.  erb 10/28/20 (1/18/21) added newborn reference interval from Children's Endocrine consultation. 1/26/2021 ERB Minor update to time before removal from red cells/gel. MCJ 9/17/2021</dc:description>
  <cp:lastModifiedBy>Matthew Johnson</cp:lastModifiedBy>
  <cp:revision>5</cp:revision>
  <cp:lastPrinted>2020-04-15T15:00:00Z</cp:lastPrinted>
  <dcterms:created xsi:type="dcterms:W3CDTF">2022-10-28T14:17:00Z</dcterms:created>
  <dcterms:modified xsi:type="dcterms:W3CDTF">2022-10-28T14:23:00Z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dccdc3f5-c79d-427a-945f-b148038795c1</vt:lpwstr>
  </property>
  <property fmtid="{D5CDD505-2E9C-101B-9397-08002B2CF9AE}" pid="4" name="WorkflowChangePath">
    <vt:lpwstr>85493ae8-44a3-4172-9f61-0b2d9e19d9ef,4;a8d28c1c-6954-4ce7-8b3c-93c4392a3501,4;a8d28c1c-6954-4ce7-8b3c-93c4392a3501,10;a8d28c1c-6954-4ce7-8b3c-93c4392a3501,15;</vt:lpwstr>
  </property>
</Properties>
</file>