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9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8730"/>
      </w:tblGrid>
      <w:tr w:rsidR="0031513E" w14:paraId="79941D71" w14:textId="77777777" w:rsidTr="00FB7862">
        <w:trPr>
          <w:cantSplit/>
        </w:trPr>
        <w:tc>
          <w:tcPr>
            <w:tcW w:w="10890" w:type="dxa"/>
            <w:gridSpan w:val="2"/>
            <w:tcBorders>
              <w:top w:val="nil"/>
              <w:left w:val="nil"/>
              <w:bottom w:val="nil"/>
              <w:right w:val="nil"/>
            </w:tcBorders>
          </w:tcPr>
          <w:p w14:paraId="79941D6F" w14:textId="77777777" w:rsidR="0031513E" w:rsidRDefault="0031513E">
            <w:pPr>
              <w:rPr>
                <w:rFonts w:ascii="Arial" w:hAnsi="Arial" w:cs="Arial"/>
                <w:b/>
                <w:bCs/>
                <w:color w:val="0000FF"/>
                <w:sz w:val="36"/>
              </w:rPr>
            </w:pPr>
            <w:bookmarkStart w:id="0" w:name="_GoBack"/>
            <w:bookmarkEnd w:id="0"/>
            <w:r>
              <w:rPr>
                <w:rFonts w:ascii="Arial" w:hAnsi="Arial" w:cs="Arial"/>
                <w:b/>
                <w:bCs/>
                <w:color w:val="0000FF"/>
                <w:sz w:val="36"/>
              </w:rPr>
              <w:t>Introduction to Specimen Collection</w:t>
            </w:r>
          </w:p>
          <w:p w14:paraId="79941D70" w14:textId="77777777" w:rsidR="0031513E" w:rsidRDefault="0031513E">
            <w:pPr>
              <w:rPr>
                <w:rFonts w:ascii="Arial" w:hAnsi="Arial" w:cs="Arial"/>
                <w:sz w:val="24"/>
              </w:rPr>
            </w:pPr>
          </w:p>
        </w:tc>
      </w:tr>
      <w:tr w:rsidR="0031513E" w14:paraId="79941D74" w14:textId="77777777" w:rsidTr="00615BFB">
        <w:trPr>
          <w:cantSplit/>
          <w:trHeight w:val="647"/>
        </w:trPr>
        <w:tc>
          <w:tcPr>
            <w:tcW w:w="2160" w:type="dxa"/>
            <w:tcBorders>
              <w:top w:val="nil"/>
              <w:left w:val="nil"/>
              <w:bottom w:val="nil"/>
              <w:right w:val="nil"/>
            </w:tcBorders>
          </w:tcPr>
          <w:p w14:paraId="79941D72" w14:textId="77777777" w:rsidR="0031513E" w:rsidRDefault="0031513E">
            <w:pPr>
              <w:jc w:val="left"/>
              <w:rPr>
                <w:rFonts w:ascii="Arial" w:hAnsi="Arial" w:cs="Arial"/>
                <w:b/>
                <w:bCs/>
                <w:color w:val="0000FF"/>
                <w:sz w:val="20"/>
              </w:rPr>
            </w:pPr>
            <w:r>
              <w:rPr>
                <w:rFonts w:ascii="Arial" w:hAnsi="Arial" w:cs="Arial"/>
                <w:b/>
                <w:bCs/>
                <w:color w:val="0000FF"/>
                <w:sz w:val="20"/>
              </w:rPr>
              <w:t>Purpose</w:t>
            </w:r>
          </w:p>
        </w:tc>
        <w:tc>
          <w:tcPr>
            <w:tcW w:w="8730" w:type="dxa"/>
            <w:tcBorders>
              <w:top w:val="single" w:sz="4" w:space="0" w:color="auto"/>
              <w:left w:val="nil"/>
              <w:bottom w:val="single" w:sz="4" w:space="0" w:color="auto"/>
              <w:right w:val="nil"/>
            </w:tcBorders>
            <w:vAlign w:val="center"/>
          </w:tcPr>
          <w:p w14:paraId="79941D73" w14:textId="77777777" w:rsidR="0031513E" w:rsidRDefault="0031513E" w:rsidP="00FB7862">
            <w:pPr>
              <w:tabs>
                <w:tab w:val="left" w:pos="-720"/>
              </w:tabs>
              <w:ind w:right="252"/>
              <w:jc w:val="left"/>
              <w:rPr>
                <w:rFonts w:ascii="Arial" w:hAnsi="Arial" w:cs="Arial"/>
                <w:iCs/>
                <w:sz w:val="20"/>
                <w:szCs w:val="20"/>
              </w:rPr>
            </w:pPr>
            <w:r>
              <w:rPr>
                <w:rFonts w:ascii="Arial" w:hAnsi="Arial" w:cs="Arial"/>
                <w:iCs/>
                <w:sz w:val="20"/>
                <w:szCs w:val="20"/>
              </w:rPr>
              <w:t>This procedure provides an INTRODUCTION TO SPECIMEN COLLECTION.</w:t>
            </w:r>
          </w:p>
        </w:tc>
      </w:tr>
      <w:tr w:rsidR="0031513E" w14:paraId="79941D77" w14:textId="77777777" w:rsidTr="00615BFB">
        <w:trPr>
          <w:cantSplit/>
          <w:trHeight w:val="629"/>
        </w:trPr>
        <w:tc>
          <w:tcPr>
            <w:tcW w:w="2160" w:type="dxa"/>
            <w:tcBorders>
              <w:top w:val="nil"/>
              <w:left w:val="nil"/>
              <w:bottom w:val="nil"/>
              <w:right w:val="nil"/>
            </w:tcBorders>
          </w:tcPr>
          <w:p w14:paraId="79941D75" w14:textId="77777777" w:rsidR="0031513E" w:rsidRDefault="0031513E">
            <w:pPr>
              <w:jc w:val="left"/>
              <w:rPr>
                <w:rFonts w:ascii="Arial" w:hAnsi="Arial" w:cs="Arial"/>
                <w:b/>
                <w:bCs/>
                <w:color w:val="0000FF"/>
                <w:sz w:val="20"/>
              </w:rPr>
            </w:pPr>
            <w:r>
              <w:rPr>
                <w:rFonts w:ascii="Arial" w:hAnsi="Arial" w:cs="Arial"/>
                <w:b/>
                <w:bCs/>
                <w:color w:val="0000FF"/>
                <w:sz w:val="20"/>
              </w:rPr>
              <w:t>Policy Statements</w:t>
            </w:r>
          </w:p>
        </w:tc>
        <w:tc>
          <w:tcPr>
            <w:tcW w:w="8730" w:type="dxa"/>
            <w:tcBorders>
              <w:top w:val="single" w:sz="4" w:space="0" w:color="auto"/>
              <w:left w:val="nil"/>
              <w:bottom w:val="single" w:sz="4" w:space="0" w:color="auto"/>
              <w:right w:val="nil"/>
            </w:tcBorders>
            <w:vAlign w:val="center"/>
          </w:tcPr>
          <w:p w14:paraId="79941D76" w14:textId="77777777" w:rsidR="0031513E" w:rsidRDefault="0031513E" w:rsidP="00FB7862">
            <w:pPr>
              <w:tabs>
                <w:tab w:val="left" w:pos="-720"/>
              </w:tabs>
              <w:jc w:val="left"/>
              <w:rPr>
                <w:rFonts w:ascii="Arial" w:hAnsi="Arial" w:cs="Arial"/>
                <w:iCs/>
                <w:sz w:val="20"/>
              </w:rPr>
            </w:pPr>
            <w:r>
              <w:rPr>
                <w:rFonts w:ascii="Arial" w:hAnsi="Arial" w:cs="Arial"/>
                <w:iCs/>
                <w:sz w:val="20"/>
              </w:rPr>
              <w:t>This procedure applies to all laboratory staff</w:t>
            </w:r>
            <w:r w:rsidR="00FB7862">
              <w:rPr>
                <w:rFonts w:ascii="Arial" w:hAnsi="Arial" w:cs="Arial"/>
                <w:iCs/>
                <w:sz w:val="20"/>
              </w:rPr>
              <w:t xml:space="preserve"> who collect specimens</w:t>
            </w:r>
            <w:r>
              <w:rPr>
                <w:rFonts w:ascii="Arial" w:hAnsi="Arial" w:cs="Arial"/>
                <w:iCs/>
                <w:sz w:val="20"/>
              </w:rPr>
              <w:t>.</w:t>
            </w:r>
          </w:p>
        </w:tc>
      </w:tr>
      <w:tr w:rsidR="0031513E" w14:paraId="79941D7A" w14:textId="77777777" w:rsidTr="00615BFB">
        <w:trPr>
          <w:trHeight w:val="701"/>
        </w:trPr>
        <w:tc>
          <w:tcPr>
            <w:tcW w:w="2160" w:type="dxa"/>
            <w:tcBorders>
              <w:top w:val="nil"/>
              <w:left w:val="nil"/>
              <w:bottom w:val="nil"/>
              <w:right w:val="nil"/>
            </w:tcBorders>
          </w:tcPr>
          <w:p w14:paraId="79941D78" w14:textId="77777777" w:rsidR="0031513E" w:rsidRDefault="0031513E">
            <w:pPr>
              <w:jc w:val="left"/>
              <w:rPr>
                <w:rFonts w:ascii="Arial" w:hAnsi="Arial" w:cs="Arial"/>
                <w:b/>
                <w:bCs/>
                <w:color w:val="0000FF"/>
                <w:sz w:val="20"/>
              </w:rPr>
            </w:pPr>
            <w:r>
              <w:rPr>
                <w:rFonts w:ascii="Arial" w:hAnsi="Arial" w:cs="Arial"/>
                <w:b/>
                <w:bCs/>
                <w:color w:val="0000FF"/>
                <w:sz w:val="20"/>
              </w:rPr>
              <w:t>Sample</w:t>
            </w:r>
          </w:p>
        </w:tc>
        <w:tc>
          <w:tcPr>
            <w:tcW w:w="8730" w:type="dxa"/>
            <w:tcBorders>
              <w:top w:val="single" w:sz="4" w:space="0" w:color="auto"/>
              <w:left w:val="nil"/>
              <w:bottom w:val="single" w:sz="4" w:space="0" w:color="auto"/>
              <w:right w:val="nil"/>
            </w:tcBorders>
            <w:vAlign w:val="center"/>
          </w:tcPr>
          <w:p w14:paraId="79941D79" w14:textId="77777777" w:rsidR="0031513E" w:rsidRDefault="0031513E" w:rsidP="00FB7862">
            <w:pPr>
              <w:pStyle w:val="TableText"/>
              <w:autoSpaceDE/>
              <w:autoSpaceDN/>
              <w:rPr>
                <w:rFonts w:ascii="Arial" w:hAnsi="Arial" w:cs="Arial"/>
                <w:iCs/>
              </w:rPr>
            </w:pPr>
            <w:r>
              <w:rPr>
                <w:rFonts w:ascii="Arial" w:hAnsi="Arial" w:cs="Arial"/>
                <w:iCs/>
              </w:rPr>
              <w:t>This procedure applies to all specimens.</w:t>
            </w:r>
          </w:p>
        </w:tc>
      </w:tr>
      <w:tr w:rsidR="0031513E" w14:paraId="79941D9E" w14:textId="77777777" w:rsidTr="00FB7862">
        <w:trPr>
          <w:trHeight w:val="6013"/>
        </w:trPr>
        <w:tc>
          <w:tcPr>
            <w:tcW w:w="2160" w:type="dxa"/>
            <w:tcBorders>
              <w:top w:val="nil"/>
              <w:left w:val="nil"/>
              <w:bottom w:val="nil"/>
              <w:right w:val="nil"/>
            </w:tcBorders>
          </w:tcPr>
          <w:p w14:paraId="79941D7B" w14:textId="77777777" w:rsidR="0031513E" w:rsidRDefault="0031513E">
            <w:pPr>
              <w:jc w:val="left"/>
              <w:rPr>
                <w:rFonts w:ascii="Arial" w:hAnsi="Arial" w:cs="Arial"/>
                <w:b/>
                <w:bCs/>
                <w:color w:val="0000FF"/>
                <w:sz w:val="20"/>
              </w:rPr>
            </w:pPr>
            <w:r>
              <w:rPr>
                <w:rFonts w:ascii="Arial" w:hAnsi="Arial" w:cs="Arial"/>
                <w:b/>
                <w:bCs/>
                <w:color w:val="0000FF"/>
                <w:sz w:val="20"/>
              </w:rPr>
              <w:t>Procedure</w:t>
            </w:r>
          </w:p>
          <w:p w14:paraId="79941D7C" w14:textId="77777777" w:rsidR="0031513E" w:rsidRDefault="0031513E">
            <w:pPr>
              <w:jc w:val="left"/>
              <w:rPr>
                <w:rFonts w:ascii="Arial" w:hAnsi="Arial" w:cs="Arial"/>
                <w:b/>
                <w:bCs/>
                <w:color w:val="0000FF"/>
                <w:sz w:val="20"/>
              </w:rPr>
            </w:pPr>
          </w:p>
        </w:tc>
        <w:tc>
          <w:tcPr>
            <w:tcW w:w="8730" w:type="dxa"/>
            <w:tcBorders>
              <w:left w:val="nil"/>
              <w:bottom w:val="nil"/>
              <w:right w:val="nil"/>
            </w:tcBorders>
            <w:vAlign w:val="center"/>
          </w:tcPr>
          <w:p w14:paraId="79941D7D" w14:textId="77777777" w:rsidR="00615BFB" w:rsidRDefault="0031513E" w:rsidP="00FB7862">
            <w:pPr>
              <w:jc w:val="left"/>
              <w:rPr>
                <w:rFonts w:ascii="Arial" w:hAnsi="Arial" w:cs="Arial"/>
                <w:sz w:val="20"/>
              </w:rPr>
            </w:pPr>
            <w:r>
              <w:rPr>
                <w:rFonts w:ascii="Arial" w:hAnsi="Arial" w:cs="Arial"/>
                <w:sz w:val="20"/>
              </w:rPr>
              <w:t>Follow the activities in the table below for an INTRODUCTION TO SPECIMEN COLLECTION.</w:t>
            </w:r>
          </w:p>
          <w:p w14:paraId="79941D7E" w14:textId="77777777" w:rsidR="00615BFB" w:rsidRDefault="00615BFB" w:rsidP="00FB7862">
            <w:pPr>
              <w:jc w:val="left"/>
              <w:rPr>
                <w:rFonts w:ascii="Arial" w:hAnsi="Arial" w:cs="Arial"/>
                <w:sz w:val="20"/>
              </w:rPr>
            </w:pPr>
          </w:p>
          <w:tbl>
            <w:tblPr>
              <w:tblW w:w="8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7560"/>
            </w:tblGrid>
            <w:tr w:rsidR="0031513E" w14:paraId="79941D81" w14:textId="77777777" w:rsidTr="00F840A5">
              <w:tc>
                <w:tcPr>
                  <w:tcW w:w="697" w:type="dxa"/>
                </w:tcPr>
                <w:p w14:paraId="79941D7F" w14:textId="77777777" w:rsidR="0031513E" w:rsidRDefault="0031513E" w:rsidP="00FB7862">
                  <w:pPr>
                    <w:jc w:val="left"/>
                    <w:rPr>
                      <w:rFonts w:ascii="Arial" w:hAnsi="Arial" w:cs="Arial"/>
                      <w:b/>
                      <w:bCs/>
                      <w:sz w:val="20"/>
                    </w:rPr>
                  </w:pPr>
                  <w:r>
                    <w:rPr>
                      <w:rFonts w:ascii="Arial" w:hAnsi="Arial" w:cs="Arial"/>
                      <w:b/>
                      <w:bCs/>
                      <w:sz w:val="20"/>
                    </w:rPr>
                    <w:t>Step</w:t>
                  </w:r>
                </w:p>
              </w:tc>
              <w:tc>
                <w:tcPr>
                  <w:tcW w:w="7560" w:type="dxa"/>
                </w:tcPr>
                <w:p w14:paraId="79941D80" w14:textId="77777777" w:rsidR="0031513E" w:rsidRDefault="0031513E" w:rsidP="00FB7862">
                  <w:pPr>
                    <w:jc w:val="left"/>
                    <w:rPr>
                      <w:rFonts w:ascii="Arial" w:hAnsi="Arial" w:cs="Arial"/>
                      <w:b/>
                      <w:bCs/>
                      <w:sz w:val="20"/>
                    </w:rPr>
                  </w:pPr>
                  <w:r>
                    <w:rPr>
                      <w:rFonts w:ascii="Arial" w:hAnsi="Arial" w:cs="Arial"/>
                      <w:b/>
                      <w:bCs/>
                      <w:sz w:val="20"/>
                    </w:rPr>
                    <w:t>Action</w:t>
                  </w:r>
                </w:p>
              </w:tc>
            </w:tr>
            <w:tr w:rsidR="0031513E" w14:paraId="79941D84" w14:textId="77777777" w:rsidTr="00F840A5">
              <w:trPr>
                <w:trHeight w:val="1036"/>
              </w:trPr>
              <w:tc>
                <w:tcPr>
                  <w:tcW w:w="697" w:type="dxa"/>
                </w:tcPr>
                <w:p w14:paraId="79941D82" w14:textId="77777777" w:rsidR="0031513E" w:rsidRDefault="0031513E" w:rsidP="00FB7862">
                  <w:pPr>
                    <w:jc w:val="center"/>
                    <w:rPr>
                      <w:rFonts w:ascii="Arial" w:hAnsi="Arial" w:cs="Arial"/>
                      <w:sz w:val="20"/>
                    </w:rPr>
                  </w:pPr>
                  <w:r>
                    <w:rPr>
                      <w:rFonts w:ascii="Arial" w:hAnsi="Arial" w:cs="Arial"/>
                      <w:sz w:val="20"/>
                    </w:rPr>
                    <w:t>1</w:t>
                  </w:r>
                </w:p>
              </w:tc>
              <w:tc>
                <w:tcPr>
                  <w:tcW w:w="7560" w:type="dxa"/>
                  <w:vAlign w:val="center"/>
                </w:tcPr>
                <w:p w14:paraId="79941D83" w14:textId="77777777" w:rsidR="0031513E" w:rsidRDefault="0031513E" w:rsidP="00FB7862">
                  <w:pPr>
                    <w:pStyle w:val="TableText"/>
                    <w:autoSpaceDE/>
                    <w:autoSpaceDN/>
                    <w:rPr>
                      <w:rFonts w:ascii="Arial" w:hAnsi="Arial" w:cs="Arial"/>
                    </w:rPr>
                  </w:pPr>
                  <w:r>
                    <w:rPr>
                      <w:rFonts w:ascii="Arial" w:hAnsi="Arial"/>
                    </w:rPr>
                    <w:t>While precision and accuracy of clinical testing are the cornerstones of a laboratory’s performance, there are much wider dimensions to a laboratory’s quality image and reputation.  Quality laboratory service is best defined as a service that is fully satisfactory and satisfying to clinicians and patients alike.</w:t>
                  </w:r>
                </w:p>
              </w:tc>
            </w:tr>
            <w:tr w:rsidR="0031513E" w14:paraId="79941D8D" w14:textId="77777777" w:rsidTr="00F840A5">
              <w:trPr>
                <w:trHeight w:val="1835"/>
              </w:trPr>
              <w:tc>
                <w:tcPr>
                  <w:tcW w:w="697" w:type="dxa"/>
                </w:tcPr>
                <w:p w14:paraId="79941D85" w14:textId="77777777" w:rsidR="0031513E" w:rsidRDefault="0031513E" w:rsidP="00FB7862">
                  <w:pPr>
                    <w:jc w:val="center"/>
                    <w:rPr>
                      <w:rFonts w:ascii="Arial" w:hAnsi="Arial" w:cs="Arial"/>
                      <w:sz w:val="20"/>
                    </w:rPr>
                  </w:pPr>
                  <w:r>
                    <w:rPr>
                      <w:rFonts w:ascii="Arial" w:hAnsi="Arial" w:cs="Arial"/>
                      <w:sz w:val="20"/>
                    </w:rPr>
                    <w:t>2</w:t>
                  </w:r>
                </w:p>
              </w:tc>
              <w:tc>
                <w:tcPr>
                  <w:tcW w:w="7560" w:type="dxa"/>
                  <w:vAlign w:val="center"/>
                </w:tcPr>
                <w:p w14:paraId="79941D86" w14:textId="77777777" w:rsidR="00615BFB" w:rsidRDefault="0031513E" w:rsidP="00FB7862">
                  <w:pPr>
                    <w:jc w:val="left"/>
                    <w:rPr>
                      <w:rFonts w:ascii="Arial" w:hAnsi="Arial"/>
                      <w:sz w:val="20"/>
                    </w:rPr>
                  </w:pPr>
                  <w:r>
                    <w:rPr>
                      <w:rFonts w:ascii="Arial" w:hAnsi="Arial"/>
                      <w:sz w:val="20"/>
                    </w:rPr>
                    <w:t xml:space="preserve">Factors in </w:t>
                  </w:r>
                  <w:r w:rsidR="00615BFB">
                    <w:rPr>
                      <w:rFonts w:ascii="Arial" w:hAnsi="Arial"/>
                      <w:sz w:val="20"/>
                    </w:rPr>
                    <w:t>the pre-analytical phase of testing</w:t>
                  </w:r>
                  <w:r>
                    <w:rPr>
                      <w:rFonts w:ascii="Arial" w:hAnsi="Arial"/>
                      <w:sz w:val="20"/>
                    </w:rPr>
                    <w:t xml:space="preserve"> that contribute to laboratory error:</w:t>
                  </w:r>
                </w:p>
                <w:p w14:paraId="79941D87" w14:textId="77777777" w:rsidR="00615BFB" w:rsidRPr="00615BFB" w:rsidRDefault="0031513E" w:rsidP="00615BFB">
                  <w:pPr>
                    <w:numPr>
                      <w:ilvl w:val="0"/>
                      <w:numId w:val="12"/>
                    </w:numPr>
                    <w:jc w:val="left"/>
                    <w:rPr>
                      <w:rFonts w:ascii="Arial" w:hAnsi="Arial" w:cs="Arial"/>
                      <w:sz w:val="20"/>
                    </w:rPr>
                  </w:pPr>
                  <w:r>
                    <w:rPr>
                      <w:rFonts w:ascii="Arial" w:hAnsi="Arial"/>
                      <w:sz w:val="20"/>
                    </w:rPr>
                    <w:t>test requisitions</w:t>
                  </w:r>
                </w:p>
                <w:p w14:paraId="79941D88" w14:textId="77777777" w:rsidR="00615BFB" w:rsidRPr="00615BFB" w:rsidRDefault="0031513E" w:rsidP="00615BFB">
                  <w:pPr>
                    <w:numPr>
                      <w:ilvl w:val="0"/>
                      <w:numId w:val="12"/>
                    </w:numPr>
                    <w:jc w:val="left"/>
                    <w:rPr>
                      <w:rFonts w:ascii="Arial" w:hAnsi="Arial" w:cs="Arial"/>
                      <w:sz w:val="20"/>
                    </w:rPr>
                  </w:pPr>
                  <w:r>
                    <w:rPr>
                      <w:rFonts w:ascii="Arial" w:hAnsi="Arial"/>
                      <w:sz w:val="20"/>
                    </w:rPr>
                    <w:t>patient identification</w:t>
                  </w:r>
                </w:p>
                <w:p w14:paraId="79941D89" w14:textId="77777777" w:rsidR="00615BFB" w:rsidRPr="00615BFB" w:rsidRDefault="0031513E" w:rsidP="00615BFB">
                  <w:pPr>
                    <w:numPr>
                      <w:ilvl w:val="0"/>
                      <w:numId w:val="12"/>
                    </w:numPr>
                    <w:jc w:val="left"/>
                    <w:rPr>
                      <w:rFonts w:ascii="Arial" w:hAnsi="Arial" w:cs="Arial"/>
                      <w:sz w:val="20"/>
                    </w:rPr>
                  </w:pPr>
                  <w:r>
                    <w:rPr>
                      <w:rFonts w:ascii="Arial" w:hAnsi="Arial"/>
                      <w:sz w:val="20"/>
                    </w:rPr>
                    <w:t>preservative</w:t>
                  </w:r>
                </w:p>
                <w:p w14:paraId="79941D8A" w14:textId="77777777" w:rsidR="00615BFB" w:rsidRPr="00615BFB" w:rsidRDefault="0031513E" w:rsidP="00615BFB">
                  <w:pPr>
                    <w:numPr>
                      <w:ilvl w:val="0"/>
                      <w:numId w:val="12"/>
                    </w:numPr>
                    <w:jc w:val="left"/>
                    <w:rPr>
                      <w:rFonts w:ascii="Arial" w:hAnsi="Arial" w:cs="Arial"/>
                      <w:sz w:val="20"/>
                    </w:rPr>
                  </w:pPr>
                  <w:r>
                    <w:rPr>
                      <w:rFonts w:ascii="Arial" w:hAnsi="Arial"/>
                      <w:sz w:val="20"/>
                    </w:rPr>
                    <w:t>patient preparation</w:t>
                  </w:r>
                </w:p>
                <w:p w14:paraId="79941D8B" w14:textId="77777777" w:rsidR="00615BFB" w:rsidRPr="00615BFB" w:rsidRDefault="0031513E" w:rsidP="00615BFB">
                  <w:pPr>
                    <w:numPr>
                      <w:ilvl w:val="0"/>
                      <w:numId w:val="12"/>
                    </w:numPr>
                    <w:jc w:val="left"/>
                    <w:rPr>
                      <w:rFonts w:ascii="Arial" w:hAnsi="Arial" w:cs="Arial"/>
                      <w:sz w:val="20"/>
                    </w:rPr>
                  </w:pPr>
                  <w:r>
                    <w:rPr>
                      <w:rFonts w:ascii="Arial" w:hAnsi="Arial"/>
                      <w:sz w:val="20"/>
                    </w:rPr>
                    <w:t>processing of specimens</w:t>
                  </w:r>
                </w:p>
                <w:p w14:paraId="79941D8C" w14:textId="77777777" w:rsidR="0031513E" w:rsidRDefault="0031513E" w:rsidP="00615BFB">
                  <w:pPr>
                    <w:numPr>
                      <w:ilvl w:val="0"/>
                      <w:numId w:val="12"/>
                    </w:numPr>
                    <w:jc w:val="left"/>
                    <w:rPr>
                      <w:rFonts w:ascii="Arial" w:hAnsi="Arial" w:cs="Arial"/>
                      <w:sz w:val="20"/>
                    </w:rPr>
                  </w:pPr>
                  <w:r>
                    <w:rPr>
                      <w:rFonts w:ascii="Arial" w:hAnsi="Arial"/>
                      <w:sz w:val="20"/>
                    </w:rPr>
                    <w:t>proper storage</w:t>
                  </w:r>
                </w:p>
              </w:tc>
            </w:tr>
            <w:tr w:rsidR="0031513E" w14:paraId="79941D90" w14:textId="77777777" w:rsidTr="00F840A5">
              <w:trPr>
                <w:trHeight w:val="523"/>
              </w:trPr>
              <w:tc>
                <w:tcPr>
                  <w:tcW w:w="697" w:type="dxa"/>
                </w:tcPr>
                <w:p w14:paraId="79941D8E" w14:textId="77777777" w:rsidR="0031513E" w:rsidRDefault="0031513E" w:rsidP="00FB7862">
                  <w:pPr>
                    <w:jc w:val="center"/>
                    <w:rPr>
                      <w:rFonts w:ascii="Arial" w:hAnsi="Arial" w:cs="Arial"/>
                      <w:sz w:val="20"/>
                    </w:rPr>
                  </w:pPr>
                  <w:r>
                    <w:rPr>
                      <w:rFonts w:ascii="Arial" w:hAnsi="Arial" w:cs="Arial"/>
                      <w:sz w:val="20"/>
                    </w:rPr>
                    <w:t>3</w:t>
                  </w:r>
                </w:p>
              </w:tc>
              <w:tc>
                <w:tcPr>
                  <w:tcW w:w="7560" w:type="dxa"/>
                  <w:vAlign w:val="center"/>
                </w:tcPr>
                <w:p w14:paraId="79941D8F" w14:textId="77777777" w:rsidR="0031513E" w:rsidRDefault="0031513E" w:rsidP="00FB7862">
                  <w:pPr>
                    <w:jc w:val="left"/>
                    <w:rPr>
                      <w:rFonts w:ascii="Arial" w:hAnsi="Arial" w:cs="Arial"/>
                      <w:sz w:val="20"/>
                    </w:rPr>
                  </w:pPr>
                  <w:r>
                    <w:rPr>
                      <w:rFonts w:ascii="Arial" w:hAnsi="Arial"/>
                      <w:sz w:val="20"/>
                    </w:rPr>
                    <w:t>To be a quality laboratory, it takes everyone’s commitment to eliminate errors at every stage in the process.</w:t>
                  </w:r>
                </w:p>
              </w:tc>
            </w:tr>
            <w:tr w:rsidR="0031513E" w14:paraId="79941D93" w14:textId="77777777" w:rsidTr="00F840A5">
              <w:trPr>
                <w:trHeight w:val="811"/>
              </w:trPr>
              <w:tc>
                <w:tcPr>
                  <w:tcW w:w="697" w:type="dxa"/>
                </w:tcPr>
                <w:p w14:paraId="79941D91" w14:textId="77777777" w:rsidR="0031513E" w:rsidRDefault="0031513E" w:rsidP="00FB7862">
                  <w:pPr>
                    <w:jc w:val="center"/>
                    <w:rPr>
                      <w:rFonts w:ascii="Arial" w:hAnsi="Arial" w:cs="Arial"/>
                      <w:sz w:val="20"/>
                    </w:rPr>
                  </w:pPr>
                  <w:r>
                    <w:rPr>
                      <w:rFonts w:ascii="Arial" w:hAnsi="Arial" w:cs="Arial"/>
                      <w:sz w:val="20"/>
                    </w:rPr>
                    <w:t>4</w:t>
                  </w:r>
                </w:p>
              </w:tc>
              <w:tc>
                <w:tcPr>
                  <w:tcW w:w="7560" w:type="dxa"/>
                  <w:vAlign w:val="center"/>
                </w:tcPr>
                <w:p w14:paraId="79941D92" w14:textId="77777777" w:rsidR="0031513E" w:rsidRDefault="0031513E" w:rsidP="00FB7862">
                  <w:pPr>
                    <w:jc w:val="left"/>
                    <w:rPr>
                      <w:rFonts w:ascii="Arial" w:hAnsi="Arial" w:cs="Arial"/>
                      <w:sz w:val="20"/>
                    </w:rPr>
                  </w:pPr>
                  <w:r>
                    <w:rPr>
                      <w:rFonts w:ascii="Arial" w:hAnsi="Arial"/>
                      <w:sz w:val="20"/>
                    </w:rPr>
                    <w:t>Above all, remember that variations in test results caused by improper specimen collection</w:t>
                  </w:r>
                  <w:r w:rsidR="00615BFB">
                    <w:rPr>
                      <w:rFonts w:ascii="Arial" w:hAnsi="Arial"/>
                      <w:sz w:val="20"/>
                    </w:rPr>
                    <w:t xml:space="preserve"> and preparation</w:t>
                  </w:r>
                  <w:r>
                    <w:rPr>
                      <w:rFonts w:ascii="Arial" w:hAnsi="Arial"/>
                      <w:sz w:val="20"/>
                    </w:rPr>
                    <w:t xml:space="preserve"> override the effects of good analytical precision.  The answer is only as good as the specimen.</w:t>
                  </w:r>
                </w:p>
              </w:tc>
            </w:tr>
            <w:tr w:rsidR="0031513E" w14:paraId="79941D96" w14:textId="77777777" w:rsidTr="00F840A5">
              <w:trPr>
                <w:cantSplit/>
                <w:trHeight w:val="800"/>
              </w:trPr>
              <w:tc>
                <w:tcPr>
                  <w:tcW w:w="697" w:type="dxa"/>
                </w:tcPr>
                <w:p w14:paraId="79941D94" w14:textId="77777777" w:rsidR="0031513E" w:rsidRDefault="0031513E" w:rsidP="00FB7862">
                  <w:pPr>
                    <w:jc w:val="center"/>
                    <w:rPr>
                      <w:rFonts w:ascii="Arial" w:hAnsi="Arial" w:cs="Arial"/>
                      <w:sz w:val="20"/>
                    </w:rPr>
                  </w:pPr>
                  <w:r>
                    <w:rPr>
                      <w:rFonts w:ascii="Arial" w:hAnsi="Arial" w:cs="Arial"/>
                      <w:sz w:val="20"/>
                    </w:rPr>
                    <w:t>5</w:t>
                  </w:r>
                </w:p>
              </w:tc>
              <w:tc>
                <w:tcPr>
                  <w:tcW w:w="7560" w:type="dxa"/>
                  <w:vAlign w:val="center"/>
                </w:tcPr>
                <w:p w14:paraId="79941D95" w14:textId="77777777" w:rsidR="0031513E" w:rsidRDefault="0031513E" w:rsidP="00615BFB">
                  <w:pPr>
                    <w:jc w:val="left"/>
                    <w:rPr>
                      <w:rFonts w:ascii="Arial" w:hAnsi="Arial" w:cs="Arial"/>
                      <w:sz w:val="20"/>
                    </w:rPr>
                  </w:pPr>
                  <w:r>
                    <w:rPr>
                      <w:rFonts w:ascii="Arial" w:hAnsi="Arial"/>
                      <w:sz w:val="20"/>
                    </w:rPr>
                    <w:t xml:space="preserve">The person doing phlebotomy represents the public’s image of the laboratory most often.  All professionals should adhere to a code of conduct or a code of ethics as defined by Children's </w:t>
                  </w:r>
                  <w:r w:rsidR="00615BFB">
                    <w:rPr>
                      <w:rFonts w:ascii="Arial" w:hAnsi="Arial"/>
                      <w:sz w:val="20"/>
                    </w:rPr>
                    <w:t>Minnesota</w:t>
                  </w:r>
                  <w:r>
                    <w:rPr>
                      <w:rFonts w:ascii="Arial" w:hAnsi="Arial"/>
                      <w:sz w:val="20"/>
                    </w:rPr>
                    <w:t>.</w:t>
                  </w:r>
                </w:p>
              </w:tc>
            </w:tr>
            <w:tr w:rsidR="0031513E" w14:paraId="79941D99" w14:textId="77777777" w:rsidTr="00F840A5">
              <w:trPr>
                <w:cantSplit/>
                <w:trHeight w:val="811"/>
              </w:trPr>
              <w:tc>
                <w:tcPr>
                  <w:tcW w:w="697" w:type="dxa"/>
                </w:tcPr>
                <w:p w14:paraId="79941D97" w14:textId="77777777" w:rsidR="0031513E" w:rsidRDefault="0031513E" w:rsidP="00FB7862">
                  <w:pPr>
                    <w:jc w:val="center"/>
                    <w:rPr>
                      <w:rFonts w:ascii="Arial" w:hAnsi="Arial" w:cs="Arial"/>
                      <w:sz w:val="20"/>
                    </w:rPr>
                  </w:pPr>
                  <w:r>
                    <w:rPr>
                      <w:rFonts w:ascii="Arial" w:hAnsi="Arial" w:cs="Arial"/>
                      <w:sz w:val="20"/>
                    </w:rPr>
                    <w:t>6</w:t>
                  </w:r>
                </w:p>
              </w:tc>
              <w:tc>
                <w:tcPr>
                  <w:tcW w:w="7560" w:type="dxa"/>
                  <w:vAlign w:val="center"/>
                </w:tcPr>
                <w:p w14:paraId="79941D98" w14:textId="77777777" w:rsidR="0031513E" w:rsidRDefault="0031513E" w:rsidP="00615BFB">
                  <w:pPr>
                    <w:jc w:val="left"/>
                    <w:rPr>
                      <w:rFonts w:ascii="Arial" w:hAnsi="Arial"/>
                      <w:sz w:val="20"/>
                    </w:rPr>
                  </w:pPr>
                  <w:r>
                    <w:rPr>
                      <w:rFonts w:ascii="Arial" w:hAnsi="Arial"/>
                      <w:sz w:val="20"/>
                    </w:rPr>
                    <w:t>During phlebotomy training, be sure to introduce yourself as well as the trainee. Inform the patient</w:t>
                  </w:r>
                  <w:r w:rsidR="00615BFB">
                    <w:rPr>
                      <w:rFonts w:ascii="Arial" w:hAnsi="Arial"/>
                      <w:sz w:val="20"/>
                    </w:rPr>
                    <w:t>/family</w:t>
                  </w:r>
                  <w:r>
                    <w:rPr>
                      <w:rFonts w:ascii="Arial" w:hAnsi="Arial"/>
                      <w:sz w:val="20"/>
                    </w:rPr>
                    <w:t xml:space="preserve"> that you are training and ask if it is permissible for the trainee to collect the specimen.</w:t>
                  </w:r>
                </w:p>
              </w:tc>
            </w:tr>
            <w:tr w:rsidR="0031513E" w14:paraId="79941D9C" w14:textId="77777777" w:rsidTr="00F840A5">
              <w:trPr>
                <w:trHeight w:val="847"/>
              </w:trPr>
              <w:tc>
                <w:tcPr>
                  <w:tcW w:w="697" w:type="dxa"/>
                </w:tcPr>
                <w:p w14:paraId="79941D9A" w14:textId="77777777" w:rsidR="0031513E" w:rsidRDefault="0031513E" w:rsidP="00FB7862">
                  <w:pPr>
                    <w:jc w:val="center"/>
                    <w:rPr>
                      <w:rFonts w:ascii="Arial" w:hAnsi="Arial" w:cs="Arial"/>
                      <w:sz w:val="20"/>
                    </w:rPr>
                  </w:pPr>
                  <w:r>
                    <w:rPr>
                      <w:rFonts w:ascii="Arial" w:hAnsi="Arial" w:cs="Arial"/>
                      <w:sz w:val="20"/>
                    </w:rPr>
                    <w:t>7</w:t>
                  </w:r>
                </w:p>
              </w:tc>
              <w:tc>
                <w:tcPr>
                  <w:tcW w:w="7560" w:type="dxa"/>
                  <w:vAlign w:val="center"/>
                </w:tcPr>
                <w:p w14:paraId="79941D9B" w14:textId="77777777" w:rsidR="0031513E" w:rsidRDefault="0031513E" w:rsidP="00615BFB">
                  <w:pPr>
                    <w:jc w:val="left"/>
                    <w:rPr>
                      <w:rFonts w:ascii="Arial" w:hAnsi="Arial" w:cs="Arial"/>
                      <w:sz w:val="20"/>
                    </w:rPr>
                  </w:pPr>
                  <w:r>
                    <w:rPr>
                      <w:rFonts w:ascii="Arial" w:hAnsi="Arial"/>
                      <w:sz w:val="20"/>
                    </w:rPr>
                    <w:t>Realize that the knowledge obtained concerning patients during the course of your work must be treated with strict confidentiality. Recognize that your integrity and that of the profession must be pledged to the absolute reliability of your work.</w:t>
                  </w:r>
                </w:p>
              </w:tc>
            </w:tr>
          </w:tbl>
          <w:p w14:paraId="79941D9D" w14:textId="77777777" w:rsidR="0031513E" w:rsidRDefault="0031513E" w:rsidP="00FB7862">
            <w:pPr>
              <w:jc w:val="left"/>
              <w:rPr>
                <w:rFonts w:ascii="Arial" w:hAnsi="Arial" w:cs="Arial"/>
                <w:sz w:val="20"/>
              </w:rPr>
            </w:pPr>
          </w:p>
        </w:tc>
      </w:tr>
    </w:tbl>
    <w:p w14:paraId="79941D9F" w14:textId="77777777" w:rsidR="0031513E" w:rsidRDefault="0031513E"/>
    <w:sectPr w:rsidR="0031513E" w:rsidSect="00615BFB">
      <w:headerReference w:type="default" r:id="rId12"/>
      <w:footerReference w:type="default" r:id="rId13"/>
      <w:pgSz w:w="12240" w:h="15840" w:code="1"/>
      <w:pgMar w:top="1260" w:right="1800" w:bottom="108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41DA2" w14:textId="77777777" w:rsidR="00565612" w:rsidRDefault="00565612">
      <w:r>
        <w:separator/>
      </w:r>
    </w:p>
  </w:endnote>
  <w:endnote w:type="continuationSeparator" w:id="0">
    <w:p w14:paraId="79941DA3" w14:textId="77777777" w:rsidR="00565612" w:rsidRDefault="0056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41DA7" w14:textId="77777777" w:rsidR="0031513E" w:rsidRDefault="0031513E" w:rsidP="00EA4270">
    <w:pPr>
      <w:pStyle w:val="Footer"/>
      <w:tabs>
        <w:tab w:val="clear" w:pos="8640"/>
        <w:tab w:val="right" w:pos="9630"/>
      </w:tabs>
      <w:ind w:left="-1260" w:right="-1440"/>
      <w:rPr>
        <w:rFonts w:ascii="Arial" w:hAnsi="Arial" w:cs="Arial"/>
        <w:sz w:val="16"/>
      </w:rPr>
    </w:pPr>
    <w:r>
      <w:rPr>
        <w:rFonts w:ascii="Arial" w:hAnsi="Arial" w:cs="Arial"/>
        <w:sz w:val="16"/>
      </w:rPr>
      <w:t>Laboratory, Children’s Minnesot</w:t>
    </w:r>
    <w:r w:rsidR="00615BFB">
      <w:rPr>
        <w:rFonts w:ascii="Arial" w:hAnsi="Arial" w:cs="Arial"/>
        <w:sz w:val="16"/>
      </w:rPr>
      <w:t>a, Minneapolis/St. Paul, MN</w:t>
    </w:r>
    <w:r w:rsidR="00F840A5">
      <w:rPr>
        <w:rFonts w:ascii="Arial" w:hAnsi="Arial" w:cs="Arial"/>
        <w:sz w:val="16"/>
      </w:rPr>
      <w:tab/>
    </w:r>
    <w:r w:rsidR="00615BFB">
      <w:rPr>
        <w:rFonts w:ascii="Arial" w:hAnsi="Arial" w:cs="Arial"/>
        <w:sz w:val="16"/>
      </w:rPr>
      <w:tab/>
      <w:t xml:space="preserve"> </w:t>
    </w: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D52562">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D52562">
      <w:rPr>
        <w:rFonts w:ascii="Arial" w:hAnsi="Arial" w:cs="Arial"/>
        <w:noProof/>
        <w:sz w:val="16"/>
      </w:rPr>
      <w:t>1</w:t>
    </w:r>
    <w:r>
      <w:rPr>
        <w:rFonts w:ascii="Arial" w:hAnsi="Arial" w:cs="Arial"/>
        <w:sz w:val="16"/>
      </w:rPr>
      <w:fldChar w:fldCharType="end"/>
    </w:r>
  </w:p>
  <w:p w14:paraId="79941DA8" w14:textId="77777777" w:rsidR="0031513E" w:rsidRDefault="00F840A5">
    <w:pPr>
      <w:pStyle w:val="Footer"/>
      <w:tabs>
        <w:tab w:val="clear" w:pos="8640"/>
        <w:tab w:val="right" w:pos="10080"/>
      </w:tabs>
      <w:ind w:left="-1260" w:right="-1440"/>
      <w:rPr>
        <w:sz w:val="16"/>
      </w:rPr>
    </w:pPr>
    <w:r w:rsidRPr="00956E28">
      <w:rPr>
        <w:rFonts w:ascii="Arial" w:hAnsi="Arial" w:cs="Arial"/>
        <w:sz w:val="16"/>
      </w:rPr>
      <w:t>Printed copy expires at 23:59 on the date of print.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41DA0" w14:textId="77777777" w:rsidR="00565612" w:rsidRDefault="00565612">
      <w:r>
        <w:separator/>
      </w:r>
    </w:p>
  </w:footnote>
  <w:footnote w:type="continuationSeparator" w:id="0">
    <w:p w14:paraId="79941DA1" w14:textId="77777777" w:rsidR="00565612" w:rsidRDefault="00565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41DA4" w14:textId="77777777" w:rsidR="0031513E" w:rsidRDefault="00FB77C4" w:rsidP="00FB7862">
    <w:pPr>
      <w:tabs>
        <w:tab w:val="left" w:pos="8569"/>
      </w:tabs>
      <w:ind w:left="-1260" w:right="-1440"/>
      <w:rPr>
        <w:rFonts w:ascii="Arial" w:hAnsi="Arial" w:cs="Arial"/>
        <w:iCs/>
        <w:sz w:val="18"/>
      </w:rPr>
    </w:pPr>
    <w:r>
      <w:rPr>
        <w:rFonts w:ascii="Arial" w:hAnsi="Arial" w:cs="Arial"/>
        <w:noProof/>
        <w:sz w:val="18"/>
      </w:rPr>
      <w:drawing>
        <wp:anchor distT="0" distB="0" distL="114300" distR="114300" simplePos="0" relativeHeight="251657728" behindDoc="0" locked="0" layoutInCell="1" allowOverlap="1" wp14:anchorId="79941DA9" wp14:editId="79941DAA">
          <wp:simplePos x="0" y="0"/>
          <wp:positionH relativeFrom="column">
            <wp:posOffset>5122545</wp:posOffset>
          </wp:positionH>
          <wp:positionV relativeFrom="paragraph">
            <wp:posOffset>29845</wp:posOffset>
          </wp:positionV>
          <wp:extent cx="1049020" cy="337185"/>
          <wp:effectExtent l="0" t="0" r="0" b="0"/>
          <wp:wrapNone/>
          <wp:docPr id="5" name="Picture 5"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020" cy="337185"/>
                  </a:xfrm>
                  <a:prstGeom prst="rect">
                    <a:avLst/>
                  </a:prstGeom>
                  <a:noFill/>
                </pic:spPr>
              </pic:pic>
            </a:graphicData>
          </a:graphic>
          <wp14:sizeRelH relativeFrom="page">
            <wp14:pctWidth>0</wp14:pctWidth>
          </wp14:sizeRelH>
          <wp14:sizeRelV relativeFrom="page">
            <wp14:pctHeight>0</wp14:pctHeight>
          </wp14:sizeRelV>
        </wp:anchor>
      </w:drawing>
    </w:r>
    <w:r w:rsidR="0031513E">
      <w:rPr>
        <w:rFonts w:ascii="Arial" w:hAnsi="Arial" w:cs="Arial"/>
        <w:noProof/>
        <w:sz w:val="18"/>
      </w:rPr>
      <w:t>SCM 1.0</w:t>
    </w:r>
    <w:r w:rsidR="002A4FD6">
      <w:rPr>
        <w:rFonts w:ascii="Arial" w:hAnsi="Arial" w:cs="Arial"/>
        <w:noProof/>
        <w:sz w:val="18"/>
      </w:rPr>
      <w:t>0</w:t>
    </w:r>
    <w:r w:rsidR="0031513E">
      <w:rPr>
        <w:rFonts w:ascii="Arial" w:hAnsi="Arial" w:cs="Arial"/>
        <w:iCs/>
        <w:sz w:val="18"/>
      </w:rPr>
      <w:t xml:space="preserve"> Introduction to Specimen Collection</w:t>
    </w:r>
    <w:r w:rsidR="00FB7862">
      <w:rPr>
        <w:rFonts w:ascii="Arial" w:hAnsi="Arial" w:cs="Arial"/>
        <w:iCs/>
        <w:sz w:val="18"/>
      </w:rPr>
      <w:tab/>
    </w:r>
  </w:p>
  <w:p w14:paraId="79941DA5" w14:textId="77777777" w:rsidR="0031513E" w:rsidRDefault="0031513E">
    <w:pPr>
      <w:ind w:left="-1260" w:right="-1440"/>
      <w:rPr>
        <w:rFonts w:ascii="Arial" w:hAnsi="Arial" w:cs="Arial"/>
        <w:sz w:val="18"/>
      </w:rPr>
    </w:pPr>
    <w:r>
      <w:rPr>
        <w:rFonts w:ascii="Arial" w:hAnsi="Arial" w:cs="Arial"/>
        <w:iCs/>
        <w:sz w:val="18"/>
      </w:rPr>
      <w:t xml:space="preserve">Version </w:t>
    </w:r>
    <w:r w:rsidR="00FB7862">
      <w:rPr>
        <w:rFonts w:ascii="Arial" w:hAnsi="Arial" w:cs="Arial"/>
        <w:iCs/>
        <w:sz w:val="18"/>
      </w:rPr>
      <w:t>6</w:t>
    </w:r>
    <w:r>
      <w:rPr>
        <w:rFonts w:ascii="Arial" w:hAnsi="Arial" w:cs="Arial"/>
        <w:sz w:val="18"/>
      </w:rPr>
      <w:t xml:space="preserve">                                                                    </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 xml:space="preserve">    </w:t>
    </w:r>
  </w:p>
  <w:p w14:paraId="79941DA6" w14:textId="77777777" w:rsidR="0031513E" w:rsidRPr="002A4FD6" w:rsidRDefault="0031513E" w:rsidP="002A4FD6">
    <w:pPr>
      <w:ind w:left="-1260" w:right="-1440"/>
      <w:rPr>
        <w:rFonts w:ascii="Arial" w:hAnsi="Arial" w:cs="Arial"/>
        <w:sz w:val="18"/>
      </w:rPr>
    </w:pPr>
    <w:r>
      <w:rPr>
        <w:rFonts w:ascii="Arial" w:hAnsi="Arial" w:cs="Arial"/>
        <w:sz w:val="18"/>
      </w:rPr>
      <w:t xml:space="preserve">Effective Date: </w:t>
    </w:r>
    <w:r w:rsidR="00EA4270">
      <w:rPr>
        <w:rFonts w:ascii="Arial" w:hAnsi="Arial" w:cs="Arial"/>
        <w:sz w:val="18"/>
      </w:rPr>
      <w:t>9/26</w:t>
    </w:r>
    <w:r w:rsidR="00FB7862">
      <w:rPr>
        <w:rFonts w:ascii="Arial" w:hAnsi="Arial" w:cs="Arial"/>
        <w:sz w:val="18"/>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56346F"/>
    <w:multiLevelType w:val="multilevel"/>
    <w:tmpl w:val="6750C2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D61F60"/>
    <w:multiLevelType w:val="singleLevel"/>
    <w:tmpl w:val="04090013"/>
    <w:lvl w:ilvl="0">
      <w:start w:val="1"/>
      <w:numFmt w:val="upperRoman"/>
      <w:lvlText w:val="%1."/>
      <w:lvlJc w:val="left"/>
      <w:pPr>
        <w:tabs>
          <w:tab w:val="num" w:pos="720"/>
        </w:tabs>
        <w:ind w:left="720" w:hanging="720"/>
      </w:pPr>
      <w:rPr>
        <w:rFonts w:hint="default"/>
      </w:rPr>
    </w:lvl>
  </w:abstractNum>
  <w:abstractNum w:abstractNumId="5" w15:restartNumberingAfterBreak="0">
    <w:nsid w:val="38597795"/>
    <w:multiLevelType w:val="hybridMultilevel"/>
    <w:tmpl w:val="9E66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E27B12"/>
    <w:multiLevelType w:val="hybridMultilevel"/>
    <w:tmpl w:val="6750C2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A52C2A"/>
    <w:multiLevelType w:val="hybridMultilevel"/>
    <w:tmpl w:val="2E1680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11"/>
  </w:num>
  <w:num w:numId="4">
    <w:abstractNumId w:val="1"/>
  </w:num>
  <w:num w:numId="5">
    <w:abstractNumId w:val="0"/>
  </w:num>
  <w:num w:numId="6">
    <w:abstractNumId w:val="9"/>
  </w:num>
  <w:num w:numId="7">
    <w:abstractNumId w:val="2"/>
  </w:num>
  <w:num w:numId="8">
    <w:abstractNumId w:val="6"/>
  </w:num>
  <w:num w:numId="9">
    <w:abstractNumId w:val="3"/>
  </w:num>
  <w:num w:numId="10">
    <w:abstractNumId w:val="8"/>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view w:val="normal"/>
  <w:zoom w:percent="100"/>
  <w:hideSpellingErrors/>
  <w:hideGrammaticalErrors/>
  <w:revisionView w:inkAnnotation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07"/>
    <w:rsid w:val="000E1826"/>
    <w:rsid w:val="002A4FD6"/>
    <w:rsid w:val="0031513E"/>
    <w:rsid w:val="004512E2"/>
    <w:rsid w:val="00562868"/>
    <w:rsid w:val="00565612"/>
    <w:rsid w:val="00615BFB"/>
    <w:rsid w:val="00634B58"/>
    <w:rsid w:val="00B45E07"/>
    <w:rsid w:val="00BE393D"/>
    <w:rsid w:val="00D52562"/>
    <w:rsid w:val="00E530EE"/>
    <w:rsid w:val="00EA4270"/>
    <w:rsid w:val="00F5066C"/>
    <w:rsid w:val="00F840A5"/>
    <w:rsid w:val="00FB77C4"/>
    <w:rsid w:val="00FB7862"/>
    <w:rsid w:val="00FE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9941D6F"/>
  <w15:chartTrackingRefBased/>
  <w15:docId w15:val="{BDA52EBF-6BCD-4126-8FE6-847E7757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5"/>
      </w:numPr>
      <w:outlineLvl w:val="0"/>
    </w:pPr>
    <w:rPr>
      <w:rFonts w:cs="Arial"/>
      <w:b/>
      <w:bCs/>
      <w:kern w:val="32"/>
      <w:sz w:val="26"/>
      <w:szCs w:val="32"/>
    </w:rPr>
  </w:style>
  <w:style w:type="paragraph" w:styleId="Heading2">
    <w:name w:val="heading 2"/>
    <w:basedOn w:val="Normal"/>
    <w:next w:val="Normal"/>
    <w:qFormat/>
    <w:pPr>
      <w:keepNext/>
      <w:numPr>
        <w:ilvl w:val="1"/>
        <w:numId w:val="5"/>
      </w:numPr>
      <w:outlineLvl w:val="1"/>
    </w:pPr>
    <w:rPr>
      <w:rFonts w:cs="Arial"/>
      <w:b/>
      <w:bCs/>
      <w:iCs/>
      <w:sz w:val="24"/>
      <w:szCs w:val="28"/>
    </w:rPr>
  </w:style>
  <w:style w:type="paragraph" w:styleId="Heading3">
    <w:name w:val="heading 3"/>
    <w:basedOn w:val="Normal"/>
    <w:next w:val="Normal"/>
    <w:qFormat/>
    <w:pPr>
      <w:keepNext/>
      <w:numPr>
        <w:ilvl w:val="2"/>
        <w:numId w:val="5"/>
      </w:numPr>
      <w:outlineLvl w:val="2"/>
    </w:pPr>
    <w:rPr>
      <w:rFonts w:cs="Arial"/>
      <w:b/>
      <w:bCs/>
      <w:szCs w:val="26"/>
    </w:rPr>
  </w:style>
  <w:style w:type="paragraph" w:styleId="Heading4">
    <w:name w:val="heading 4"/>
    <w:aliases w:val="Map Title"/>
    <w:basedOn w:val="Normal"/>
    <w:next w:val="Normal"/>
    <w:qFormat/>
    <w:pPr>
      <w:keepNext/>
      <w:numPr>
        <w:ilvl w:val="3"/>
        <w:numId w:val="5"/>
      </w:numPr>
      <w:outlineLvl w:val="3"/>
    </w:pPr>
    <w:rPr>
      <w:bCs/>
      <w:szCs w:val="28"/>
    </w:rPr>
  </w:style>
  <w:style w:type="paragraph" w:styleId="Heading5">
    <w:name w:val="heading 5"/>
    <w:aliases w:val="Block Label"/>
    <w:basedOn w:val="Normal"/>
    <w:next w:val="Normal"/>
    <w:qFormat/>
    <w:pPr>
      <w:keepNext/>
      <w:numPr>
        <w:ilvl w:val="4"/>
        <w:numId w:val="5"/>
      </w:numPr>
      <w:spacing w:before="20"/>
      <w:outlineLvl w:val="4"/>
    </w:pPr>
  </w:style>
  <w:style w:type="paragraph" w:styleId="Heading6">
    <w:name w:val="heading 6"/>
    <w:basedOn w:val="Normal"/>
    <w:next w:val="Normal"/>
    <w:qFormat/>
    <w:pPr>
      <w:keepNext/>
      <w:numPr>
        <w:ilvl w:val="5"/>
        <w:numId w:val="5"/>
      </w:numPr>
      <w:outlineLvl w:val="5"/>
    </w:pPr>
    <w:rPr>
      <w:b/>
      <w:bCs/>
      <w:sz w:val="18"/>
    </w:rPr>
  </w:style>
  <w:style w:type="paragraph" w:styleId="Heading7">
    <w:name w:val="heading 7"/>
    <w:basedOn w:val="Normal"/>
    <w:next w:val="Normal"/>
    <w:qFormat/>
    <w:pPr>
      <w:keepNext/>
      <w:numPr>
        <w:ilvl w:val="6"/>
        <w:numId w:val="5"/>
      </w:numPr>
      <w:outlineLvl w:val="6"/>
    </w:pPr>
    <w:rPr>
      <w:sz w:val="28"/>
    </w:rPr>
  </w:style>
  <w:style w:type="paragraph" w:styleId="Heading8">
    <w:name w:val="heading 8"/>
    <w:basedOn w:val="Normal"/>
    <w:next w:val="Normal"/>
    <w:qFormat/>
    <w:pPr>
      <w:keepNext/>
      <w:numPr>
        <w:ilvl w:val="7"/>
        <w:numId w:val="5"/>
      </w:numPr>
      <w:jc w:val="center"/>
      <w:outlineLvl w:val="7"/>
    </w:pPr>
    <w:rPr>
      <w:b/>
      <w:bCs/>
    </w:rPr>
  </w:style>
  <w:style w:type="paragraph" w:styleId="Heading9">
    <w:name w:val="heading 9"/>
    <w:basedOn w:val="Normal"/>
    <w:next w:val="Normal"/>
    <w:qFormat/>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2021-11-08T06:00:00+00:00</Renewal_x0020_Date>
    <Legacy_x0020_Name xmlns="199f0838-75a6-4f0c-9be1-f2c07140bccc">SCM 1.00 Introduction to Specimen Collection.doc</Legacy_x0020_Name>
    <Publish_x0020_As xmlns="199f0838-75a6-4f0c-9be1-f2c07140bccc">Default</Publish_x0020_As>
    <Legacy_x0020_Document_x0020_ID xmlns="199f0838-75a6-4f0c-9be1-f2c07140bccc">205643</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F6TN54CWY5RS-50183619-29535</_dlc_DocId>
    <_Version xmlns="http://schemas.microsoft.com/sharepoint/v3/fields">3</_Version>
    <Meta_x0020_Tag_x0020_Keywords xmlns="199f0838-75a6-4f0c-9be1-f2c07140bccc" xsi:nil="true"/>
    <Study_x0020_Status xmlns="c1848e11-9cf6-4ce4-877e-6837d2c2fa23" xsi:nil="true"/>
    <_dlc_DocIdUrl xmlns="199f0838-75a6-4f0c-9be1-f2c07140bccc">
      <Url>https://vcpsharepoint4.childrenshc.org/references/_layouts/15/DocIdRedir.aspx?ID=F6TN54CWY5RS-50183619-29535</Url>
      <Description>F6TN54CWY5RS-50183619-29535</Description>
    </_dlc_DocIdUrl>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SCM 1.00 Introduction to Specimen Collection</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 xsi:nil="true"/>
    <_DCDateCreated xmlns="http://schemas.microsoft.com/sharepoint/v3/fields">2016-09-15T17:27:00+00:00</_DCDateCreated>
    <Summary xmlns="199f0838-75a6-4f0c-9be1-f2c07140bccc">11/08/21- Reviewed; no changes made- DG</Summary>
    <SubTitle xmlns="199f0838-75a6-4f0c-9be1-f2c07140bccc" xsi:nil="true"/>
    <Content_x0020_Release_x0020_Date xmlns="199f0838-75a6-4f0c-9be1-f2c07140bccc">2016-09-26T05:00:00+00:00</Content_x0020_Release_x0020_Dat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1581E-0CFB-44C6-97E2-BCEF1AC9FBCF}">
  <ds:schemaRefs>
    <ds:schemaRef ds:uri="http://schemas.microsoft.com/sharepoint/events"/>
  </ds:schemaRefs>
</ds:datastoreItem>
</file>

<file path=customXml/itemProps2.xml><?xml version="1.0" encoding="utf-8"?>
<ds:datastoreItem xmlns:ds="http://schemas.openxmlformats.org/officeDocument/2006/customXml" ds:itemID="{1D18CFB1-EDE3-44CC-8A6F-0BB58A7FF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E8451B-F1B4-49C2-BB63-B71FCE5D884A}">
  <ds:schemaRefs>
    <ds:schemaRef ds:uri="http://schemas.microsoft.com/sharepoint/v3/contenttype/forms"/>
  </ds:schemaRefs>
</ds:datastoreItem>
</file>

<file path=customXml/itemProps4.xml><?xml version="1.0" encoding="utf-8"?>
<ds:datastoreItem xmlns:ds="http://schemas.openxmlformats.org/officeDocument/2006/customXml" ds:itemID="{A5AF701F-EFD7-4BED-8BBD-0D59FEB33647}">
  <ds:schemaRefs>
    <ds:schemaRef ds:uri="http://schemas.microsoft.com/office/2006/documentManagement/types"/>
    <ds:schemaRef ds:uri="http://purl.org/dc/elements/1.1/"/>
    <ds:schemaRef ds:uri="http://purl.org/dc/dcmitype/"/>
    <ds:schemaRef ds:uri="http://schemas.microsoft.com/sharepoint/v3/fields"/>
    <ds:schemaRef ds:uri="http://schemas.microsoft.com/office/2006/metadata/properties"/>
    <ds:schemaRef ds:uri="http://schemas.openxmlformats.org/package/2006/metadata/core-properties"/>
    <ds:schemaRef ds:uri="http://purl.org/dc/terms/"/>
    <ds:schemaRef ds:uri="199f0838-75a6-4f0c-9be1-f2c07140bccc"/>
    <ds:schemaRef ds:uri="c1848e11-9cf6-4ce4-877e-6837d2c2fa23"/>
    <ds:schemaRef ds:uri="http://schemas.microsoft.com/office/infopath/2007/PartnerControls"/>
    <ds:schemaRef ds:uri="http://schemas.microsoft.com/sharepoint.v3"/>
    <ds:schemaRef ds:uri="http://schemas.microsoft.com/sharepoint/v3"/>
    <ds:schemaRef ds:uri="http://www.w3.org/XML/1998/namespace"/>
  </ds:schemaRefs>
</ds:datastoreItem>
</file>

<file path=customXml/itemProps5.xml><?xml version="1.0" encoding="utf-8"?>
<ds:datastoreItem xmlns:ds="http://schemas.openxmlformats.org/officeDocument/2006/customXml" ds:itemID="{C20BF369-3058-4A02-B345-41EEE31E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1576</Characters>
  <Application>Microsoft Office Word</Application>
  <DocSecurity>6</DocSecurity>
  <Lines>13</Lines>
  <Paragraphs>3</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CE140327</dc:creator>
  <cp:keywords/>
  <dc:description>9/15/16 Updated format; minor revisions. L. Kappenman</dc:description>
  <cp:lastModifiedBy>Miranda Berry</cp:lastModifiedBy>
  <cp:revision>2</cp:revision>
  <cp:lastPrinted>2013-07-17T15:28:00Z</cp:lastPrinted>
  <dcterms:created xsi:type="dcterms:W3CDTF">2022-11-23T16:53:00Z</dcterms:created>
  <dcterms:modified xsi:type="dcterms:W3CDTF">2022-11-23T16:53:00Z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00ad1a7d-406a-4fb1-8449-b38d08018d24</vt:lpwstr>
  </property>
  <property fmtid="{D5CDD505-2E9C-101B-9397-08002B2CF9AE}" pid="4" name="WorkflowChangePath">
    <vt:lpwstr>a8d28c1c-6954-4ce7-8b3c-93c4392a3501,22;</vt:lpwstr>
  </property>
</Properties>
</file>