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90"/>
        <w:gridCol w:w="6225"/>
        <w:gridCol w:w="1965"/>
      </w:tblGrid>
      <w:tr w:rsidR="001D4325" w14:paraId="3459F8FC" w14:textId="77777777">
        <w:trPr>
          <w:cantSplit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9F8FA" w14:textId="77777777" w:rsidR="001D4325" w:rsidRDefault="001D4325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Transportation of Specimens</w:t>
            </w:r>
          </w:p>
          <w:p w14:paraId="3459F8FB" w14:textId="77777777" w:rsidR="001D4325" w:rsidRDefault="001D4325">
            <w:pPr>
              <w:rPr>
                <w:rFonts w:ascii="Arial" w:hAnsi="Arial" w:cs="Arial"/>
                <w:sz w:val="24"/>
              </w:rPr>
            </w:pPr>
          </w:p>
        </w:tc>
      </w:tr>
      <w:tr w:rsidR="001D4325" w14:paraId="3459F901" w14:textId="77777777">
        <w:trPr>
          <w:cantSplit/>
          <w:trHeight w:val="8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9F8FD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59F8FE" w14:textId="77777777"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F8FF" w14:textId="77777777" w:rsidR="001D4325" w:rsidRDefault="001D4325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59F900" w14:textId="77777777" w:rsidR="001D4325" w:rsidRDefault="001D432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TRANSPORTATION OF SPECIMENS.</w:t>
            </w:r>
          </w:p>
        </w:tc>
      </w:tr>
      <w:tr w:rsidR="001D4325" w14:paraId="3459F908" w14:textId="77777777">
        <w:trPr>
          <w:cantSplit/>
          <w:trHeight w:val="14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9F902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59F903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F904" w14:textId="77777777" w:rsidR="001D4325" w:rsidRDefault="001D432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459F905" w14:textId="77777777" w:rsidR="001D4325" w:rsidRDefault="001D4325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To ensure that the mode of transporting specimens to the laboratory will not comprise the integrity of the specimen</w:t>
            </w:r>
          </w:p>
          <w:p w14:paraId="3459F906" w14:textId="77777777" w:rsidR="001D4325" w:rsidRDefault="001D4325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14:paraId="3459F907" w14:textId="77777777" w:rsidR="001D4325" w:rsidRDefault="001D4325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staff.</w:t>
            </w:r>
          </w:p>
        </w:tc>
      </w:tr>
      <w:tr w:rsidR="001D4325" w14:paraId="3459F90E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9F909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59F90A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F90B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459F90C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specimens.</w:t>
            </w:r>
          </w:p>
          <w:p w14:paraId="3459F90D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D4325" w14:paraId="3459F927" w14:textId="77777777" w:rsidTr="00D23CE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9F90F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59F910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3459F911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</w:tcPr>
          <w:p w14:paraId="3459F912" w14:textId="77777777"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p w14:paraId="3459F913" w14:textId="77777777"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TRANSPORTATION OF SPECIMENS.</w:t>
            </w:r>
          </w:p>
          <w:p w14:paraId="3459F914" w14:textId="77777777"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"/>
              <w:gridCol w:w="7982"/>
            </w:tblGrid>
            <w:tr w:rsidR="001D4325" w14:paraId="3459F917" w14:textId="77777777">
              <w:tc>
                <w:tcPr>
                  <w:tcW w:w="967" w:type="dxa"/>
                </w:tcPr>
                <w:p w14:paraId="3459F915" w14:textId="77777777" w:rsidR="001D4325" w:rsidRDefault="001D4325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982" w:type="dxa"/>
                </w:tcPr>
                <w:p w14:paraId="3459F916" w14:textId="77777777" w:rsidR="001D4325" w:rsidRDefault="001D4325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1D4325" w14:paraId="3459F91A" w14:textId="77777777" w:rsidTr="00D23CEE">
              <w:trPr>
                <w:trHeight w:val="352"/>
              </w:trPr>
              <w:tc>
                <w:tcPr>
                  <w:tcW w:w="967" w:type="dxa"/>
                </w:tcPr>
                <w:p w14:paraId="3459F918" w14:textId="77777777"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982" w:type="dxa"/>
                </w:tcPr>
                <w:p w14:paraId="3459F919" w14:textId="77777777" w:rsidR="001D4325" w:rsidRDefault="001D432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Specimens must be placed in a leak-proof primary container with a secure closure</w:t>
                  </w:r>
                </w:p>
              </w:tc>
            </w:tr>
            <w:tr w:rsidR="001D4325" w14:paraId="3459F91D" w14:textId="77777777" w:rsidTr="00D23CEE">
              <w:trPr>
                <w:trHeight w:val="352"/>
              </w:trPr>
              <w:tc>
                <w:tcPr>
                  <w:tcW w:w="967" w:type="dxa"/>
                </w:tcPr>
                <w:p w14:paraId="3459F91B" w14:textId="77777777"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7982" w:type="dxa"/>
                </w:tcPr>
                <w:p w14:paraId="3459F91C" w14:textId="77777777" w:rsidR="001D4325" w:rsidRDefault="001D432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Avoid contamination of the outside of the container</w:t>
                  </w:r>
                </w:p>
              </w:tc>
            </w:tr>
            <w:tr w:rsidR="001D4325" w14:paraId="3459F920" w14:textId="77777777" w:rsidTr="00D23CEE">
              <w:trPr>
                <w:trHeight w:val="622"/>
              </w:trPr>
              <w:tc>
                <w:tcPr>
                  <w:tcW w:w="967" w:type="dxa"/>
                </w:tcPr>
                <w:p w14:paraId="3459F91E" w14:textId="77777777"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7982" w:type="dxa"/>
                </w:tcPr>
                <w:p w14:paraId="3459F91F" w14:textId="77777777" w:rsidR="001D4325" w:rsidRDefault="001D432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transportation, primary containers should be placed in secondary containers which will contain the specimen should it break or leak in transit</w:t>
                  </w:r>
                </w:p>
              </w:tc>
            </w:tr>
            <w:tr w:rsidR="001D4325" w14:paraId="3459F923" w14:textId="77777777" w:rsidTr="00D23CEE">
              <w:trPr>
                <w:trHeight w:val="1072"/>
              </w:trPr>
              <w:tc>
                <w:tcPr>
                  <w:tcW w:w="967" w:type="dxa"/>
                </w:tcPr>
                <w:p w14:paraId="3459F921" w14:textId="77777777"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7982" w:type="dxa"/>
                </w:tcPr>
                <w:p w14:paraId="3459F922" w14:textId="77777777" w:rsidR="001D4325" w:rsidRDefault="001D4325" w:rsidP="00D23CE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Specimens placed in the pneumatic tube for transport must be placed in a zip-lock biohazard bag before transporting.  Carrier liners and packing materials are to be used to prevent breakage and unnecessary jarring.  See </w:t>
                  </w:r>
                  <w:hyperlink r:id="rId11" w:history="1">
                    <w:r w:rsidR="00D23CEE">
                      <w:rPr>
                        <w:rStyle w:val="Hyperlink"/>
                        <w:rFonts w:ascii="Arial" w:hAnsi="Arial" w:cs="Arial"/>
                        <w:sz w:val="20"/>
                      </w:rPr>
                      <w:t xml:space="preserve">Children's Hospitals and Clinics of Minnesota </w:t>
                    </w:r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Policy 990.00</w:t>
                    </w:r>
                    <w:r w:rsidR="00D23CEE">
                      <w:rPr>
                        <w:rStyle w:val="Hyperlink"/>
                        <w:rFonts w:ascii="Arial" w:hAnsi="Arial" w:cs="Arial"/>
                        <w:sz w:val="20"/>
                      </w:rPr>
                      <w:t xml:space="preserve"> Pneumatic Tube System</w:t>
                    </w:r>
                  </w:hyperlink>
                  <w:r w:rsidR="001B6C13">
                    <w:t xml:space="preserve"> and </w:t>
                  </w:r>
                  <w:hyperlink r:id="rId12" w:history="1">
                    <w:r w:rsidR="001B6C13" w:rsidRPr="001B6C13">
                      <w:rPr>
                        <w:rStyle w:val="Hyperlink"/>
                      </w:rPr>
                      <w:t>SCM 8.0 Pneumatic Tube Transport System</w:t>
                    </w:r>
                  </w:hyperlink>
                  <w:r w:rsidR="001B6C13">
                    <w:t>.</w:t>
                  </w:r>
                </w:p>
              </w:tc>
            </w:tr>
          </w:tbl>
          <w:p w14:paraId="3459F924" w14:textId="77777777"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p w14:paraId="3459F925" w14:textId="77777777" w:rsidR="001D4325" w:rsidRDefault="001D4325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Procedure notes</w:t>
            </w:r>
          </w:p>
          <w:p w14:paraId="3459F926" w14:textId="77777777" w:rsidR="001D4325" w:rsidRDefault="001D4325" w:rsidP="00D23CE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specimen that has a potential to leak or break must be packaged properly for safe handling during transport to the laboratory</w:t>
            </w:r>
            <w:r w:rsidR="00D23CEE">
              <w:rPr>
                <w:rFonts w:ascii="Arial" w:hAnsi="Arial" w:cs="Arial"/>
              </w:rPr>
              <w:t>.</w:t>
            </w:r>
          </w:p>
        </w:tc>
      </w:tr>
      <w:tr w:rsidR="001D4325" w14:paraId="3459F92E" w14:textId="77777777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 w:val="restart"/>
            <w:tcBorders>
              <w:left w:val="nil"/>
              <w:bottom w:val="nil"/>
              <w:right w:val="nil"/>
            </w:tcBorders>
          </w:tcPr>
          <w:p w14:paraId="3459F928" w14:textId="77777777" w:rsidR="00D23CEE" w:rsidRDefault="00D23CEE" w:rsidP="00D23CEE">
            <w:pPr>
              <w:rPr>
                <w:rFonts w:ascii="Arial" w:hAnsi="Arial" w:cs="Arial"/>
                <w:sz w:val="20"/>
              </w:rPr>
            </w:pPr>
          </w:p>
          <w:p w14:paraId="3459F929" w14:textId="77777777" w:rsidR="00D23CEE" w:rsidRDefault="00D23CEE" w:rsidP="00D23CE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  <w:p w14:paraId="3459F92A" w14:textId="77777777" w:rsidR="001D4325" w:rsidRPr="00D23CEE" w:rsidRDefault="001D4325" w:rsidP="00D23CEE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F92B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F92C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F92D" w14:textId="77777777" w:rsidR="001D4325" w:rsidRDefault="001D432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D4325" w14:paraId="3459F933" w14:textId="77777777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59F92F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0" w14:textId="77777777" w:rsidR="001D4325" w:rsidRDefault="001D4325" w:rsidP="00D23CEE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1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2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</w:tr>
      <w:tr w:rsidR="001D4325" w14:paraId="3459F938" w14:textId="77777777" w:rsidTr="006342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59F934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5" w14:textId="77777777" w:rsidR="001D4325" w:rsidRDefault="001D4325" w:rsidP="00D23CEE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6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Laboratory Specimen Transport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7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05/1993</w:t>
            </w:r>
          </w:p>
        </w:tc>
      </w:tr>
      <w:tr w:rsidR="001D4325" w14:paraId="3459F93F" w14:textId="77777777" w:rsidTr="001D0AD8">
        <w:trPr>
          <w:cantSplit/>
          <w:trHeight w:val="170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3459F939" w14:textId="77777777"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A" w14:textId="77777777" w:rsidR="001D4325" w:rsidRDefault="001D4325" w:rsidP="00D23CE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B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Transportation of Specimens – Daniel Shaw</w:t>
            </w:r>
          </w:p>
          <w:p w14:paraId="3459F93C" w14:textId="77777777" w:rsidR="00634213" w:rsidRDefault="006342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3D" w14:textId="77777777"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12/2010</w:t>
            </w:r>
          </w:p>
          <w:p w14:paraId="3459F93E" w14:textId="77777777" w:rsidR="00634213" w:rsidRDefault="006342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B6C13" w14:paraId="3459F945" w14:textId="77777777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14:paraId="3459F940" w14:textId="77777777" w:rsidR="001B6C13" w:rsidRDefault="001B6C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41" w14:textId="77777777" w:rsidR="001B6C13" w:rsidRDefault="001B6C13" w:rsidP="00D23CE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42" w14:textId="77777777"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Transportation of Specimens- Dawit Getachew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943" w14:textId="77777777"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06/20/2019-</w:t>
            </w:r>
          </w:p>
          <w:p w14:paraId="3459F944" w14:textId="77777777"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Biennial review. Minor revisions </w:t>
            </w:r>
          </w:p>
        </w:tc>
      </w:tr>
    </w:tbl>
    <w:p w14:paraId="3459F946" w14:textId="77777777" w:rsidR="001D4325" w:rsidRDefault="001D4325" w:rsidP="00D23CEE">
      <w:pPr>
        <w:rPr>
          <w:rFonts w:ascii="Arial" w:hAnsi="Arial" w:cs="Arial"/>
        </w:rPr>
      </w:pPr>
    </w:p>
    <w:sectPr w:rsidR="001D4325" w:rsidSect="00C653C7">
      <w:headerReference w:type="default" r:id="rId13"/>
      <w:footerReference w:type="defaul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F949" w14:textId="77777777" w:rsidR="001D4325" w:rsidRDefault="001D4325">
      <w:r>
        <w:separator/>
      </w:r>
    </w:p>
  </w:endnote>
  <w:endnote w:type="continuationSeparator" w:id="0">
    <w:p w14:paraId="3459F94A" w14:textId="77777777" w:rsidR="001D4325" w:rsidRDefault="001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950" w14:textId="77777777" w:rsidR="001D4325" w:rsidRDefault="001D4325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C653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653C7">
      <w:rPr>
        <w:rFonts w:ascii="Arial" w:hAnsi="Arial" w:cs="Arial"/>
        <w:sz w:val="16"/>
      </w:rPr>
      <w:fldChar w:fldCharType="separate"/>
    </w:r>
    <w:r w:rsidR="00A742AE">
      <w:rPr>
        <w:rFonts w:ascii="Arial" w:hAnsi="Arial" w:cs="Arial"/>
        <w:noProof/>
        <w:sz w:val="16"/>
      </w:rPr>
      <w:t>1</w:t>
    </w:r>
    <w:r w:rsidR="00C653C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653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653C7">
      <w:rPr>
        <w:rFonts w:ascii="Arial" w:hAnsi="Arial" w:cs="Arial"/>
        <w:sz w:val="16"/>
      </w:rPr>
      <w:fldChar w:fldCharType="separate"/>
    </w:r>
    <w:r w:rsidR="00A742AE">
      <w:rPr>
        <w:rFonts w:ascii="Arial" w:hAnsi="Arial" w:cs="Arial"/>
        <w:noProof/>
        <w:sz w:val="16"/>
      </w:rPr>
      <w:t>1</w:t>
    </w:r>
    <w:r w:rsidR="00C653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9F947" w14:textId="77777777" w:rsidR="001D4325" w:rsidRDefault="001D4325">
      <w:r>
        <w:separator/>
      </w:r>
    </w:p>
  </w:footnote>
  <w:footnote w:type="continuationSeparator" w:id="0">
    <w:p w14:paraId="3459F948" w14:textId="77777777" w:rsidR="001D4325" w:rsidRDefault="001D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94B" w14:textId="77777777" w:rsidR="001D4325" w:rsidRDefault="00352A2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459F951" wp14:editId="3459F952">
          <wp:simplePos x="0" y="0"/>
          <wp:positionH relativeFrom="column">
            <wp:posOffset>5589905</wp:posOffset>
          </wp:positionH>
          <wp:positionV relativeFrom="paragraph">
            <wp:posOffset>-35560</wp:posOffset>
          </wp:positionV>
          <wp:extent cx="788670" cy="452120"/>
          <wp:effectExtent l="0" t="0" r="0" b="0"/>
          <wp:wrapThrough wrapText="bothSides">
            <wp:wrapPolygon edited="0">
              <wp:start x="0" y="0"/>
              <wp:lineTo x="0" y="20933"/>
              <wp:lineTo x="20870" y="20933"/>
              <wp:lineTo x="20870" y="0"/>
              <wp:lineTo x="0" y="0"/>
            </wp:wrapPolygon>
          </wp:wrapThrough>
          <wp:docPr id="4" name="Picture 4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's logo 3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325">
      <w:rPr>
        <w:rFonts w:ascii="Arial" w:hAnsi="Arial" w:cs="Arial"/>
        <w:iCs/>
        <w:sz w:val="18"/>
      </w:rPr>
      <w:t>SCM 7.0 Transportation of Specimens</w:t>
    </w:r>
  </w:p>
  <w:p w14:paraId="3459F94C" w14:textId="77777777" w:rsidR="001D4325" w:rsidRDefault="001D4325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1 Version 2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</w:t>
    </w:r>
  </w:p>
  <w:p w14:paraId="3459F94D" w14:textId="77777777" w:rsidR="001D4325" w:rsidRDefault="001D4325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6/2010</w:t>
    </w:r>
  </w:p>
  <w:p w14:paraId="3459F94E" w14:textId="77777777" w:rsidR="001D4325" w:rsidRDefault="001D4325">
    <w:pPr>
      <w:ind w:left="-1260" w:right="-1440"/>
      <w:rPr>
        <w:rFonts w:ascii="Arial" w:hAnsi="Arial" w:cs="Arial"/>
        <w:sz w:val="18"/>
      </w:rPr>
    </w:pPr>
  </w:p>
  <w:p w14:paraId="3459F94F" w14:textId="77777777" w:rsidR="001D4325" w:rsidRDefault="001D4325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trackRevision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E"/>
    <w:rsid w:val="001B6C13"/>
    <w:rsid w:val="001D0AD8"/>
    <w:rsid w:val="001D4325"/>
    <w:rsid w:val="00352A29"/>
    <w:rsid w:val="00634213"/>
    <w:rsid w:val="00A20C65"/>
    <w:rsid w:val="00A742AE"/>
    <w:rsid w:val="00B10D6D"/>
    <w:rsid w:val="00C653C7"/>
    <w:rsid w:val="00D23CEE"/>
    <w:rsid w:val="00E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459F8FA"/>
  <w15:docId w15:val="{FA91ED16-E180-4211-842A-6C69B29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C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653C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653C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653C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653C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653C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653C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653C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653C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653C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653C7"/>
    <w:rPr>
      <w:bCs/>
      <w:iCs/>
      <w:color w:val="000000"/>
    </w:rPr>
  </w:style>
  <w:style w:type="paragraph" w:styleId="Header">
    <w:name w:val="header"/>
    <w:basedOn w:val="Normal"/>
    <w:semiHidden/>
    <w:rsid w:val="00C653C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653C7"/>
    <w:pPr>
      <w:ind w:left="360" w:hanging="360"/>
    </w:pPr>
  </w:style>
  <w:style w:type="paragraph" w:styleId="Title">
    <w:name w:val="Title"/>
    <w:basedOn w:val="Normal"/>
    <w:qFormat/>
    <w:rsid w:val="00C653C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653C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653C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653C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653C7"/>
    <w:pPr>
      <w:numPr>
        <w:numId w:val="0"/>
      </w:numPr>
    </w:pPr>
  </w:style>
  <w:style w:type="paragraph" w:customStyle="1" w:styleId="TableText">
    <w:name w:val="Table Text"/>
    <w:basedOn w:val="Normal"/>
    <w:rsid w:val="00C653C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653C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653C7"/>
    <w:rPr>
      <w:b/>
      <w:color w:val="0000FF"/>
    </w:rPr>
  </w:style>
  <w:style w:type="character" w:styleId="Hyperlink">
    <w:name w:val="Hyperlink"/>
    <w:basedOn w:val="DefaultParagraphFont"/>
    <w:semiHidden/>
    <w:rsid w:val="00C653C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653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gen/speccol/scm-8.0-pneumatic-tube-transport-syste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Policy/900/18612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2021-11-11T06:00:00+00:00</Renewal_x0020_Date>
    <Related_x0020_Documents xmlns="199f0838-75a6-4f0c-9be1-f2c07140bccc" xsi:nil="true"/>
    <Legacy_x0020_Name xmlns="199f0838-75a6-4f0c-9be1-f2c07140bccc">SCM 7.0 Transportation of Specimens.doc</Legacy_x0020_Name>
    <Legacy_x0020_Document_x0020_ID xmlns="199f0838-75a6-4f0c-9be1-f2c07140bccc">205650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F6TN54CWY5RS-50183619-29540</_dlc_DocId>
    <_Version xmlns="http://schemas.microsoft.com/sharepoint/v3/fields">3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https://vcpsharepoint4.childrenshc.org/references/_layouts/15/DocIdRedir.aspx?ID=F6TN54CWY5RS-50183619-29540</Url>
      <Description>F6TN54CWY5RS-50183619-29540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7.0 Transportation of Specimens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2015-09-10T22:17:00+00:00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2015-09-10T05:00:00+00:00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2737F-EA46-45CF-96FC-58B457AA5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F0782-CEF0-4CCF-8E0B-AFB2AB9EB7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ECBA21-57D3-40D8-9300-76BC09E54FB8}">
  <ds:schemaRefs>
    <ds:schemaRef ds:uri="http://schemas.openxmlformats.org/package/2006/metadata/core-properties"/>
    <ds:schemaRef ds:uri="http://www.w3.org/XML/1998/namespace"/>
    <ds:schemaRef ds:uri="199f0838-75a6-4f0c-9be1-f2c07140bccc"/>
    <ds:schemaRef ds:uri="http://schemas.microsoft.com/office/2006/metadata/properties"/>
    <ds:schemaRef ds:uri="c1848e11-9cf6-4ce4-877e-6837d2c2fa23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.v3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6EAD0A-857F-4582-8DDB-C537765C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1694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http://khan.childrensmn.org/Manuals/Policy/900/186123.pdf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Lab Director review. 9/10/2015 L. Kappenman_x000d_
06/24/2019- Biennial review. Minor revisions - DG_x000d_
11/11/2021- Biennia review; no changes made- DG</dc:description>
  <cp:lastModifiedBy>Miranda Berry</cp:lastModifiedBy>
  <cp:revision>2</cp:revision>
  <cp:lastPrinted>2008-07-31T21:46:00Z</cp:lastPrinted>
  <dcterms:created xsi:type="dcterms:W3CDTF">2022-11-23T17:06:00Z</dcterms:created>
  <dcterms:modified xsi:type="dcterms:W3CDTF">2022-11-23T17:06:00Z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4a681887-6e22-47a1-a92c-2122c98da4b6</vt:lpwstr>
  </property>
  <property fmtid="{D5CDD505-2E9C-101B-9397-08002B2CF9AE}" pid="4" name="WorkflowChangePath">
    <vt:lpwstr>85493ae8-44a3-4172-9f61-0b2d9e19d9ef,6;a8d28c1c-6954-4ce7-8b3c-93c4392a3501,11;</vt:lpwstr>
  </property>
</Properties>
</file>