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360"/>
        <w:gridCol w:w="1260"/>
        <w:gridCol w:w="3960"/>
      </w:tblGrid>
      <w:tr w:rsidR="004B0DFD"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DFD" w:rsidRDefault="009B3EFD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Grading and Interpretation of Gel Card Reactions</w:t>
            </w:r>
          </w:p>
          <w:p w:rsidR="004B0DFD" w:rsidRDefault="004B0DF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B0DFD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0DFD" w:rsidRDefault="004B0D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B0DFD" w:rsidRDefault="009B3E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4B0DFD" w:rsidRDefault="004B0DFD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4B0DFD" w:rsidRDefault="009B3EFD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 for the manual reading, grading of reactions, and interpretation of test reactions in </w:t>
            </w:r>
            <w:r w:rsidR="00C16594">
              <w:rPr>
                <w:rFonts w:ascii="Arial" w:hAnsi="Arial" w:cs="Arial"/>
              </w:rPr>
              <w:t>IH-Card gel</w:t>
            </w:r>
            <w:r>
              <w:rPr>
                <w:rFonts w:ascii="Arial" w:hAnsi="Arial" w:cs="Arial"/>
              </w:rPr>
              <w:t>.</w:t>
            </w:r>
          </w:p>
          <w:p w:rsidR="004B0DFD" w:rsidRDefault="004B0DFD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4B0DFD">
        <w:trPr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0DFD" w:rsidRDefault="004B0D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4B0DFD" w:rsidRDefault="009B3E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4B0DFD" w:rsidRDefault="004B0DF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B0DFD" w:rsidRDefault="009B3EFD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grading of reactions will be standardized among all members of the Transfusion Service staff.</w:t>
            </w:r>
          </w:p>
          <w:p w:rsidR="004B0DFD" w:rsidRDefault="009B3EFD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For best results, reactions should be read immediately following centrifugation. Gel cards should not be interpreted if there are any signs of drying. If a delay in reading is over </w:t>
            </w:r>
            <w:r w:rsidR="00C16594">
              <w:rPr>
                <w:rFonts w:ascii="Arial" w:hAnsi="Arial" w:cs="Arial"/>
                <w:iCs/>
                <w:sz w:val="20"/>
              </w:rPr>
              <w:t>6 hours</w:t>
            </w:r>
            <w:r>
              <w:rPr>
                <w:rFonts w:ascii="Arial" w:hAnsi="Arial" w:cs="Arial"/>
                <w:iCs/>
                <w:sz w:val="20"/>
              </w:rPr>
              <w:t xml:space="preserve">, cover the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wells securely with tape</w:t>
            </w:r>
            <w:r w:rsidR="00C16594">
              <w:rPr>
                <w:rFonts w:ascii="Arial" w:hAnsi="Arial" w:cs="Arial"/>
                <w:iCs/>
                <w:sz w:val="20"/>
              </w:rPr>
              <w:t xml:space="preserve"> and store in the refrigerator (2 to 8°C)</w:t>
            </w:r>
            <w:r w:rsidR="00990263">
              <w:rPr>
                <w:rFonts w:ascii="Arial" w:hAnsi="Arial" w:cs="Arial"/>
                <w:iCs/>
                <w:sz w:val="20"/>
              </w:rPr>
              <w:t xml:space="preserve"> up to 24 hours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4B0DFD" w:rsidRDefault="004B0DFD" w:rsidP="00990263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B0DFD" w:rsidRDefault="004B0D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B0DFD">
        <w:trPr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0DFD" w:rsidRDefault="004B0D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4B0DFD" w:rsidRDefault="009B3E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Related </w:t>
            </w:r>
          </w:p>
          <w:p w:rsidR="004B0DFD" w:rsidRDefault="009B3E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B0DFD" w:rsidRDefault="009B3EFD" w:rsidP="0099026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Interpretation </w:t>
            </w:r>
            <w:r w:rsidR="00990263">
              <w:rPr>
                <w:rFonts w:ascii="Arial" w:hAnsi="Arial" w:cs="Arial"/>
                <w:iCs/>
                <w:sz w:val="20"/>
              </w:rPr>
              <w:t>Chart: IH-Gel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4B0DFD">
        <w:trPr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0DFD" w:rsidRDefault="004B0DF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4B0DFD" w:rsidRDefault="004B0DFD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4B0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B0DFD" w:rsidRDefault="009B3EFD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4B0DFD" w:rsidRDefault="009B3EFD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4B0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4B0DFD" w:rsidRDefault="004B0DF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DFD" w:rsidRDefault="00990263">
            <w:pPr>
              <w:framePr w:hSpace="180" w:wrap="around" w:vAnchor="text" w:hAnchor="page" w:x="2197" w:y="16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IH-Centrifuge L</w:t>
            </w:r>
          </w:p>
          <w:p w:rsidR="004B0DFD" w:rsidRDefault="00990263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IH-Incubator</w:t>
            </w:r>
          </w:p>
          <w:p w:rsidR="00990263" w:rsidRDefault="00990263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IH-Reader 24</w:t>
            </w:r>
          </w:p>
          <w:p w:rsidR="00990263" w:rsidRDefault="00990263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IH-COM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90263" w:rsidP="00990263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 Gel cards:</w:t>
            </w:r>
          </w:p>
          <w:p w:rsidR="00990263" w:rsidRDefault="00990263" w:rsidP="00990263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IH-Card AHG Anti-IgG</w:t>
            </w:r>
          </w:p>
          <w:p w:rsidR="00990263" w:rsidRDefault="00990263" w:rsidP="00990263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IH-Card AHG Anti-IgG,-C3d</w:t>
            </w:r>
          </w:p>
          <w:p w:rsidR="00990263" w:rsidRDefault="00990263" w:rsidP="00990263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IH-Card ABO/</w:t>
            </w:r>
            <w:proofErr w:type="spellStart"/>
            <w:r>
              <w:rPr>
                <w:rFonts w:ascii="Arial" w:hAnsi="Arial" w:cs="Arial"/>
                <w:sz w:val="20"/>
              </w:rPr>
              <w:t>RhD</w:t>
            </w:r>
            <w:proofErr w:type="spellEnd"/>
            <w:r>
              <w:rPr>
                <w:rFonts w:ascii="Arial" w:hAnsi="Arial" w:cs="Arial"/>
                <w:sz w:val="20"/>
              </w:rPr>
              <w:t>(DVI+) (Newborn Card)</w:t>
            </w:r>
          </w:p>
          <w:p w:rsidR="00990263" w:rsidRDefault="00990263" w:rsidP="00990263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IH-Card ABO/D(DVI-)+Rev A1,B</w:t>
            </w:r>
          </w:p>
          <w:p w:rsidR="00990263" w:rsidRDefault="00990263" w:rsidP="00990263">
            <w:pPr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IH-Card ABD (DVI+)-</w:t>
            </w:r>
            <w:proofErr w:type="spellStart"/>
            <w:r>
              <w:rPr>
                <w:rFonts w:ascii="Arial" w:hAnsi="Arial" w:cs="Arial"/>
                <w:sz w:val="20"/>
              </w:rPr>
              <w:t>Conf</w:t>
            </w:r>
            <w:proofErr w:type="spellEnd"/>
          </w:p>
        </w:tc>
      </w:tr>
      <w:tr w:rsidR="004B0D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DF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0DFD" w:rsidRDefault="004B0DF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4B0DFD" w:rsidRDefault="009B3EFD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sz w:val="20"/>
              </w:rPr>
            </w:pPr>
          </w:p>
          <w:p w:rsidR="004B0DFD" w:rsidRDefault="004B0D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0D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DFD" w:rsidRDefault="004B0D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B0DFD" w:rsidRDefault="009B3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4B0DFD" w:rsidRDefault="009B3EFD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B0D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0DFD" w:rsidRDefault="004B0D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FD" w:rsidRDefault="009B3E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4B0DFD" w:rsidRDefault="009B3EFD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Perform testing per procedure.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4B0DFD">
        <w:trPr>
          <w:trHeight w:val="2451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0DFD" w:rsidRDefault="004B0D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FD" w:rsidRDefault="009B3E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centrifugation, remove gel cards from centrifuge and observe for signs of improper centrifugation.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8"/>
              <w:gridCol w:w="4410"/>
            </w:tblGrid>
            <w:tr w:rsidR="004B0DFD">
              <w:trPr>
                <w:trHeight w:val="288"/>
              </w:trPr>
              <w:tc>
                <w:tcPr>
                  <w:tcW w:w="3908" w:type="dxa"/>
                  <w:shd w:val="clear" w:color="auto" w:fill="F3F3F3"/>
                  <w:vAlign w:val="center"/>
                </w:tcPr>
                <w:p w:rsidR="004B0DFD" w:rsidRDefault="009B3E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410" w:type="dxa"/>
                  <w:shd w:val="clear" w:color="auto" w:fill="F3F3F3"/>
                  <w:vAlign w:val="center"/>
                </w:tcPr>
                <w:p w:rsidR="004B0DFD" w:rsidRDefault="009B3E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4B0DFD">
              <w:trPr>
                <w:trHeight w:val="288"/>
              </w:trPr>
              <w:tc>
                <w:tcPr>
                  <w:tcW w:w="3908" w:type="dxa"/>
                </w:tcPr>
                <w:p w:rsidR="004B0DFD" w:rsidRDefault="009B3EF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Un-agglutinated cells are observed in the gel</w:t>
                  </w:r>
                </w:p>
                <w:p w:rsidR="004B0DFD" w:rsidRDefault="009B3EF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line of cells streams down one side forming a J</w:t>
                  </w:r>
                </w:p>
                <w:p w:rsidR="004B0DFD" w:rsidRDefault="009B3EF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The card shows the above signs of improper centrifugation</w:t>
                  </w:r>
                </w:p>
              </w:tc>
              <w:tc>
                <w:tcPr>
                  <w:tcW w:w="4410" w:type="dxa"/>
                </w:tcPr>
                <w:p w:rsidR="004B0DFD" w:rsidRDefault="009B3EF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The centrifuge cycle may have been interrupted.</w:t>
                  </w:r>
                </w:p>
                <w:p w:rsidR="004B0DFD" w:rsidRDefault="009B3EF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The card was not properly seated</w:t>
                  </w:r>
                </w:p>
                <w:p w:rsidR="004B0DFD" w:rsidRDefault="009B3EF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Repeat the test. DO NOT re-centrifuge the card</w:t>
                  </w:r>
                </w:p>
                <w:p w:rsidR="004B0DFD" w:rsidRDefault="004B0DF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B0DFD" w:rsidRDefault="004B0D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0DFD">
        <w:trPr>
          <w:trHeight w:val="291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0DFD" w:rsidRDefault="004B0D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FD" w:rsidRDefault="009B3E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DFD" w:rsidRDefault="009B3EFD" w:rsidP="006835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Observe and read macroscopically </w:t>
            </w:r>
            <w:r w:rsidRPr="006835BC">
              <w:rPr>
                <w:rFonts w:ascii="Arial" w:hAnsi="Arial" w:cs="Arial"/>
                <w:sz w:val="20"/>
              </w:rPr>
              <w:t>the front</w:t>
            </w:r>
            <w:r w:rsidR="006835BC" w:rsidRPr="006835BC">
              <w:rPr>
                <w:rFonts w:ascii="Arial" w:hAnsi="Arial" w:cs="Arial"/>
                <w:sz w:val="20"/>
              </w:rPr>
              <w:t xml:space="preserve"> or</w:t>
            </w:r>
            <w:r w:rsidRPr="006835BC">
              <w:rPr>
                <w:rFonts w:ascii="Arial" w:hAnsi="Arial" w:cs="Arial"/>
                <w:sz w:val="20"/>
              </w:rPr>
              <w:t xml:space="preserve"> back of each </w:t>
            </w:r>
            <w:proofErr w:type="spellStart"/>
            <w:r w:rsidRPr="006835BC"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agglutination or hemolysis. </w:t>
            </w:r>
          </w:p>
        </w:tc>
      </w:tr>
      <w:tr w:rsidR="004B0DFD" w:rsidTr="00BA0F96">
        <w:trPr>
          <w:trHeight w:val="471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0DFD" w:rsidRDefault="004B0D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FD" w:rsidRDefault="009B3E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FD" w:rsidRDefault="009B3EFD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Grading of reactions.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5"/>
              <w:gridCol w:w="35"/>
              <w:gridCol w:w="4590"/>
              <w:gridCol w:w="2538"/>
            </w:tblGrid>
            <w:tr w:rsidR="00B03521" w:rsidTr="009635C1">
              <w:trPr>
                <w:trHeight w:val="288"/>
              </w:trPr>
              <w:tc>
                <w:tcPr>
                  <w:tcW w:w="1155" w:type="dxa"/>
                  <w:shd w:val="clear" w:color="auto" w:fill="F3F3F3"/>
                  <w:vAlign w:val="center"/>
                </w:tcPr>
                <w:p w:rsidR="00B03521" w:rsidRDefault="00B03521" w:rsidP="00B0352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Well Reaction Grade</w:t>
                  </w:r>
                </w:p>
              </w:tc>
              <w:tc>
                <w:tcPr>
                  <w:tcW w:w="4625" w:type="dxa"/>
                  <w:gridSpan w:val="2"/>
                  <w:shd w:val="clear" w:color="auto" w:fill="F3F3F3"/>
                  <w:vAlign w:val="center"/>
                </w:tcPr>
                <w:p w:rsidR="00B03521" w:rsidRDefault="00B03521" w:rsidP="00B0352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Result Interpretation</w:t>
                  </w:r>
                </w:p>
              </w:tc>
              <w:tc>
                <w:tcPr>
                  <w:tcW w:w="2538" w:type="dxa"/>
                  <w:shd w:val="clear" w:color="auto" w:fill="F3F3F3"/>
                  <w:vAlign w:val="center"/>
                </w:tcPr>
                <w:p w:rsidR="00B03521" w:rsidRDefault="00B0352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Reaction Description</w:t>
                  </w:r>
                </w:p>
              </w:tc>
            </w:tr>
            <w:tr w:rsidR="00B03521" w:rsidTr="009635C1">
              <w:trPr>
                <w:trHeight w:val="288"/>
              </w:trPr>
              <w:tc>
                <w:tcPr>
                  <w:tcW w:w="1155" w:type="dxa"/>
                </w:tcPr>
                <w:p w:rsidR="00B03521" w:rsidRDefault="00B03521" w:rsidP="009635C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4+</w:t>
                  </w:r>
                </w:p>
              </w:tc>
              <w:tc>
                <w:tcPr>
                  <w:tcW w:w="4625" w:type="dxa"/>
                  <w:gridSpan w:val="2"/>
                </w:tcPr>
                <w:p w:rsidR="00B03521" w:rsidRPr="00B03521" w:rsidRDefault="00B03521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Blood Grouping including Anti-D Blend=</w:t>
                  </w:r>
                  <w:r w:rsidRPr="00B0352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B03521" w:rsidRPr="009635C1" w:rsidRDefault="009635C1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For Reverse ABO Testing = </w:t>
                  </w:r>
                  <w:r w:rsidRPr="009635C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9635C1" w:rsidRPr="009635C1" w:rsidRDefault="009635C1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>For Antibody Detection and DAT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= Positive</w:t>
                  </w:r>
                </w:p>
                <w:p w:rsidR="009635C1" w:rsidRPr="00B03521" w:rsidRDefault="009635C1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 xml:space="preserve">For </w:t>
                  </w:r>
                  <w:proofErr w:type="spellStart"/>
                  <w:r w:rsidRPr="009635C1">
                    <w:rPr>
                      <w:rFonts w:ascii="Arial" w:hAnsi="Arial" w:cs="Arial"/>
                      <w:sz w:val="20"/>
                    </w:rPr>
                    <w:t>Crossmatching</w:t>
                  </w:r>
                  <w:proofErr w:type="spellEnd"/>
                  <w:r w:rsidRPr="009635C1">
                    <w:rPr>
                      <w:rFonts w:ascii="Arial" w:hAnsi="Arial" w:cs="Arial"/>
                      <w:sz w:val="20"/>
                    </w:rPr>
                    <w:t xml:space="preserve"> =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Incompatible</w:t>
                  </w:r>
                </w:p>
              </w:tc>
              <w:tc>
                <w:tcPr>
                  <w:tcW w:w="2538" w:type="dxa"/>
                </w:tcPr>
                <w:p w:rsidR="00B03521" w:rsidRDefault="009635C1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Agglutinated RBCs concentrated as a line on the top of the gel column with a few agglutinated RBCs just underneath the gel surface.</w:t>
                  </w:r>
                </w:p>
              </w:tc>
            </w:tr>
            <w:tr w:rsidR="009635C1" w:rsidTr="009635C1">
              <w:trPr>
                <w:trHeight w:val="288"/>
              </w:trPr>
              <w:tc>
                <w:tcPr>
                  <w:tcW w:w="1155" w:type="dxa"/>
                </w:tcPr>
                <w:p w:rsidR="009635C1" w:rsidRDefault="009635C1" w:rsidP="009635C1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3+</w:t>
                  </w:r>
                </w:p>
              </w:tc>
              <w:tc>
                <w:tcPr>
                  <w:tcW w:w="4625" w:type="dxa"/>
                  <w:gridSpan w:val="2"/>
                </w:tcPr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Blood Grouping including Anti-D Blend=</w:t>
                  </w:r>
                  <w:r w:rsidRPr="00B0352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For Reverse ABO Testing = </w:t>
                  </w:r>
                  <w:r w:rsidRPr="009635C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>For Antibody Detection and DAT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= Positive</w:t>
                  </w:r>
                </w:p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 xml:space="preserve">For </w:t>
                  </w:r>
                  <w:proofErr w:type="spellStart"/>
                  <w:r w:rsidRPr="009635C1">
                    <w:rPr>
                      <w:rFonts w:ascii="Arial" w:hAnsi="Arial" w:cs="Arial"/>
                      <w:sz w:val="20"/>
                    </w:rPr>
                    <w:t>Crossmatching</w:t>
                  </w:r>
                  <w:proofErr w:type="spellEnd"/>
                  <w:r w:rsidRPr="009635C1">
                    <w:rPr>
                      <w:rFonts w:ascii="Arial" w:hAnsi="Arial" w:cs="Arial"/>
                      <w:sz w:val="20"/>
                    </w:rPr>
                    <w:t xml:space="preserve"> =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Incompatible</w:t>
                  </w:r>
                </w:p>
              </w:tc>
              <w:tc>
                <w:tcPr>
                  <w:tcW w:w="2538" w:type="dxa"/>
                </w:tcPr>
                <w:p w:rsidR="009635C1" w:rsidRDefault="009635C1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Most agglutinated RBCs concentrated at the top of the gel or upper half of the gel column.</w:t>
                  </w:r>
                </w:p>
              </w:tc>
            </w:tr>
            <w:tr w:rsidR="009635C1" w:rsidTr="009635C1">
              <w:trPr>
                <w:trHeight w:val="288"/>
              </w:trPr>
              <w:tc>
                <w:tcPr>
                  <w:tcW w:w="1155" w:type="dxa"/>
                </w:tcPr>
                <w:p w:rsidR="009635C1" w:rsidRDefault="009635C1" w:rsidP="009635C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2+</w:t>
                  </w:r>
                </w:p>
              </w:tc>
              <w:tc>
                <w:tcPr>
                  <w:tcW w:w="4625" w:type="dxa"/>
                  <w:gridSpan w:val="2"/>
                </w:tcPr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Blood Grouping including Anti-D Blend=</w:t>
                  </w:r>
                  <w:r w:rsidRPr="00B0352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For Reverse ABO Testing = </w:t>
                  </w:r>
                  <w:r w:rsidRPr="009635C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>For Antibody Detection and DAT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= Positive</w:t>
                  </w:r>
                </w:p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 xml:space="preserve">For </w:t>
                  </w:r>
                  <w:proofErr w:type="spellStart"/>
                  <w:r w:rsidRPr="009635C1">
                    <w:rPr>
                      <w:rFonts w:ascii="Arial" w:hAnsi="Arial" w:cs="Arial"/>
                      <w:sz w:val="20"/>
                    </w:rPr>
                    <w:t>Crossmatching</w:t>
                  </w:r>
                  <w:proofErr w:type="spellEnd"/>
                  <w:r w:rsidRPr="009635C1">
                    <w:rPr>
                      <w:rFonts w:ascii="Arial" w:hAnsi="Arial" w:cs="Arial"/>
                      <w:sz w:val="20"/>
                    </w:rPr>
                    <w:t xml:space="preserve"> =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Incompatible</w:t>
                  </w:r>
                </w:p>
              </w:tc>
              <w:tc>
                <w:tcPr>
                  <w:tcW w:w="2538" w:type="dxa"/>
                </w:tcPr>
                <w:p w:rsidR="009635C1" w:rsidRDefault="009635C1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Agglutinated RBCs distributed throughout the entire length of the gel column, with no line of RBCs on the top of the well.</w:t>
                  </w:r>
                </w:p>
              </w:tc>
            </w:tr>
            <w:tr w:rsidR="009635C1" w:rsidTr="009635C1">
              <w:trPr>
                <w:trHeight w:val="288"/>
              </w:trPr>
              <w:tc>
                <w:tcPr>
                  <w:tcW w:w="1155" w:type="dxa"/>
                </w:tcPr>
                <w:p w:rsidR="009635C1" w:rsidRDefault="009635C1" w:rsidP="009635C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</w:t>
                  </w:r>
                </w:p>
              </w:tc>
              <w:tc>
                <w:tcPr>
                  <w:tcW w:w="4625" w:type="dxa"/>
                  <w:gridSpan w:val="2"/>
                </w:tcPr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Blood Grouping including Anti-D Blend=</w:t>
                  </w:r>
                  <w:r w:rsidRPr="009635C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Not Interpretable</w:t>
                  </w:r>
                  <w:r w:rsidR="00BA0F9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-Retest in tube.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For Reverse ABO Testing = </w:t>
                  </w:r>
                  <w:r w:rsidRPr="009635C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>For Antibody Detection and DAT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= Positive</w:t>
                  </w:r>
                </w:p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 xml:space="preserve">For </w:t>
                  </w:r>
                  <w:proofErr w:type="spellStart"/>
                  <w:r w:rsidRPr="009635C1">
                    <w:rPr>
                      <w:rFonts w:ascii="Arial" w:hAnsi="Arial" w:cs="Arial"/>
                      <w:sz w:val="20"/>
                    </w:rPr>
                    <w:t>Crossmatching</w:t>
                  </w:r>
                  <w:proofErr w:type="spellEnd"/>
                  <w:r w:rsidRPr="009635C1">
                    <w:rPr>
                      <w:rFonts w:ascii="Arial" w:hAnsi="Arial" w:cs="Arial"/>
                      <w:sz w:val="20"/>
                    </w:rPr>
                    <w:t xml:space="preserve"> =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Incompatible</w:t>
                  </w:r>
                </w:p>
              </w:tc>
              <w:tc>
                <w:tcPr>
                  <w:tcW w:w="2538" w:type="dxa"/>
                </w:tcPr>
                <w:p w:rsidR="009635C1" w:rsidRDefault="009635C1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pellet of RBCs at the bottom of the well with agglutinated RBCs visible in the lower half of the gel column</w:t>
                  </w:r>
                </w:p>
              </w:tc>
            </w:tr>
            <w:tr w:rsidR="009635C1" w:rsidTr="009635C1">
              <w:trPr>
                <w:trHeight w:val="288"/>
              </w:trPr>
              <w:tc>
                <w:tcPr>
                  <w:tcW w:w="1155" w:type="dxa"/>
                </w:tcPr>
                <w:p w:rsidR="009635C1" w:rsidRDefault="009635C1" w:rsidP="009635C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+/-</w:t>
                  </w:r>
                </w:p>
              </w:tc>
              <w:tc>
                <w:tcPr>
                  <w:tcW w:w="4625" w:type="dxa"/>
                  <w:gridSpan w:val="2"/>
                </w:tcPr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Blood Grouping including Anti-D Blend=</w:t>
                  </w:r>
                  <w:r w:rsidR="00BA0F96" w:rsidRPr="009635C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Not Interpretable</w:t>
                  </w:r>
                  <w:r w:rsidR="00BA0F96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-Retest in tube.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For Reverse ABO Testing = </w:t>
                  </w:r>
                  <w:r w:rsidRPr="009635C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9635C1" w:rsidRPr="009635C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>For Antibody Detection and DAT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= Positive</w:t>
                  </w:r>
                </w:p>
                <w:p w:rsidR="009635C1" w:rsidRPr="00B03521" w:rsidRDefault="009635C1" w:rsidP="009635C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 xml:space="preserve">For </w:t>
                  </w:r>
                  <w:proofErr w:type="spellStart"/>
                  <w:r w:rsidRPr="009635C1">
                    <w:rPr>
                      <w:rFonts w:ascii="Arial" w:hAnsi="Arial" w:cs="Arial"/>
                      <w:sz w:val="20"/>
                    </w:rPr>
                    <w:t>Crossmatching</w:t>
                  </w:r>
                  <w:proofErr w:type="spellEnd"/>
                  <w:r w:rsidRPr="009635C1">
                    <w:rPr>
                      <w:rFonts w:ascii="Arial" w:hAnsi="Arial" w:cs="Arial"/>
                      <w:sz w:val="20"/>
                    </w:rPr>
                    <w:t xml:space="preserve"> =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Incompatible</w:t>
                  </w:r>
                </w:p>
              </w:tc>
              <w:tc>
                <w:tcPr>
                  <w:tcW w:w="2538" w:type="dxa"/>
                </w:tcPr>
                <w:p w:rsidR="009635C1" w:rsidRDefault="009635C1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pellet of RBCs at the bottom of the well with a very few agglutinated RBCs visible above the pellet or an irregular pellet.</w:t>
                  </w:r>
                </w:p>
              </w:tc>
            </w:tr>
            <w:tr w:rsidR="009635C1" w:rsidTr="009635C1">
              <w:trPr>
                <w:trHeight w:val="288"/>
              </w:trPr>
              <w:tc>
                <w:tcPr>
                  <w:tcW w:w="1155" w:type="dxa"/>
                </w:tcPr>
                <w:p w:rsidR="009635C1" w:rsidRDefault="009635C1" w:rsidP="009635C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 (negative)</w:t>
                  </w:r>
                </w:p>
              </w:tc>
              <w:tc>
                <w:tcPr>
                  <w:tcW w:w="4625" w:type="dxa"/>
                  <w:gridSpan w:val="2"/>
                </w:tcPr>
                <w:p w:rsidR="009635C1" w:rsidRDefault="009635C1" w:rsidP="009635C1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  <w:tc>
                <w:tcPr>
                  <w:tcW w:w="2538" w:type="dxa"/>
                </w:tcPr>
                <w:p w:rsidR="009635C1" w:rsidRDefault="009635C1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 compact pellet of RBCs with a smooth surface at the bottom of the well with no visible agglutination.</w:t>
                  </w:r>
                </w:p>
              </w:tc>
            </w:tr>
            <w:tr w:rsidR="00BA0F96" w:rsidTr="009635C1">
              <w:trPr>
                <w:trHeight w:val="288"/>
              </w:trPr>
              <w:tc>
                <w:tcPr>
                  <w:tcW w:w="1155" w:type="dxa"/>
                </w:tcPr>
                <w:p w:rsidR="00BA0F96" w:rsidRDefault="00BA0F96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MF (mixed field)</w:t>
                  </w:r>
                </w:p>
                <w:p w:rsidR="00BA0F96" w:rsidRDefault="00BA0F96" w:rsidP="00BA0F9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625" w:type="dxa"/>
                  <w:gridSpan w:val="2"/>
                </w:tcPr>
                <w:p w:rsidR="00BA0F96" w:rsidRPr="00B03521" w:rsidRDefault="00BA0F96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Blood Grouping including Anti-D Blend=</w:t>
                  </w:r>
                  <w:r w:rsidRPr="009635C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Not Interpretable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-Retest in tube.</w:t>
                  </w:r>
                </w:p>
                <w:p w:rsidR="00BA0F96" w:rsidRPr="009635C1" w:rsidRDefault="00BA0F96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For Reverse ABO Testing = </w:t>
                  </w:r>
                  <w:r w:rsidRPr="009635C1">
                    <w:rPr>
                      <w:rFonts w:ascii="Arial" w:hAnsi="Arial" w:cs="Arial"/>
                      <w:b/>
                      <w:sz w:val="20"/>
                    </w:rPr>
                    <w:t>Positive</w:t>
                  </w:r>
                </w:p>
                <w:p w:rsidR="00BA0F96" w:rsidRPr="009635C1" w:rsidRDefault="00BA0F96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>For Antibody Detection and DAT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= Positive</w:t>
                  </w:r>
                </w:p>
                <w:p w:rsidR="00BA0F96" w:rsidRPr="00B03521" w:rsidRDefault="00BA0F96" w:rsidP="00BA0F96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635C1">
                    <w:rPr>
                      <w:rFonts w:ascii="Arial" w:hAnsi="Arial" w:cs="Arial"/>
                      <w:sz w:val="20"/>
                    </w:rPr>
                    <w:t xml:space="preserve">For </w:t>
                  </w:r>
                  <w:proofErr w:type="spellStart"/>
                  <w:r w:rsidRPr="009635C1">
                    <w:rPr>
                      <w:rFonts w:ascii="Arial" w:hAnsi="Arial" w:cs="Arial"/>
                      <w:sz w:val="20"/>
                    </w:rPr>
                    <w:t>Crossmatching</w:t>
                  </w:r>
                  <w:proofErr w:type="spellEnd"/>
                  <w:r w:rsidRPr="009635C1">
                    <w:rPr>
                      <w:rFonts w:ascii="Arial" w:hAnsi="Arial" w:cs="Arial"/>
                      <w:sz w:val="20"/>
                    </w:rPr>
                    <w:t xml:space="preserve"> =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Incompatible</w:t>
                  </w:r>
                </w:p>
              </w:tc>
              <w:tc>
                <w:tcPr>
                  <w:tcW w:w="2538" w:type="dxa"/>
                </w:tcPr>
                <w:p w:rsidR="00BA0F96" w:rsidRDefault="00BA0F96" w:rsidP="00BA0F9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Agglutinated RBCs as a line at the top of the gel or dispersed in upper part of the gel and non-agglutinated RBCs forming a pellet at the bottom of the well. The instrument interpretation software displays “DP” (double population for a mixed result.</w:t>
                  </w:r>
                </w:p>
              </w:tc>
            </w:tr>
            <w:tr w:rsidR="00BA0F96" w:rsidTr="00BA0F96">
              <w:trPr>
                <w:trHeight w:val="288"/>
              </w:trPr>
              <w:tc>
                <w:tcPr>
                  <w:tcW w:w="1190" w:type="dxa"/>
                  <w:gridSpan w:val="2"/>
                </w:tcPr>
                <w:p w:rsidR="00BA0F96" w:rsidRPr="00BA0F96" w:rsidRDefault="00BA0F96" w:rsidP="00BA0F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0F96">
                    <w:rPr>
                      <w:rFonts w:ascii="Arial" w:hAnsi="Arial" w:cs="Arial"/>
                      <w:sz w:val="20"/>
                      <w:szCs w:val="20"/>
                    </w:rPr>
                    <w:t xml:space="preserve">Negative: if the RBC button is of normal size and original sample is </w:t>
                  </w:r>
                  <w:proofErr w:type="spellStart"/>
                  <w:r w:rsidRPr="00BA0F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hemolyzed</w:t>
                  </w:r>
                  <w:proofErr w:type="spellEnd"/>
                  <w:r w:rsidRPr="00BA0F9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A0F96" w:rsidRPr="00BA0F96" w:rsidRDefault="00BA0F96" w:rsidP="00BA0F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0F96">
                    <w:rPr>
                      <w:rFonts w:ascii="Arial" w:hAnsi="Arial" w:cs="Arial"/>
                      <w:sz w:val="20"/>
                      <w:szCs w:val="20"/>
                    </w:rPr>
                    <w:t>H: if the RBC button size is decreased and the original sample is free of hemolysis.</w:t>
                  </w:r>
                </w:p>
              </w:tc>
              <w:tc>
                <w:tcPr>
                  <w:tcW w:w="4590" w:type="dxa"/>
                </w:tcPr>
                <w:p w:rsidR="00BA0F96" w:rsidRDefault="00BA0F96" w:rsidP="00BA0F9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Hemolysis in the liquid portion above the gel or just into the gel will appear pink or red.</w:t>
                  </w:r>
                </w:p>
                <w:p w:rsidR="00BA0F96" w:rsidRDefault="00BA0F96" w:rsidP="00BA0F9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38" w:type="dxa"/>
                </w:tcPr>
                <w:p w:rsidR="00BA0F96" w:rsidRDefault="00BA0F96" w:rsidP="00BA0F9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In case of complete or partial hemolysis (pinkish supernatant and/or gel) in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microtubes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, the interpretation should be positive if there is no problem of cell collection </w:t>
                  </w:r>
                  <w:r>
                    <w:rPr>
                      <w:rFonts w:ascii="Arial" w:hAnsi="Arial" w:cs="Arial"/>
                      <w:sz w:val="20"/>
                    </w:rPr>
                    <w:lastRenderedPageBreak/>
                    <w:t>and/or handling of the sample.</w:t>
                  </w:r>
                </w:p>
              </w:tc>
            </w:tr>
          </w:tbl>
          <w:p w:rsidR="004B0DFD" w:rsidRDefault="009B3EFD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Note: The following may be attempt for resolution if “sticky” reactions are observed in gel:</w:t>
            </w:r>
          </w:p>
          <w:p w:rsidR="004B0DFD" w:rsidRDefault="009B3EFD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with fresh 0.</w:t>
            </w:r>
            <w:r w:rsidR="00BA0F9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% screening cells if the screening cells in use are approaching outdate.</w:t>
            </w:r>
          </w:p>
          <w:p w:rsidR="004B0DFD" w:rsidRDefault="009B3EFD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the testing using tube methodology if the reactions may be due to the gel matrix. If tube testing is negative report the gel testing as inconclusive.</w:t>
            </w:r>
          </w:p>
          <w:p w:rsidR="004B0DFD" w:rsidRDefault="009B3EFD">
            <w:pPr>
              <w:pStyle w:val="TableText"/>
              <w:numPr>
                <w:ilvl w:val="0"/>
                <w:numId w:val="1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Repeat testing after re-spinning the patient specimen for </w:t>
            </w:r>
            <w:r w:rsidR="00BA0F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minutes if reaction may be due to fibrin or platelet rich plasma.</w:t>
            </w:r>
          </w:p>
          <w:p w:rsidR="004B0DFD" w:rsidRDefault="004B0DFD" w:rsidP="00BA0F96">
            <w:pPr>
              <w:pStyle w:val="TableText"/>
              <w:autoSpaceDE/>
              <w:autoSpaceDN/>
              <w:ind w:left="972"/>
              <w:rPr>
                <w:rFonts w:ascii="Arial" w:hAnsi="Arial" w:cs="Arial"/>
              </w:rPr>
            </w:pPr>
          </w:p>
        </w:tc>
      </w:tr>
      <w:tr w:rsidR="004B0D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B0DFD" w:rsidRDefault="004B0D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FD" w:rsidRDefault="009B3E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DFD" w:rsidRDefault="009B3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strength/grade reaction immediately following the reading.</w:t>
            </w:r>
          </w:p>
          <w:p w:rsidR="004B0DFD" w:rsidRDefault="004B0DFD">
            <w:pPr>
              <w:rPr>
                <w:rFonts w:ascii="Arial" w:hAnsi="Arial" w:cs="Arial"/>
                <w:sz w:val="20"/>
              </w:rPr>
            </w:pPr>
          </w:p>
        </w:tc>
      </w:tr>
      <w:tr w:rsidR="004B0DF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0DF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DFD" w:rsidRDefault="009B3EFD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br w:type="page"/>
            </w:r>
          </w:p>
          <w:p w:rsidR="004B0DFD" w:rsidRDefault="004B0DFD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4B0DFD" w:rsidRDefault="009B3EFD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Interpretation</w:t>
            </w:r>
          </w:p>
          <w:p w:rsidR="004B0DFD" w:rsidRDefault="004B0DFD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4B0DFD" w:rsidRDefault="004B0DF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sz w:val="20"/>
              </w:rPr>
            </w:pPr>
          </w:p>
          <w:p w:rsidR="004B0DFD" w:rsidRDefault="004B0DFD">
            <w:pPr>
              <w:pStyle w:val="BodyText"/>
              <w:rPr>
                <w:rFonts w:ascii="Arial" w:hAnsi="Arial"/>
                <w:sz w:val="20"/>
              </w:rPr>
            </w:pPr>
          </w:p>
          <w:p w:rsidR="004B0DFD" w:rsidRDefault="009B3EFD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Negative Result – No agglutination and no hemolysis of the red blood cells is a negative test result. </w:t>
            </w:r>
            <w:r w:rsidR="00BA0F96">
              <w:rPr>
                <w:rFonts w:ascii="Arial" w:hAnsi="Arial"/>
                <w:sz w:val="20"/>
              </w:rPr>
              <w:t xml:space="preserve">A compact button of red cells at the </w:t>
            </w:r>
            <w:proofErr w:type="spellStart"/>
            <w:r w:rsidR="00BA0F96">
              <w:rPr>
                <w:rFonts w:ascii="Arial" w:hAnsi="Arial"/>
                <w:sz w:val="20"/>
              </w:rPr>
              <w:t>microtube</w:t>
            </w:r>
            <w:proofErr w:type="spellEnd"/>
            <w:r w:rsidR="00BA0F96">
              <w:rPr>
                <w:rFonts w:ascii="Arial" w:hAnsi="Arial"/>
                <w:sz w:val="20"/>
              </w:rPr>
              <w:t xml:space="preserve"> bottom is a negative test result</w:t>
            </w:r>
          </w:p>
          <w:p w:rsidR="004B0DFD" w:rsidRDefault="004B0DFD">
            <w:pPr>
              <w:rPr>
                <w:rFonts w:ascii="Arial" w:hAnsi="Arial" w:cs="Arial"/>
                <w:sz w:val="20"/>
              </w:rPr>
            </w:pPr>
          </w:p>
          <w:p w:rsidR="004B0DFD" w:rsidRDefault="004B0DFD">
            <w:pPr>
              <w:jc w:val="left"/>
              <w:rPr>
                <w:rFonts w:ascii="Arial" w:hAnsi="Arial" w:cs="Arial"/>
                <w:sz w:val="20"/>
              </w:rPr>
            </w:pPr>
          </w:p>
          <w:p w:rsidR="004B0DFD" w:rsidRDefault="009B3EF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Positive Result </w:t>
            </w:r>
            <w:r w:rsidR="00BA0F96">
              <w:rPr>
                <w:rFonts w:ascii="Arial" w:hAnsi="Arial" w:cs="Arial"/>
                <w:sz w:val="20"/>
              </w:rPr>
              <w:t xml:space="preserve">–Agglutinates (on the surface of or dispersed through the gel) or hemolysis (in case of serum test) with a very few or no red blood cells in the gel column. Report as a positive test result if hemolysis is present in the </w:t>
            </w:r>
            <w:proofErr w:type="spellStart"/>
            <w:r w:rsidR="00BA0F96">
              <w:rPr>
                <w:rFonts w:ascii="Arial" w:hAnsi="Arial" w:cs="Arial"/>
                <w:sz w:val="20"/>
              </w:rPr>
              <w:t>microtube</w:t>
            </w:r>
            <w:proofErr w:type="spellEnd"/>
            <w:r w:rsidR="00BA0F96">
              <w:rPr>
                <w:rFonts w:ascii="Arial" w:hAnsi="Arial" w:cs="Arial"/>
                <w:sz w:val="20"/>
              </w:rPr>
              <w:t xml:space="preserve"> but not in the sample column.  Red blood cells may remain suspended on the top of the gel or are dispersed throughout the gel in varying degrees. A few cells may form a button in the </w:t>
            </w:r>
            <w:proofErr w:type="spellStart"/>
            <w:r w:rsidR="00BA0F96">
              <w:rPr>
                <w:rFonts w:ascii="Arial" w:hAnsi="Arial" w:cs="Arial"/>
                <w:sz w:val="20"/>
              </w:rPr>
              <w:t>microube</w:t>
            </w:r>
            <w:proofErr w:type="spellEnd"/>
            <w:r w:rsidR="00BA0F96">
              <w:rPr>
                <w:rFonts w:ascii="Arial" w:hAnsi="Arial" w:cs="Arial"/>
                <w:sz w:val="20"/>
              </w:rPr>
              <w:t xml:space="preserve"> bottom in some positive reactions.</w:t>
            </w:r>
          </w:p>
          <w:p w:rsidR="004B0DFD" w:rsidRDefault="009B3EF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B0D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4B0DFD" w:rsidRDefault="009B3EF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F85CFB" w:rsidRDefault="00F85CFB">
            <w:pPr>
              <w:tabs>
                <w:tab w:val="num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IH-Gel Card</w:t>
            </w:r>
            <w:r w:rsidR="009B3EFD">
              <w:rPr>
                <w:rFonts w:ascii="Arial" w:hAnsi="Arial"/>
                <w:sz w:val="20"/>
              </w:rPr>
              <w:t xml:space="preserve"> Interpretation </w:t>
            </w:r>
            <w:r>
              <w:rPr>
                <w:rFonts w:ascii="Arial" w:hAnsi="Arial"/>
                <w:sz w:val="20"/>
              </w:rPr>
              <w:t>Guide, Bio-Rad Medical diagnostics GmbH Current revision.</w:t>
            </w:r>
          </w:p>
          <w:p w:rsidR="004B0DFD" w:rsidRDefault="009B3EFD">
            <w:pPr>
              <w:tabs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4B0DFD" w:rsidRDefault="004B0D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1659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C16594" w:rsidRDefault="00C16594" w:rsidP="00C1659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C16594" w:rsidRDefault="00C16594" w:rsidP="00C1659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Appendices</w:t>
            </w:r>
          </w:p>
          <w:p w:rsidR="00C16594" w:rsidRDefault="00C16594" w:rsidP="00C1659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C16594" w:rsidRDefault="00C16594" w:rsidP="00C1659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16594" w:rsidRDefault="00C16594" w:rsidP="00C1659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Appendix A: Interpretation Chart: IH-Gel</w:t>
            </w:r>
          </w:p>
        </w:tc>
      </w:tr>
      <w:tr w:rsidR="004B0D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B0DFD" w:rsidRDefault="004B0D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4B0DFD" w:rsidRDefault="009B3E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4B0DFD" w:rsidRDefault="009B3E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4B0DFD" w:rsidRDefault="004B0D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B0DFD" w:rsidRDefault="009B3EF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</w:tc>
      </w:tr>
      <w:tr w:rsidR="004B0D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B0DFD" w:rsidRDefault="004B0DFD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4B0DFD" w:rsidRDefault="004B0DFD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B0D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B0D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B0DFD" w:rsidRDefault="004B0D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2/08/08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B0D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4B0DFD" w:rsidRDefault="004B0D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FD" w:rsidRDefault="009B3EF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statement regarding MF to Positive Interpretation section.</w:t>
            </w:r>
          </w:p>
          <w:p w:rsidR="004B0DFD" w:rsidRDefault="009B3EF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Notes a-d under step 4.</w:t>
            </w:r>
          </w:p>
        </w:tc>
      </w:tr>
      <w:tr w:rsidR="00F85C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F85CFB" w:rsidRDefault="00F85CF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5CFB" w:rsidRDefault="00F85C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FB" w:rsidRDefault="00F85CF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FB" w:rsidRDefault="006835B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FB" w:rsidRDefault="00F85CF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new reagents.</w:t>
            </w:r>
          </w:p>
        </w:tc>
      </w:tr>
    </w:tbl>
    <w:p w:rsidR="00C16594" w:rsidRDefault="00C165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16594" w:rsidRDefault="00C165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85CFB" w:rsidRDefault="00F85CF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bookmarkStart w:id="0" w:name="Appendix"/>
      <w:bookmarkEnd w:id="0"/>
    </w:p>
    <w:p w:rsidR="00C16594" w:rsidRPr="00C16594" w:rsidRDefault="00C1659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16594">
        <w:rPr>
          <w:rFonts w:ascii="Arial" w:hAnsi="Arial" w:cs="Arial"/>
          <w:b/>
        </w:rPr>
        <w:lastRenderedPageBreak/>
        <w:t>Appendix A:</w:t>
      </w:r>
    </w:p>
    <w:p w:rsidR="00C16594" w:rsidRDefault="00C165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B0DFD" w:rsidRDefault="00C165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A9CA50F" wp14:editId="61279DCF">
            <wp:extent cx="5486400" cy="3996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94" w:rsidRDefault="00C165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16594" w:rsidRDefault="00C165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1" w:name="_GoBack"/>
      <w:r>
        <w:rPr>
          <w:noProof/>
        </w:rPr>
        <w:drawing>
          <wp:inline distT="0" distB="0" distL="0" distR="0" wp14:anchorId="416CC020" wp14:editId="44BD40EC">
            <wp:extent cx="5486400" cy="3417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C1659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FD" w:rsidRDefault="009B3EFD">
      <w:r>
        <w:separator/>
      </w:r>
    </w:p>
  </w:endnote>
  <w:endnote w:type="continuationSeparator" w:id="0">
    <w:p w:rsidR="004B0DFD" w:rsidRDefault="009B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FD" w:rsidRDefault="009B3EFD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6835BC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6835BC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4B0DFD" w:rsidRDefault="009B3EFD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FD" w:rsidRDefault="009B3EFD">
      <w:r>
        <w:separator/>
      </w:r>
    </w:p>
  </w:footnote>
  <w:footnote w:type="continuationSeparator" w:id="0">
    <w:p w:rsidR="004B0DFD" w:rsidRDefault="009B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FD" w:rsidRDefault="006835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4B0DFD">
      <w:trPr>
        <w:cantSplit/>
        <w:trHeight w:val="245"/>
      </w:trPr>
      <w:tc>
        <w:tcPr>
          <w:tcW w:w="5760" w:type="dxa"/>
        </w:tcPr>
        <w:p w:rsidR="004B0DFD" w:rsidRDefault="009B3EF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Grading and Interpretation of Gel Card Reactions</w:t>
          </w:r>
        </w:p>
      </w:tc>
      <w:tc>
        <w:tcPr>
          <w:tcW w:w="5580" w:type="dxa"/>
          <w:vMerge w:val="restart"/>
        </w:tcPr>
        <w:p w:rsidR="004B0DFD" w:rsidRDefault="009B3EFD">
          <w:pPr>
            <w:pStyle w:val="Header"/>
            <w:tabs>
              <w:tab w:val="clear" w:pos="8640"/>
            </w:tabs>
          </w:pPr>
          <w:r>
            <w:t xml:space="preserve"> </w:t>
          </w:r>
          <w:r w:rsidR="00C16594">
            <w:t xml:space="preserve">                                                  </w:t>
          </w:r>
          <w:r w:rsidR="00C16594">
            <w:rPr>
              <w:noProof/>
            </w:rPr>
            <w:drawing>
              <wp:inline distT="0" distB="0" distL="0" distR="0" wp14:anchorId="13BD5371" wp14:editId="0E56CC49">
                <wp:extent cx="1192530" cy="387985"/>
                <wp:effectExtent l="0" t="0" r="7620" b="0"/>
                <wp:docPr id="2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</w:t>
          </w:r>
        </w:p>
      </w:tc>
    </w:tr>
    <w:tr w:rsidR="004B0DFD">
      <w:trPr>
        <w:cantSplit/>
        <w:trHeight w:val="245"/>
      </w:trPr>
      <w:tc>
        <w:tcPr>
          <w:tcW w:w="5760" w:type="dxa"/>
        </w:tcPr>
        <w:p w:rsidR="004B0DFD" w:rsidRDefault="00C1659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4.9 Version 3</w:t>
          </w:r>
        </w:p>
      </w:tc>
      <w:tc>
        <w:tcPr>
          <w:tcW w:w="5580" w:type="dxa"/>
          <w:vMerge/>
        </w:tcPr>
        <w:p w:rsidR="004B0DFD" w:rsidRDefault="004B0DFD">
          <w:pPr>
            <w:pStyle w:val="Header"/>
            <w:tabs>
              <w:tab w:val="clear" w:pos="8640"/>
            </w:tabs>
          </w:pPr>
        </w:p>
      </w:tc>
    </w:tr>
    <w:tr w:rsidR="004B0DFD">
      <w:trPr>
        <w:cantSplit/>
        <w:trHeight w:val="245"/>
      </w:trPr>
      <w:tc>
        <w:tcPr>
          <w:tcW w:w="5760" w:type="dxa"/>
        </w:tcPr>
        <w:p w:rsidR="004B0DFD" w:rsidRDefault="009B3EFD" w:rsidP="006835B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</w:t>
          </w:r>
          <w:r w:rsidR="00C16594">
            <w:rPr>
              <w:rFonts w:ascii="Arial" w:hAnsi="Arial" w:cs="Arial"/>
              <w:sz w:val="18"/>
            </w:rPr>
            <w:t xml:space="preserve"> </w:t>
          </w:r>
          <w:r w:rsidR="006835BC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4B0DFD" w:rsidRDefault="004B0DFD">
          <w:pPr>
            <w:pStyle w:val="Header"/>
            <w:tabs>
              <w:tab w:val="clear" w:pos="8640"/>
            </w:tabs>
          </w:pPr>
        </w:p>
      </w:tc>
    </w:tr>
  </w:tbl>
  <w:p w:rsidR="004B0DFD" w:rsidRDefault="004B0DFD">
    <w:pPr>
      <w:pStyle w:val="Header"/>
      <w:rPr>
        <w:rFonts w:ascii="Calibri" w:hAnsi="Calibri"/>
        <w:b/>
        <w:bCs/>
        <w:sz w:val="16"/>
      </w:rPr>
    </w:pPr>
  </w:p>
  <w:p w:rsidR="004B0DFD" w:rsidRDefault="004B0DFD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FD" w:rsidRDefault="006835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847D9"/>
    <w:multiLevelType w:val="hybridMultilevel"/>
    <w:tmpl w:val="395E2FA8"/>
    <w:lvl w:ilvl="0" w:tplc="6914C1AC">
      <w:start w:val="1"/>
      <w:numFmt w:val="lowerLetter"/>
      <w:lvlText w:val="%1."/>
      <w:lvlJc w:val="left"/>
      <w:pPr>
        <w:tabs>
          <w:tab w:val="num" w:pos="1476"/>
        </w:tabs>
        <w:ind w:left="14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261AC"/>
    <w:multiLevelType w:val="hybridMultilevel"/>
    <w:tmpl w:val="8E027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53EA"/>
    <w:multiLevelType w:val="hybridMultilevel"/>
    <w:tmpl w:val="51A82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914FC"/>
    <w:multiLevelType w:val="hybridMultilevel"/>
    <w:tmpl w:val="936E47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6D69"/>
    <w:multiLevelType w:val="hybridMultilevel"/>
    <w:tmpl w:val="5484C3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120E9"/>
    <w:multiLevelType w:val="hybridMultilevel"/>
    <w:tmpl w:val="92369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FD"/>
    <w:rsid w:val="004B0DFD"/>
    <w:rsid w:val="006835BC"/>
    <w:rsid w:val="009635C1"/>
    <w:rsid w:val="00990263"/>
    <w:rsid w:val="009B3EFD"/>
    <w:rsid w:val="00B03521"/>
    <w:rsid w:val="00BA0F96"/>
    <w:rsid w:val="00C16594"/>
    <w:rsid w:val="00F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E5BB94E-21FC-4C9B-B2E1-16356D95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basedOn w:val="DefaultParagraphFont"/>
    <w:uiPriority w:val="99"/>
    <w:unhideWhenUsed/>
    <w:rsid w:val="00C165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A571-9BCD-4576-BDF5-564CB585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921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Sandy Cassidy</cp:lastModifiedBy>
  <cp:revision>4</cp:revision>
  <cp:lastPrinted>2011-05-17T23:24:00Z</cp:lastPrinted>
  <dcterms:created xsi:type="dcterms:W3CDTF">2022-11-28T20:09:00Z</dcterms:created>
  <dcterms:modified xsi:type="dcterms:W3CDTF">2023-02-01T14:54:00Z</dcterms:modified>
</cp:coreProperties>
</file>