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144"/>
        <w:gridCol w:w="556"/>
        <w:gridCol w:w="360"/>
        <w:gridCol w:w="1260"/>
        <w:gridCol w:w="704"/>
        <w:gridCol w:w="391"/>
        <w:gridCol w:w="2865"/>
      </w:tblGrid>
      <w:tr w:rsidR="00326702">
        <w:trPr>
          <w:cantSplit/>
        </w:trPr>
        <w:tc>
          <w:tcPr>
            <w:tcW w:w="10980" w:type="dxa"/>
            <w:gridSpan w:val="10"/>
            <w:tcBorders>
              <w:top w:val="nil"/>
              <w:left w:val="nil"/>
              <w:bottom w:val="nil"/>
              <w:right w:val="nil"/>
            </w:tcBorders>
          </w:tcPr>
          <w:p w:rsidR="00326702" w:rsidRDefault="00326702">
            <w:pPr>
              <w:rPr>
                <w:rFonts w:ascii="Arial" w:hAnsi="Arial" w:cs="Arial"/>
                <w:b/>
                <w:bCs/>
                <w:color w:val="3366FF"/>
                <w:sz w:val="36"/>
              </w:rPr>
            </w:pPr>
            <w:r>
              <w:rPr>
                <w:rFonts w:ascii="Arial" w:hAnsi="Arial" w:cs="Arial"/>
                <w:b/>
                <w:bCs/>
                <w:color w:val="3366FF"/>
                <w:sz w:val="36"/>
              </w:rPr>
              <w:t>Antibody Screen by Gel</w:t>
            </w:r>
          </w:p>
          <w:p w:rsidR="00326702" w:rsidRDefault="00326702">
            <w:pPr>
              <w:pStyle w:val="BodyText"/>
              <w:rPr>
                <w:rFonts w:ascii="Arial" w:hAnsi="Arial" w:cs="Arial"/>
                <w:sz w:val="24"/>
              </w:rPr>
            </w:pPr>
          </w:p>
        </w:tc>
      </w:tr>
      <w:tr w:rsidR="00326702">
        <w:trPr>
          <w:cantSplit/>
          <w:trHeight w:val="780"/>
        </w:trPr>
        <w:tc>
          <w:tcPr>
            <w:tcW w:w="1620" w:type="dxa"/>
            <w:tcBorders>
              <w:top w:val="nil"/>
              <w:left w:val="nil"/>
              <w:bottom w:val="nil"/>
              <w:right w:val="nil"/>
            </w:tcBorders>
          </w:tcPr>
          <w:p w:rsidR="00326702" w:rsidRDefault="00326702">
            <w:pPr>
              <w:pStyle w:val="Header"/>
              <w:tabs>
                <w:tab w:val="clear" w:pos="4320"/>
                <w:tab w:val="clear" w:pos="8640"/>
              </w:tabs>
              <w:rPr>
                <w:rFonts w:ascii="Arial" w:hAnsi="Arial" w:cs="Arial"/>
                <w:b/>
                <w:sz w:val="20"/>
              </w:rPr>
            </w:pPr>
          </w:p>
          <w:p w:rsidR="00326702" w:rsidRDefault="00326702">
            <w:pPr>
              <w:rPr>
                <w:rFonts w:ascii="Arial" w:hAnsi="Arial" w:cs="Arial"/>
                <w:b/>
                <w:bCs/>
                <w:color w:val="3366FF"/>
                <w:sz w:val="20"/>
              </w:rPr>
            </w:pPr>
            <w:r>
              <w:rPr>
                <w:rFonts w:ascii="Arial" w:hAnsi="Arial" w:cs="Arial"/>
                <w:b/>
                <w:bCs/>
                <w:color w:val="3366FF"/>
                <w:sz w:val="20"/>
              </w:rPr>
              <w:t>Purpose</w:t>
            </w:r>
          </w:p>
        </w:tc>
        <w:tc>
          <w:tcPr>
            <w:tcW w:w="9360" w:type="dxa"/>
            <w:gridSpan w:val="9"/>
            <w:tcBorders>
              <w:top w:val="single" w:sz="12" w:space="0" w:color="C0C0C0"/>
              <w:left w:val="nil"/>
              <w:bottom w:val="single" w:sz="12" w:space="0" w:color="C0C0C0"/>
              <w:right w:val="nil"/>
            </w:tcBorders>
          </w:tcPr>
          <w:p w:rsidR="00326702" w:rsidRDefault="00326702">
            <w:pPr>
              <w:pStyle w:val="BodyText"/>
              <w:jc w:val="left"/>
              <w:rPr>
                <w:rFonts w:ascii="Arial" w:hAnsi="Arial" w:cs="Arial"/>
              </w:rPr>
            </w:pPr>
          </w:p>
          <w:p w:rsidR="00326702" w:rsidRDefault="00326702">
            <w:pPr>
              <w:pStyle w:val="TableText"/>
              <w:autoSpaceDE/>
              <w:autoSpaceDN/>
              <w:rPr>
                <w:rFonts w:ascii="Arial" w:hAnsi="Arial" w:cs="Arial"/>
              </w:rPr>
            </w:pPr>
            <w:r>
              <w:rPr>
                <w:rFonts w:ascii="Arial" w:hAnsi="Arial" w:cs="Arial"/>
              </w:rPr>
              <w:t xml:space="preserve">This procedure provides instructions for performing an indirect </w:t>
            </w:r>
            <w:proofErr w:type="spellStart"/>
            <w:r>
              <w:rPr>
                <w:rFonts w:ascii="Arial" w:hAnsi="Arial" w:cs="Arial"/>
              </w:rPr>
              <w:t>antiglobulin</w:t>
            </w:r>
            <w:proofErr w:type="spellEnd"/>
            <w:r>
              <w:rPr>
                <w:rFonts w:ascii="Arial" w:hAnsi="Arial" w:cs="Arial"/>
              </w:rPr>
              <w:t xml:space="preserve"> test (IAT) on patient samples for the detection of unexpected antibodies using gel technique.</w:t>
            </w:r>
          </w:p>
          <w:p w:rsidR="00326702" w:rsidRDefault="00326702">
            <w:pPr>
              <w:pStyle w:val="TableText"/>
              <w:autoSpaceDE/>
              <w:autoSpaceDN/>
              <w:rPr>
                <w:rFonts w:ascii="Arial" w:hAnsi="Arial" w:cs="Arial"/>
              </w:rPr>
            </w:pPr>
          </w:p>
        </w:tc>
      </w:tr>
      <w:tr w:rsidR="00326702">
        <w:trPr>
          <w:cantSplit/>
          <w:trHeight w:val="627"/>
        </w:trPr>
        <w:tc>
          <w:tcPr>
            <w:tcW w:w="1620" w:type="dxa"/>
            <w:tcBorders>
              <w:top w:val="nil"/>
              <w:left w:val="nil"/>
              <w:bottom w:val="nil"/>
              <w:right w:val="nil"/>
            </w:tcBorders>
          </w:tcPr>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r>
              <w:rPr>
                <w:rFonts w:ascii="Arial" w:hAnsi="Arial" w:cs="Arial"/>
                <w:b/>
                <w:bCs/>
                <w:color w:val="3366FF"/>
                <w:sz w:val="20"/>
              </w:rPr>
              <w:t>Policy Statements</w:t>
            </w:r>
          </w:p>
        </w:tc>
        <w:tc>
          <w:tcPr>
            <w:tcW w:w="9360" w:type="dxa"/>
            <w:gridSpan w:val="9"/>
            <w:tcBorders>
              <w:top w:val="single" w:sz="12" w:space="0" w:color="C0C0C0"/>
              <w:left w:val="nil"/>
              <w:bottom w:val="single" w:sz="12" w:space="0" w:color="C0C0C0"/>
              <w:right w:val="nil"/>
            </w:tcBorders>
          </w:tcPr>
          <w:p w:rsidR="00326702" w:rsidRDefault="00326702">
            <w:pPr>
              <w:ind w:left="360"/>
              <w:jc w:val="left"/>
              <w:rPr>
                <w:rFonts w:ascii="Arial" w:hAnsi="Arial" w:cs="Arial"/>
                <w:iCs/>
                <w:sz w:val="20"/>
              </w:rPr>
            </w:pPr>
          </w:p>
          <w:p w:rsidR="00326702" w:rsidRDefault="00326702" w:rsidP="00326702">
            <w:pPr>
              <w:pStyle w:val="TableText"/>
              <w:numPr>
                <w:ilvl w:val="0"/>
                <w:numId w:val="6"/>
              </w:numPr>
              <w:tabs>
                <w:tab w:val="clear" w:pos="720"/>
                <w:tab w:val="num" w:pos="432"/>
              </w:tabs>
              <w:autoSpaceDE/>
              <w:autoSpaceDN/>
              <w:ind w:hanging="648"/>
              <w:rPr>
                <w:rFonts w:ascii="Arial" w:hAnsi="Arial" w:cs="Arial"/>
              </w:rPr>
            </w:pPr>
            <w:r>
              <w:rPr>
                <w:rFonts w:ascii="Arial" w:hAnsi="Arial" w:cs="Arial"/>
              </w:rPr>
              <w:t>Methods of testing shall detect clinically significant antibodies and shall include incubation at 37C</w:t>
            </w:r>
          </w:p>
          <w:p w:rsidR="00326702" w:rsidRDefault="00326702">
            <w:pPr>
              <w:pStyle w:val="TableText"/>
              <w:autoSpaceDE/>
              <w:autoSpaceDN/>
              <w:ind w:left="72"/>
              <w:rPr>
                <w:rFonts w:ascii="Arial" w:hAnsi="Arial" w:cs="Arial"/>
              </w:rPr>
            </w:pPr>
            <w:r>
              <w:rPr>
                <w:rFonts w:ascii="Arial" w:hAnsi="Arial" w:cs="Arial"/>
              </w:rPr>
              <w:t xml:space="preserve">      </w:t>
            </w:r>
            <w:proofErr w:type="gramStart"/>
            <w:r>
              <w:rPr>
                <w:rFonts w:ascii="Arial" w:hAnsi="Arial" w:cs="Arial"/>
              </w:rPr>
              <w:t>preceding</w:t>
            </w:r>
            <w:proofErr w:type="gramEnd"/>
            <w:r>
              <w:rPr>
                <w:rFonts w:ascii="Arial" w:hAnsi="Arial" w:cs="Arial"/>
              </w:rPr>
              <w:t xml:space="preserve"> an </w:t>
            </w:r>
            <w:proofErr w:type="spellStart"/>
            <w:r>
              <w:rPr>
                <w:rFonts w:ascii="Arial" w:hAnsi="Arial" w:cs="Arial"/>
              </w:rPr>
              <w:t>antiglobulin</w:t>
            </w:r>
            <w:proofErr w:type="spellEnd"/>
            <w:r>
              <w:rPr>
                <w:rFonts w:ascii="Arial" w:hAnsi="Arial" w:cs="Arial"/>
              </w:rPr>
              <w:t xml:space="preserve"> phase using 2 cell reagent-screening cells.</w:t>
            </w:r>
          </w:p>
          <w:p w:rsidR="00326702" w:rsidRDefault="00326702" w:rsidP="00326702">
            <w:pPr>
              <w:numPr>
                <w:ilvl w:val="0"/>
                <w:numId w:val="6"/>
              </w:numPr>
              <w:tabs>
                <w:tab w:val="clear" w:pos="720"/>
                <w:tab w:val="num" w:pos="432"/>
              </w:tabs>
              <w:ind w:hanging="648"/>
              <w:jc w:val="left"/>
              <w:rPr>
                <w:rFonts w:ascii="Arial" w:hAnsi="Arial" w:cs="Arial"/>
                <w:sz w:val="20"/>
              </w:rPr>
            </w:pPr>
            <w:r>
              <w:rPr>
                <w:rFonts w:ascii="Arial" w:hAnsi="Arial" w:cs="Arial"/>
                <w:sz w:val="20"/>
              </w:rPr>
              <w:t>When clinically significant antibodies are detected, additional testing shall be performed prior to</w:t>
            </w:r>
          </w:p>
          <w:p w:rsidR="00326702" w:rsidRDefault="00326702">
            <w:pPr>
              <w:tabs>
                <w:tab w:val="left" w:pos="432"/>
              </w:tabs>
              <w:ind w:left="72"/>
              <w:jc w:val="left"/>
              <w:rPr>
                <w:rFonts w:ascii="Arial" w:hAnsi="Arial" w:cs="Arial"/>
                <w:sz w:val="20"/>
              </w:rPr>
            </w:pP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transfusion of red cell products in non-emergency situations.</w:t>
            </w:r>
          </w:p>
          <w:p w:rsidR="00326702" w:rsidRDefault="00326702" w:rsidP="00326702">
            <w:pPr>
              <w:numPr>
                <w:ilvl w:val="0"/>
                <w:numId w:val="6"/>
              </w:numPr>
              <w:tabs>
                <w:tab w:val="left" w:pos="432"/>
              </w:tabs>
              <w:ind w:hanging="648"/>
              <w:jc w:val="left"/>
              <w:rPr>
                <w:rFonts w:ascii="Arial" w:hAnsi="Arial" w:cs="Arial"/>
                <w:sz w:val="20"/>
              </w:rPr>
            </w:pPr>
            <w:r>
              <w:rPr>
                <w:rFonts w:ascii="Arial" w:hAnsi="Arial" w:cs="Arial"/>
                <w:sz w:val="20"/>
              </w:rPr>
              <w:t>If the patient has been transfused with blood or blood components containing allogenic red cells,</w:t>
            </w:r>
          </w:p>
          <w:p w:rsidR="00326702" w:rsidRDefault="00326702">
            <w:pPr>
              <w:tabs>
                <w:tab w:val="left" w:pos="432"/>
              </w:tabs>
              <w:ind w:left="72"/>
              <w:jc w:val="left"/>
              <w:rPr>
                <w:rFonts w:ascii="Arial" w:hAnsi="Arial" w:cs="Arial"/>
                <w:sz w:val="20"/>
              </w:rPr>
            </w:pPr>
            <w:r>
              <w:rPr>
                <w:rFonts w:ascii="Arial" w:hAnsi="Arial" w:cs="Arial"/>
                <w:sz w:val="20"/>
              </w:rPr>
              <w:t xml:space="preserve">      or has been pregnant in the preceding 3 months, or if the history is uncertain or unavailable, then a</w:t>
            </w:r>
          </w:p>
          <w:p w:rsidR="00326702" w:rsidRDefault="00326702">
            <w:pPr>
              <w:tabs>
                <w:tab w:val="left" w:pos="432"/>
              </w:tabs>
              <w:ind w:left="72"/>
              <w:jc w:val="left"/>
              <w:rPr>
                <w:rFonts w:ascii="Arial" w:hAnsi="Arial" w:cs="Arial"/>
                <w:sz w:val="20"/>
              </w:rPr>
            </w:pPr>
            <w:r>
              <w:rPr>
                <w:rFonts w:ascii="Arial" w:hAnsi="Arial" w:cs="Arial"/>
                <w:sz w:val="20"/>
              </w:rPr>
              <w:t xml:space="preserve">      </w:t>
            </w:r>
            <w:proofErr w:type="gramStart"/>
            <w:r>
              <w:rPr>
                <w:rFonts w:ascii="Arial" w:hAnsi="Arial" w:cs="Arial"/>
                <w:sz w:val="20"/>
              </w:rPr>
              <w:t>sample</w:t>
            </w:r>
            <w:proofErr w:type="gramEnd"/>
            <w:r>
              <w:rPr>
                <w:rFonts w:ascii="Arial" w:hAnsi="Arial" w:cs="Arial"/>
                <w:sz w:val="20"/>
              </w:rPr>
              <w:t xml:space="preserve"> collected from the patient within 3 days of the transfusion must be tested.</w:t>
            </w:r>
          </w:p>
          <w:p w:rsidR="00326702" w:rsidRDefault="00326702" w:rsidP="00326702">
            <w:pPr>
              <w:numPr>
                <w:ilvl w:val="0"/>
                <w:numId w:val="6"/>
              </w:numPr>
              <w:tabs>
                <w:tab w:val="left" w:pos="432"/>
                <w:tab w:val="num" w:pos="2160"/>
              </w:tabs>
              <w:ind w:hanging="648"/>
              <w:jc w:val="left"/>
              <w:rPr>
                <w:rFonts w:ascii="Arial" w:hAnsi="Arial" w:cs="Arial"/>
                <w:sz w:val="20"/>
              </w:rPr>
            </w:pPr>
            <w:r>
              <w:rPr>
                <w:rFonts w:ascii="Arial" w:hAnsi="Arial" w:cs="Arial"/>
                <w:sz w:val="20"/>
              </w:rPr>
              <w:t xml:space="preserve">Patient &lt; 4 months old: Repeat antibody screening may be omitted for the remainder of infant’s </w:t>
            </w:r>
          </w:p>
          <w:p w:rsidR="00326702" w:rsidRDefault="00326702">
            <w:pPr>
              <w:tabs>
                <w:tab w:val="left" w:pos="432"/>
                <w:tab w:val="num" w:pos="2160"/>
              </w:tabs>
              <w:ind w:left="72"/>
              <w:jc w:val="left"/>
              <w:rPr>
                <w:rFonts w:ascii="Arial" w:hAnsi="Arial" w:cs="Arial"/>
                <w:sz w:val="20"/>
              </w:rPr>
            </w:pPr>
            <w:r>
              <w:rPr>
                <w:rFonts w:ascii="Arial" w:hAnsi="Arial" w:cs="Arial"/>
                <w:sz w:val="20"/>
              </w:rPr>
              <w:t xml:space="preserve">      </w:t>
            </w:r>
            <w:proofErr w:type="gramStart"/>
            <w:r>
              <w:rPr>
                <w:rFonts w:ascii="Arial" w:hAnsi="Arial" w:cs="Arial"/>
                <w:sz w:val="20"/>
              </w:rPr>
              <w:t>admission</w:t>
            </w:r>
            <w:proofErr w:type="gramEnd"/>
            <w:r>
              <w:rPr>
                <w:rFonts w:ascii="Arial" w:hAnsi="Arial" w:cs="Arial"/>
                <w:sz w:val="20"/>
              </w:rPr>
              <w:t xml:space="preserve"> period or until the infant reaches the age of 4 months, </w:t>
            </w:r>
            <w:r w:rsidR="00C01406">
              <w:rPr>
                <w:rFonts w:ascii="Arial" w:hAnsi="Arial" w:cs="Arial"/>
                <w:sz w:val="20"/>
              </w:rPr>
              <w:t>whichever</w:t>
            </w:r>
            <w:r>
              <w:rPr>
                <w:rFonts w:ascii="Arial" w:hAnsi="Arial" w:cs="Arial"/>
                <w:sz w:val="20"/>
              </w:rPr>
              <w:t xml:space="preserve"> is sooner.</w:t>
            </w:r>
          </w:p>
          <w:p w:rsidR="00326702" w:rsidRDefault="00326702">
            <w:pPr>
              <w:tabs>
                <w:tab w:val="left" w:pos="72"/>
                <w:tab w:val="num" w:pos="432"/>
              </w:tabs>
              <w:ind w:left="252" w:hanging="648"/>
              <w:jc w:val="left"/>
              <w:rPr>
                <w:rFonts w:ascii="Arial" w:hAnsi="Arial" w:cs="Arial"/>
                <w:iCs/>
                <w:sz w:val="20"/>
              </w:rPr>
            </w:pPr>
            <w:r>
              <w:rPr>
                <w:rFonts w:ascii="Arial" w:hAnsi="Arial" w:cs="Arial"/>
                <w:sz w:val="20"/>
              </w:rPr>
              <w:t xml:space="preserve">      </w:t>
            </w:r>
          </w:p>
        </w:tc>
      </w:tr>
      <w:tr w:rsidR="00326702">
        <w:trPr>
          <w:cantSplit/>
          <w:trHeight w:val="627"/>
        </w:trPr>
        <w:tc>
          <w:tcPr>
            <w:tcW w:w="1620" w:type="dxa"/>
            <w:tcBorders>
              <w:top w:val="nil"/>
              <w:left w:val="nil"/>
              <w:bottom w:val="nil"/>
              <w:right w:val="nil"/>
            </w:tcBorders>
          </w:tcPr>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r>
              <w:rPr>
                <w:rFonts w:ascii="Arial" w:hAnsi="Arial" w:cs="Arial"/>
                <w:b/>
                <w:bCs/>
                <w:color w:val="3366FF"/>
                <w:sz w:val="20"/>
              </w:rPr>
              <w:t>Definitions</w:t>
            </w:r>
          </w:p>
        </w:tc>
        <w:tc>
          <w:tcPr>
            <w:tcW w:w="9360" w:type="dxa"/>
            <w:gridSpan w:val="9"/>
            <w:tcBorders>
              <w:top w:val="single" w:sz="12" w:space="0" w:color="C0C0C0"/>
              <w:left w:val="nil"/>
              <w:bottom w:val="single" w:sz="12" w:space="0" w:color="C0C0C0"/>
              <w:right w:val="nil"/>
            </w:tcBorders>
          </w:tcPr>
          <w:p w:rsidR="00326702" w:rsidRDefault="00326702">
            <w:pPr>
              <w:pStyle w:val="TableText"/>
              <w:tabs>
                <w:tab w:val="left" w:pos="432"/>
              </w:tabs>
              <w:autoSpaceDE/>
              <w:autoSpaceDN/>
              <w:rPr>
                <w:rFonts w:ascii="Arial" w:hAnsi="Arial" w:cs="Arial"/>
                <w:iCs/>
              </w:rPr>
            </w:pPr>
          </w:p>
          <w:p w:rsidR="00326702" w:rsidRDefault="00326702">
            <w:pPr>
              <w:tabs>
                <w:tab w:val="left" w:pos="432"/>
              </w:tabs>
              <w:jc w:val="left"/>
              <w:rPr>
                <w:rFonts w:ascii="Arial" w:hAnsi="Arial" w:cs="Arial"/>
                <w:iCs/>
                <w:sz w:val="20"/>
              </w:rPr>
            </w:pPr>
            <w:r>
              <w:rPr>
                <w:rFonts w:ascii="Arial" w:hAnsi="Arial" w:cs="Arial"/>
                <w:iCs/>
                <w:sz w:val="20"/>
              </w:rPr>
              <w:t xml:space="preserve">IAT-Indirect </w:t>
            </w:r>
            <w:proofErr w:type="spellStart"/>
            <w:r>
              <w:rPr>
                <w:rFonts w:ascii="Arial" w:hAnsi="Arial" w:cs="Arial"/>
                <w:iCs/>
                <w:sz w:val="20"/>
              </w:rPr>
              <w:t>Antiglobulin</w:t>
            </w:r>
            <w:proofErr w:type="spellEnd"/>
            <w:r>
              <w:rPr>
                <w:rFonts w:ascii="Arial" w:hAnsi="Arial" w:cs="Arial"/>
                <w:iCs/>
                <w:sz w:val="20"/>
              </w:rPr>
              <w:t xml:space="preserve"> Test</w:t>
            </w:r>
          </w:p>
          <w:p w:rsidR="00326702" w:rsidRDefault="00326702">
            <w:pPr>
              <w:pStyle w:val="TableText"/>
              <w:tabs>
                <w:tab w:val="left" w:pos="432"/>
              </w:tabs>
              <w:autoSpaceDE/>
              <w:autoSpaceDN/>
              <w:rPr>
                <w:rFonts w:ascii="Arial" w:hAnsi="Arial" w:cs="Arial"/>
                <w:iCs/>
              </w:rPr>
            </w:pPr>
          </w:p>
        </w:tc>
      </w:tr>
      <w:tr w:rsidR="00326702">
        <w:trPr>
          <w:cantSplit/>
          <w:trHeight w:val="798"/>
        </w:trPr>
        <w:tc>
          <w:tcPr>
            <w:tcW w:w="1620" w:type="dxa"/>
            <w:tcBorders>
              <w:top w:val="nil"/>
              <w:left w:val="nil"/>
              <w:bottom w:val="nil"/>
              <w:right w:val="nil"/>
            </w:tcBorders>
          </w:tcPr>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r>
              <w:rPr>
                <w:rFonts w:ascii="Arial" w:hAnsi="Arial" w:cs="Arial"/>
                <w:b/>
                <w:bCs/>
                <w:color w:val="3366FF"/>
                <w:sz w:val="20"/>
              </w:rPr>
              <w:t>Test Codes</w:t>
            </w:r>
          </w:p>
          <w:p w:rsidR="00326702" w:rsidRDefault="00326702">
            <w:pPr>
              <w:ind w:right="308"/>
              <w:rPr>
                <w:rFonts w:ascii="Arial" w:hAnsi="Arial" w:cs="Arial"/>
                <w:b/>
                <w:bCs/>
                <w:color w:val="3366FF"/>
                <w:sz w:val="20"/>
              </w:rPr>
            </w:pPr>
          </w:p>
        </w:tc>
        <w:tc>
          <w:tcPr>
            <w:tcW w:w="9360" w:type="dxa"/>
            <w:gridSpan w:val="9"/>
            <w:tcBorders>
              <w:top w:val="single" w:sz="12" w:space="0" w:color="C0C0C0"/>
              <w:left w:val="nil"/>
              <w:bottom w:val="single" w:sz="12" w:space="0" w:color="C0C0C0"/>
              <w:right w:val="nil"/>
            </w:tcBorders>
          </w:tcPr>
          <w:p w:rsidR="00326702" w:rsidRDefault="00326702">
            <w:pPr>
              <w:jc w:val="left"/>
              <w:rPr>
                <w:rFonts w:ascii="Arial" w:hAnsi="Arial" w:cs="Arial"/>
                <w:iCs/>
                <w:sz w:val="20"/>
              </w:rPr>
            </w:pPr>
          </w:p>
          <w:p w:rsidR="00326702" w:rsidRDefault="00326702">
            <w:pPr>
              <w:tabs>
                <w:tab w:val="num" w:pos="540"/>
                <w:tab w:val="num" w:pos="2160"/>
              </w:tabs>
              <w:rPr>
                <w:rFonts w:ascii="Arial" w:hAnsi="Arial" w:cs="Arial"/>
                <w:sz w:val="20"/>
              </w:rPr>
            </w:pPr>
            <w:r>
              <w:rPr>
                <w:rFonts w:ascii="Arial" w:hAnsi="Arial" w:cs="Arial"/>
                <w:sz w:val="20"/>
              </w:rPr>
              <w:t>%AS-Antibody Screen</w:t>
            </w:r>
          </w:p>
          <w:p w:rsidR="00326702" w:rsidRDefault="00326702">
            <w:pPr>
              <w:tabs>
                <w:tab w:val="num" w:pos="540"/>
                <w:tab w:val="num" w:pos="2160"/>
              </w:tabs>
              <w:rPr>
                <w:rFonts w:ascii="Arial" w:hAnsi="Arial" w:cs="Arial"/>
                <w:sz w:val="20"/>
              </w:rPr>
            </w:pPr>
            <w:r>
              <w:rPr>
                <w:rFonts w:ascii="Arial" w:hAnsi="Arial" w:cs="Arial"/>
                <w:sz w:val="20"/>
              </w:rPr>
              <w:t>RPAS-Repeat Antibody Screen</w:t>
            </w:r>
          </w:p>
          <w:p w:rsidR="00326702" w:rsidRDefault="00326702">
            <w:pPr>
              <w:pStyle w:val="TableText"/>
              <w:autoSpaceDE/>
              <w:autoSpaceDN/>
              <w:rPr>
                <w:rFonts w:ascii="Arial" w:hAnsi="Arial"/>
              </w:rPr>
            </w:pPr>
            <w:r>
              <w:rPr>
                <w:rFonts w:ascii="Arial" w:hAnsi="Arial"/>
              </w:rPr>
              <w:t>CASC-Credit Antibody Screen</w:t>
            </w:r>
          </w:p>
          <w:p w:rsidR="00326702" w:rsidRDefault="00326702">
            <w:pPr>
              <w:jc w:val="left"/>
              <w:rPr>
                <w:rFonts w:ascii="Arial" w:hAnsi="Arial" w:cs="Arial"/>
                <w:iCs/>
                <w:sz w:val="20"/>
              </w:rPr>
            </w:pPr>
          </w:p>
        </w:tc>
      </w:tr>
      <w:tr w:rsidR="00326702">
        <w:trPr>
          <w:cantSplit/>
          <w:trHeight w:val="750"/>
        </w:trPr>
        <w:tc>
          <w:tcPr>
            <w:tcW w:w="1620" w:type="dxa"/>
            <w:tcBorders>
              <w:top w:val="nil"/>
              <w:left w:val="nil"/>
              <w:bottom w:val="nil"/>
              <w:right w:val="nil"/>
            </w:tcBorders>
          </w:tcPr>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r>
              <w:rPr>
                <w:rFonts w:ascii="Arial" w:hAnsi="Arial" w:cs="Arial"/>
                <w:b/>
                <w:bCs/>
                <w:color w:val="3366FF"/>
                <w:sz w:val="20"/>
              </w:rPr>
              <w:t>Related</w:t>
            </w:r>
          </w:p>
          <w:p w:rsidR="00326702" w:rsidRDefault="00326702">
            <w:pPr>
              <w:rPr>
                <w:rFonts w:ascii="Arial" w:hAnsi="Arial" w:cs="Arial"/>
                <w:b/>
                <w:bCs/>
                <w:color w:val="3366FF"/>
                <w:sz w:val="20"/>
              </w:rPr>
            </w:pPr>
            <w:r>
              <w:rPr>
                <w:rFonts w:ascii="Arial" w:hAnsi="Arial" w:cs="Arial"/>
                <w:b/>
                <w:bCs/>
                <w:color w:val="3366FF"/>
                <w:sz w:val="20"/>
              </w:rPr>
              <w:t>Documents</w:t>
            </w:r>
          </w:p>
        </w:tc>
        <w:tc>
          <w:tcPr>
            <w:tcW w:w="9360" w:type="dxa"/>
            <w:gridSpan w:val="9"/>
            <w:tcBorders>
              <w:top w:val="single" w:sz="12" w:space="0" w:color="C0C0C0"/>
              <w:left w:val="nil"/>
              <w:bottom w:val="single" w:sz="12" w:space="0" w:color="C0C0C0"/>
              <w:right w:val="nil"/>
            </w:tcBorders>
          </w:tcPr>
          <w:p w:rsidR="00326702" w:rsidRDefault="00326702">
            <w:pPr>
              <w:jc w:val="left"/>
              <w:rPr>
                <w:rFonts w:ascii="Arial" w:hAnsi="Arial" w:cs="Arial"/>
                <w:iCs/>
                <w:sz w:val="20"/>
              </w:rPr>
            </w:pPr>
          </w:p>
          <w:p w:rsidR="00326702" w:rsidRDefault="00C01406">
            <w:pPr>
              <w:jc w:val="left"/>
              <w:rPr>
                <w:rFonts w:ascii="Arial" w:hAnsi="Arial" w:cs="Arial"/>
                <w:iCs/>
                <w:sz w:val="20"/>
              </w:rPr>
            </w:pPr>
            <w:hyperlink r:id="rId7" w:history="1">
              <w:r w:rsidR="00326702">
                <w:rPr>
                  <w:rStyle w:val="Hyperlink"/>
                  <w:rFonts w:ascii="Arial" w:hAnsi="Arial" w:cs="Arial"/>
                  <w:sz w:val="20"/>
                </w:rPr>
                <w:t>Antibody Screen</w:t>
              </w:r>
            </w:hyperlink>
          </w:p>
        </w:tc>
      </w:tr>
      <w:tr w:rsidR="00326702">
        <w:trPr>
          <w:cantSplit/>
          <w:trHeight w:val="197"/>
        </w:trPr>
        <w:tc>
          <w:tcPr>
            <w:tcW w:w="1620" w:type="dxa"/>
            <w:tcBorders>
              <w:top w:val="nil"/>
              <w:left w:val="nil"/>
              <w:bottom w:val="nil"/>
              <w:right w:val="nil"/>
            </w:tcBorders>
          </w:tcPr>
          <w:p w:rsidR="00326702" w:rsidRDefault="00326702">
            <w:pPr>
              <w:rPr>
                <w:rFonts w:ascii="Arial" w:hAnsi="Arial" w:cs="Arial"/>
                <w:b/>
                <w:color w:val="3366FF"/>
                <w:sz w:val="20"/>
              </w:rPr>
            </w:pPr>
          </w:p>
        </w:tc>
        <w:tc>
          <w:tcPr>
            <w:tcW w:w="9360" w:type="dxa"/>
            <w:gridSpan w:val="9"/>
            <w:tcBorders>
              <w:top w:val="single" w:sz="12" w:space="0" w:color="C0C0C0"/>
              <w:left w:val="nil"/>
              <w:bottom w:val="nil"/>
              <w:right w:val="nil"/>
            </w:tcBorders>
          </w:tcPr>
          <w:p w:rsidR="00326702" w:rsidRDefault="00326702">
            <w:pPr>
              <w:rPr>
                <w:rFonts w:ascii="Arial" w:hAnsi="Arial" w:cs="Arial"/>
                <w:iCs/>
                <w:sz w:val="20"/>
              </w:rPr>
            </w:pPr>
          </w:p>
        </w:tc>
      </w:tr>
      <w:tr w:rsidR="0032670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rsidR="00326702" w:rsidRDefault="00326702">
            <w:pPr>
              <w:jc w:val="left"/>
              <w:rPr>
                <w:rFonts w:ascii="Arial" w:hAnsi="Arial" w:cs="Arial"/>
                <w:b/>
                <w:color w:val="3366FF"/>
                <w:sz w:val="20"/>
              </w:rPr>
            </w:pPr>
            <w:r>
              <w:rPr>
                <w:rFonts w:ascii="Arial" w:hAnsi="Arial" w:cs="Arial"/>
                <w:b/>
                <w:color w:val="3366FF"/>
                <w:sz w:val="20"/>
              </w:rPr>
              <w:t>Materials</w:t>
            </w:r>
          </w:p>
        </w:tc>
        <w:tc>
          <w:tcPr>
            <w:tcW w:w="3224" w:type="dxa"/>
            <w:gridSpan w:val="3"/>
            <w:tcBorders>
              <w:top w:val="single" w:sz="4" w:space="0" w:color="auto"/>
              <w:left w:val="single" w:sz="6" w:space="0" w:color="auto"/>
              <w:bottom w:val="single" w:sz="6" w:space="0" w:color="auto"/>
              <w:right w:val="single" w:sz="6" w:space="0" w:color="auto"/>
            </w:tcBorders>
            <w:shd w:val="clear" w:color="auto" w:fill="F3F3F3"/>
          </w:tcPr>
          <w:p w:rsidR="00326702" w:rsidRDefault="00326702">
            <w:pPr>
              <w:jc w:val="center"/>
              <w:rPr>
                <w:rFonts w:ascii="Arial" w:hAnsi="Arial" w:cs="Arial"/>
                <w:iCs/>
                <w:sz w:val="20"/>
              </w:rPr>
            </w:pPr>
            <w:r>
              <w:rPr>
                <w:rFonts w:ascii="Arial" w:hAnsi="Arial" w:cs="Arial"/>
                <w:b/>
                <w:iCs/>
                <w:sz w:val="20"/>
              </w:rPr>
              <w:t>Equipment</w:t>
            </w:r>
          </w:p>
        </w:tc>
        <w:tc>
          <w:tcPr>
            <w:tcW w:w="2880" w:type="dxa"/>
            <w:gridSpan w:val="4"/>
            <w:tcBorders>
              <w:top w:val="single" w:sz="6" w:space="0" w:color="auto"/>
              <w:left w:val="single" w:sz="6" w:space="0" w:color="auto"/>
              <w:bottom w:val="single" w:sz="6" w:space="0" w:color="auto"/>
              <w:right w:val="single" w:sz="6" w:space="0" w:color="auto"/>
            </w:tcBorders>
            <w:shd w:val="clear" w:color="auto" w:fill="F3F3F3"/>
          </w:tcPr>
          <w:p w:rsidR="00326702" w:rsidRDefault="00326702">
            <w:pPr>
              <w:jc w:val="center"/>
              <w:rPr>
                <w:rFonts w:ascii="Arial" w:hAnsi="Arial" w:cs="Arial"/>
                <w:iCs/>
                <w:sz w:val="20"/>
              </w:rPr>
            </w:pPr>
            <w:r>
              <w:rPr>
                <w:rFonts w:ascii="Arial" w:hAnsi="Arial" w:cs="Arial"/>
                <w:b/>
                <w:iCs/>
                <w:sz w:val="20"/>
              </w:rPr>
              <w:t>Reagents</w:t>
            </w:r>
          </w:p>
        </w:tc>
        <w:tc>
          <w:tcPr>
            <w:tcW w:w="3256" w:type="dxa"/>
            <w:gridSpan w:val="2"/>
            <w:tcBorders>
              <w:top w:val="single" w:sz="6" w:space="0" w:color="auto"/>
              <w:left w:val="single" w:sz="6" w:space="0" w:color="auto"/>
              <w:bottom w:val="single" w:sz="6" w:space="0" w:color="auto"/>
              <w:right w:val="single" w:sz="4" w:space="0" w:color="auto"/>
            </w:tcBorders>
            <w:shd w:val="clear" w:color="auto" w:fill="F3F3F3"/>
          </w:tcPr>
          <w:p w:rsidR="00326702" w:rsidRDefault="00326702">
            <w:pPr>
              <w:jc w:val="center"/>
              <w:rPr>
                <w:rFonts w:ascii="Arial" w:hAnsi="Arial" w:cs="Arial"/>
                <w:b/>
                <w:iCs/>
                <w:sz w:val="20"/>
              </w:rPr>
            </w:pPr>
            <w:r>
              <w:rPr>
                <w:rFonts w:ascii="Arial" w:hAnsi="Arial" w:cs="Arial"/>
                <w:b/>
                <w:iCs/>
                <w:sz w:val="20"/>
              </w:rPr>
              <w:t>Supplies</w:t>
            </w:r>
          </w:p>
        </w:tc>
      </w:tr>
      <w:tr w:rsidR="0032670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rsidR="00326702" w:rsidRDefault="00326702">
            <w:pPr>
              <w:rPr>
                <w:rFonts w:ascii="Arial" w:hAnsi="Arial" w:cs="Arial"/>
                <w:b/>
                <w:color w:val="3366FF"/>
                <w:sz w:val="20"/>
              </w:rPr>
            </w:pPr>
          </w:p>
        </w:tc>
        <w:tc>
          <w:tcPr>
            <w:tcW w:w="3224" w:type="dxa"/>
            <w:gridSpan w:val="3"/>
            <w:tcBorders>
              <w:top w:val="single" w:sz="6" w:space="0" w:color="auto"/>
              <w:left w:val="single" w:sz="6" w:space="0" w:color="auto"/>
              <w:bottom w:val="single" w:sz="4" w:space="0" w:color="auto"/>
              <w:right w:val="single" w:sz="6" w:space="0" w:color="auto"/>
            </w:tcBorders>
          </w:tcPr>
          <w:p w:rsidR="00326702" w:rsidRDefault="00A50A61" w:rsidP="00326702">
            <w:pPr>
              <w:numPr>
                <w:ilvl w:val="0"/>
                <w:numId w:val="4"/>
              </w:numPr>
              <w:tabs>
                <w:tab w:val="num" w:pos="432"/>
              </w:tabs>
              <w:rPr>
                <w:rFonts w:ascii="Arial" w:hAnsi="Arial" w:cs="Arial"/>
                <w:sz w:val="20"/>
              </w:rPr>
            </w:pPr>
            <w:r>
              <w:rPr>
                <w:rFonts w:ascii="Arial" w:hAnsi="Arial" w:cs="Arial"/>
                <w:sz w:val="20"/>
              </w:rPr>
              <w:t>IH-</w:t>
            </w:r>
            <w:r w:rsidR="00326702">
              <w:rPr>
                <w:rFonts w:ascii="Arial" w:hAnsi="Arial" w:cs="Arial"/>
                <w:sz w:val="20"/>
              </w:rPr>
              <w:t xml:space="preserve"> Incubator</w:t>
            </w:r>
          </w:p>
          <w:p w:rsidR="00326702" w:rsidRPr="00A50A61" w:rsidRDefault="00A50A61" w:rsidP="00326702">
            <w:pPr>
              <w:numPr>
                <w:ilvl w:val="0"/>
                <w:numId w:val="4"/>
              </w:numPr>
              <w:tabs>
                <w:tab w:val="num" w:pos="432"/>
              </w:tabs>
              <w:rPr>
                <w:rFonts w:ascii="Arial" w:hAnsi="Arial" w:cs="Arial"/>
                <w:sz w:val="20"/>
                <w:szCs w:val="18"/>
              </w:rPr>
            </w:pPr>
            <w:r>
              <w:rPr>
                <w:rFonts w:ascii="Arial" w:hAnsi="Arial" w:cs="Arial"/>
                <w:sz w:val="20"/>
              </w:rPr>
              <w:t>IH-</w:t>
            </w:r>
            <w:r w:rsidR="00326702">
              <w:rPr>
                <w:rFonts w:ascii="Arial" w:hAnsi="Arial" w:cs="Arial"/>
                <w:sz w:val="20"/>
              </w:rPr>
              <w:t>Centrifuge</w:t>
            </w:r>
          </w:p>
          <w:p w:rsidR="00A50A61" w:rsidRDefault="00A50A61" w:rsidP="00326702">
            <w:pPr>
              <w:numPr>
                <w:ilvl w:val="0"/>
                <w:numId w:val="4"/>
              </w:numPr>
              <w:tabs>
                <w:tab w:val="num" w:pos="432"/>
              </w:tabs>
              <w:rPr>
                <w:rFonts w:ascii="Arial" w:hAnsi="Arial" w:cs="Arial"/>
                <w:sz w:val="20"/>
                <w:szCs w:val="18"/>
              </w:rPr>
            </w:pPr>
            <w:r>
              <w:rPr>
                <w:rFonts w:ascii="Arial" w:hAnsi="Arial" w:cs="Arial"/>
                <w:sz w:val="20"/>
              </w:rPr>
              <w:t>IH-Reader 24-(STP only)</w:t>
            </w:r>
          </w:p>
        </w:tc>
        <w:tc>
          <w:tcPr>
            <w:tcW w:w="2880" w:type="dxa"/>
            <w:gridSpan w:val="4"/>
            <w:tcBorders>
              <w:top w:val="single" w:sz="6" w:space="0" w:color="auto"/>
              <w:left w:val="single" w:sz="6" w:space="0" w:color="auto"/>
              <w:bottom w:val="single" w:sz="4" w:space="0" w:color="auto"/>
              <w:right w:val="single" w:sz="6" w:space="0" w:color="auto"/>
            </w:tcBorders>
          </w:tcPr>
          <w:p w:rsidR="00326702" w:rsidRDefault="00A50A61" w:rsidP="00326702">
            <w:pPr>
              <w:numPr>
                <w:ilvl w:val="0"/>
                <w:numId w:val="2"/>
              </w:numPr>
              <w:tabs>
                <w:tab w:val="num" w:pos="432"/>
                <w:tab w:val="num" w:pos="1440"/>
              </w:tabs>
              <w:rPr>
                <w:rFonts w:ascii="Arial" w:hAnsi="Arial" w:cs="Arial"/>
                <w:sz w:val="20"/>
              </w:rPr>
            </w:pPr>
            <w:r>
              <w:rPr>
                <w:rFonts w:ascii="Arial" w:hAnsi="Arial" w:cs="Arial"/>
                <w:sz w:val="20"/>
              </w:rPr>
              <w:t>IH-Card</w:t>
            </w:r>
            <w:r w:rsidR="00326702">
              <w:rPr>
                <w:rFonts w:ascii="Arial" w:hAnsi="Arial" w:cs="Arial"/>
                <w:sz w:val="20"/>
              </w:rPr>
              <w:t xml:space="preserve"> IgG Gel </w:t>
            </w:r>
          </w:p>
          <w:p w:rsidR="00326702" w:rsidRDefault="00326702" w:rsidP="00326702">
            <w:pPr>
              <w:numPr>
                <w:ilvl w:val="0"/>
                <w:numId w:val="2"/>
              </w:numPr>
              <w:tabs>
                <w:tab w:val="num" w:pos="432"/>
                <w:tab w:val="num" w:pos="1440"/>
              </w:tabs>
              <w:rPr>
                <w:rFonts w:ascii="Arial" w:hAnsi="Arial" w:cs="Arial"/>
                <w:b/>
                <w:bCs/>
                <w:sz w:val="20"/>
                <w:szCs w:val="18"/>
              </w:rPr>
            </w:pPr>
            <w:r>
              <w:rPr>
                <w:rFonts w:ascii="Arial" w:hAnsi="Arial" w:cs="Arial"/>
                <w:sz w:val="20"/>
              </w:rPr>
              <w:t>0.</w:t>
            </w:r>
            <w:r w:rsidR="00A50A61">
              <w:rPr>
                <w:rFonts w:ascii="Arial" w:hAnsi="Arial" w:cs="Arial"/>
                <w:sz w:val="20"/>
              </w:rPr>
              <w:t>6</w:t>
            </w:r>
            <w:r>
              <w:rPr>
                <w:rFonts w:ascii="Arial" w:hAnsi="Arial" w:cs="Arial"/>
                <w:sz w:val="20"/>
              </w:rPr>
              <w:t xml:space="preserve">% </w:t>
            </w:r>
            <w:r w:rsidR="00A50A61">
              <w:rPr>
                <w:rFonts w:ascii="Arial" w:hAnsi="Arial" w:cs="Arial"/>
                <w:sz w:val="20"/>
              </w:rPr>
              <w:t>IH-Cell I and II</w:t>
            </w:r>
          </w:p>
        </w:tc>
        <w:tc>
          <w:tcPr>
            <w:tcW w:w="3256" w:type="dxa"/>
            <w:gridSpan w:val="2"/>
            <w:tcBorders>
              <w:top w:val="single" w:sz="6" w:space="0" w:color="auto"/>
              <w:left w:val="single" w:sz="6" w:space="0" w:color="auto"/>
              <w:bottom w:val="single" w:sz="4" w:space="0" w:color="auto"/>
              <w:right w:val="single" w:sz="4" w:space="0" w:color="auto"/>
            </w:tcBorders>
          </w:tcPr>
          <w:p w:rsidR="00326702" w:rsidRPr="00C01406" w:rsidRDefault="00326702" w:rsidP="00C01406">
            <w:pPr>
              <w:numPr>
                <w:ilvl w:val="0"/>
                <w:numId w:val="5"/>
              </w:numPr>
              <w:tabs>
                <w:tab w:val="num" w:pos="1440"/>
              </w:tabs>
              <w:rPr>
                <w:rFonts w:ascii="Arial" w:hAnsi="Arial" w:cs="Arial"/>
                <w:b/>
                <w:bCs/>
                <w:sz w:val="20"/>
              </w:rPr>
            </w:pPr>
            <w:r>
              <w:rPr>
                <w:rFonts w:ascii="Arial" w:hAnsi="Arial" w:cs="Arial"/>
                <w:sz w:val="20"/>
              </w:rPr>
              <w:t>MLA pipette tips</w:t>
            </w:r>
          </w:p>
          <w:p w:rsidR="00C01406" w:rsidRPr="00C01406" w:rsidRDefault="00C01406" w:rsidP="00C01406">
            <w:pPr>
              <w:numPr>
                <w:ilvl w:val="0"/>
                <w:numId w:val="5"/>
              </w:numPr>
              <w:tabs>
                <w:tab w:val="num" w:pos="432"/>
              </w:tabs>
              <w:rPr>
                <w:rFonts w:ascii="Arial" w:hAnsi="Arial" w:cs="Arial"/>
                <w:sz w:val="20"/>
              </w:rPr>
            </w:pPr>
            <w:r>
              <w:rPr>
                <w:rFonts w:ascii="Arial" w:hAnsi="Arial" w:cs="Arial"/>
                <w:sz w:val="20"/>
              </w:rPr>
              <w:t xml:space="preserve">50 </w:t>
            </w:r>
            <w:r>
              <w:rPr>
                <w:rFonts w:ascii="Arial" w:hAnsi="Arial" w:cs="Arial"/>
                <w:sz w:val="20"/>
              </w:rPr>
              <w:sym w:font="Symbol" w:char="F06D"/>
            </w:r>
            <w:r>
              <w:rPr>
                <w:rFonts w:ascii="Arial" w:hAnsi="Arial" w:cs="Arial"/>
                <w:sz w:val="20"/>
              </w:rPr>
              <w:t xml:space="preserve">l and 25 </w:t>
            </w:r>
            <w:r>
              <w:rPr>
                <w:rFonts w:ascii="Arial" w:hAnsi="Arial" w:cs="Arial"/>
                <w:sz w:val="20"/>
              </w:rPr>
              <w:sym w:font="Symbol" w:char="F06D"/>
            </w:r>
            <w:r>
              <w:rPr>
                <w:rFonts w:ascii="Arial" w:hAnsi="Arial" w:cs="Arial"/>
                <w:sz w:val="20"/>
              </w:rPr>
              <w:t xml:space="preserve">l MLA pipette or </w:t>
            </w:r>
            <w:proofErr w:type="spellStart"/>
            <w:r>
              <w:rPr>
                <w:rFonts w:ascii="Arial" w:hAnsi="Arial" w:cs="Arial"/>
                <w:sz w:val="20"/>
              </w:rPr>
              <w:t>Biohit</w:t>
            </w:r>
            <w:proofErr w:type="spellEnd"/>
            <w:r>
              <w:rPr>
                <w:rFonts w:ascii="Arial" w:hAnsi="Arial" w:cs="Arial"/>
                <w:sz w:val="20"/>
              </w:rPr>
              <w:t xml:space="preserve"> pipette</w:t>
            </w:r>
          </w:p>
          <w:p w:rsidR="00326702" w:rsidRDefault="00326702" w:rsidP="00A50A61">
            <w:pPr>
              <w:tabs>
                <w:tab w:val="num" w:pos="1440"/>
              </w:tabs>
              <w:ind w:left="720"/>
              <w:rPr>
                <w:rFonts w:ascii="Arial" w:hAnsi="Arial" w:cs="Arial"/>
                <w:sz w:val="18"/>
                <w:szCs w:val="18"/>
              </w:rPr>
            </w:pPr>
          </w:p>
        </w:tc>
      </w:tr>
      <w:tr w:rsidR="0032670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rsidR="00326702" w:rsidRDefault="00326702">
            <w:pPr>
              <w:jc w:val="left"/>
              <w:rPr>
                <w:rFonts w:ascii="Arial" w:hAnsi="Arial" w:cs="Arial"/>
                <w:b/>
                <w:bCs/>
                <w:color w:val="3366FF"/>
                <w:sz w:val="20"/>
              </w:rPr>
            </w:pPr>
          </w:p>
        </w:tc>
        <w:tc>
          <w:tcPr>
            <w:tcW w:w="9360" w:type="dxa"/>
            <w:gridSpan w:val="9"/>
            <w:tcBorders>
              <w:top w:val="single" w:sz="4" w:space="0" w:color="auto"/>
              <w:left w:val="nil"/>
              <w:bottom w:val="single" w:sz="12" w:space="0" w:color="C0C0C0"/>
              <w:right w:val="nil"/>
            </w:tcBorders>
          </w:tcPr>
          <w:p w:rsidR="00326702" w:rsidRDefault="00326702">
            <w:pPr>
              <w:jc w:val="left"/>
              <w:rPr>
                <w:rFonts w:ascii="Arial" w:hAnsi="Arial" w:cs="Arial"/>
                <w:sz w:val="20"/>
                <w:szCs w:val="20"/>
              </w:rPr>
            </w:pPr>
          </w:p>
        </w:tc>
      </w:tr>
      <w:tr w:rsidR="0032670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rsidR="00326702" w:rsidRDefault="00326702">
            <w:pPr>
              <w:jc w:val="left"/>
              <w:rPr>
                <w:rFonts w:ascii="Arial" w:hAnsi="Arial" w:cs="Arial"/>
                <w:b/>
                <w:bCs/>
                <w:color w:val="3366FF"/>
                <w:sz w:val="20"/>
              </w:rPr>
            </w:pPr>
          </w:p>
          <w:p w:rsidR="00326702" w:rsidRDefault="00326702">
            <w:pPr>
              <w:jc w:val="left"/>
              <w:rPr>
                <w:rFonts w:ascii="Arial" w:hAnsi="Arial" w:cs="Arial"/>
                <w:b/>
                <w:bCs/>
                <w:color w:val="3366FF"/>
                <w:sz w:val="20"/>
              </w:rPr>
            </w:pPr>
            <w:r>
              <w:rPr>
                <w:rFonts w:ascii="Arial" w:hAnsi="Arial" w:cs="Arial"/>
                <w:b/>
                <w:bCs/>
                <w:color w:val="3366FF"/>
                <w:sz w:val="20"/>
              </w:rPr>
              <w:t>Sample</w:t>
            </w:r>
          </w:p>
          <w:p w:rsidR="00326702" w:rsidRDefault="00326702">
            <w:pPr>
              <w:rPr>
                <w:rFonts w:ascii="Arial" w:hAnsi="Arial" w:cs="Arial"/>
                <w:color w:val="3366FF"/>
                <w:sz w:val="20"/>
              </w:rPr>
            </w:pPr>
          </w:p>
        </w:tc>
        <w:tc>
          <w:tcPr>
            <w:tcW w:w="9360" w:type="dxa"/>
            <w:gridSpan w:val="9"/>
            <w:tcBorders>
              <w:top w:val="single" w:sz="12" w:space="0" w:color="C0C0C0"/>
              <w:bottom w:val="single" w:sz="12" w:space="0" w:color="C0C0C0"/>
              <w:right w:val="nil"/>
            </w:tcBorders>
          </w:tcPr>
          <w:p w:rsidR="00326702" w:rsidRDefault="00326702">
            <w:pPr>
              <w:pStyle w:val="TableText"/>
              <w:autoSpaceDE/>
              <w:autoSpaceDN/>
              <w:rPr>
                <w:rFonts w:ascii="Arial" w:hAnsi="Arial" w:cs="Arial"/>
                <w:szCs w:val="20"/>
              </w:rPr>
            </w:pPr>
          </w:p>
          <w:p w:rsidR="00326702" w:rsidRDefault="00326702">
            <w:pPr>
              <w:pStyle w:val="TableText"/>
              <w:rPr>
                <w:rFonts w:ascii="Arial" w:hAnsi="Arial" w:cs="Arial"/>
              </w:rPr>
            </w:pPr>
            <w:r>
              <w:rPr>
                <w:rFonts w:ascii="Arial" w:hAnsi="Arial" w:cs="Arial"/>
              </w:rPr>
              <w:t xml:space="preserve">No special preparation of the patient is required prior to specimen collection. Blood should be collected and labeled according to approved policies and procedures. </w:t>
            </w:r>
            <w:hyperlink r:id="rId8" w:history="1">
              <w:r>
                <w:rPr>
                  <w:rStyle w:val="Hyperlink"/>
                  <w:rFonts w:ascii="Arial" w:hAnsi="Arial" w:cs="Arial"/>
                </w:rPr>
                <w:t>Collection of Patient Specimens</w:t>
              </w:r>
            </w:hyperlink>
          </w:p>
          <w:p w:rsidR="00326702" w:rsidRDefault="00326702">
            <w:pPr>
              <w:pStyle w:val="TableText"/>
              <w:rPr>
                <w:rFonts w:ascii="Arial" w:hAnsi="Arial" w:cs="Arial"/>
              </w:rPr>
            </w:pPr>
          </w:p>
          <w:p w:rsidR="00326702" w:rsidRDefault="00326702">
            <w:pPr>
              <w:pStyle w:val="TableText"/>
              <w:rPr>
                <w:rFonts w:ascii="Arial" w:hAnsi="Arial" w:cs="Arial"/>
              </w:rPr>
            </w:pPr>
            <w:r>
              <w:rPr>
                <w:rFonts w:ascii="Arial" w:hAnsi="Arial" w:cs="Arial"/>
              </w:rPr>
              <w:t xml:space="preserve">Fresh serum or plasma collected with or without anticoagulants (EDTA) may be used in indirect </w:t>
            </w:r>
            <w:proofErr w:type="spellStart"/>
            <w:r>
              <w:rPr>
                <w:rFonts w:ascii="Arial" w:hAnsi="Arial" w:cs="Arial"/>
              </w:rPr>
              <w:t>antiglobulin</w:t>
            </w:r>
            <w:proofErr w:type="spellEnd"/>
            <w:r>
              <w:rPr>
                <w:rFonts w:ascii="Arial" w:hAnsi="Arial" w:cs="Arial"/>
              </w:rPr>
              <w:t xml:space="preserve"> procedures for antibody detection. Testing should be performed as soon as possible. Samples that cannot be tested immediately should be stored at 2-8</w:t>
            </w:r>
            <w:r>
              <w:rPr>
                <w:rFonts w:ascii="Arial" w:hAnsi="Arial" w:cs="Arial"/>
              </w:rPr>
              <w:sym w:font="Symbol" w:char="F0B0"/>
            </w:r>
            <w:r>
              <w:rPr>
                <w:rFonts w:ascii="Arial" w:hAnsi="Arial" w:cs="Arial"/>
              </w:rPr>
              <w:t>C or frozen.</w:t>
            </w:r>
          </w:p>
          <w:p w:rsidR="00326702" w:rsidRDefault="00326702">
            <w:pPr>
              <w:pStyle w:val="TableText"/>
              <w:rPr>
                <w:rFonts w:ascii="Arial" w:hAnsi="Arial" w:cs="Arial"/>
              </w:rPr>
            </w:pPr>
            <w:r>
              <w:rPr>
                <w:rFonts w:ascii="Arial" w:hAnsi="Arial" w:cs="Arial"/>
              </w:rPr>
              <w:t>In the case of potential recipients of blood transfusion, specimens must be tested within 3 days of collection if the patient has been transfused pregnant in the preceding 3 months, or if the history is uncertain or unavailable.</w:t>
            </w:r>
          </w:p>
          <w:p w:rsidR="00326702" w:rsidRDefault="00326702">
            <w:pPr>
              <w:pStyle w:val="TableText"/>
              <w:rPr>
                <w:rFonts w:ascii="Arial" w:hAnsi="Arial" w:cs="Arial"/>
              </w:rPr>
            </w:pPr>
          </w:p>
          <w:p w:rsidR="00326702" w:rsidRDefault="00326702">
            <w:pPr>
              <w:pStyle w:val="TableText"/>
            </w:pPr>
            <w:proofErr w:type="spellStart"/>
            <w:r>
              <w:rPr>
                <w:rFonts w:ascii="Arial" w:hAnsi="Arial" w:cs="Arial"/>
              </w:rPr>
              <w:t>Hemolyzed</w:t>
            </w:r>
            <w:proofErr w:type="spellEnd"/>
            <w:r>
              <w:rPr>
                <w:rFonts w:ascii="Arial" w:hAnsi="Arial" w:cs="Arial"/>
              </w:rPr>
              <w:t xml:space="preserve"> and grossly icteric blood samples may cause difficulty in interpretation, and test results should be used with caution. Grossly </w:t>
            </w:r>
            <w:proofErr w:type="spellStart"/>
            <w:r>
              <w:rPr>
                <w:rFonts w:ascii="Arial" w:hAnsi="Arial" w:cs="Arial"/>
              </w:rPr>
              <w:t>lipemic</w:t>
            </w:r>
            <w:proofErr w:type="spellEnd"/>
            <w:r>
              <w:rPr>
                <w:rFonts w:ascii="Arial" w:hAnsi="Arial" w:cs="Arial"/>
              </w:rPr>
              <w:t xml:space="preserve"> samples containing particulates that clog the gel, as indicated by diffuse blotches of red blood cells in the </w:t>
            </w:r>
            <w:proofErr w:type="spellStart"/>
            <w:r>
              <w:rPr>
                <w:rFonts w:ascii="Arial" w:hAnsi="Arial" w:cs="Arial"/>
              </w:rPr>
              <w:t>microtube</w:t>
            </w:r>
            <w:proofErr w:type="spellEnd"/>
            <w:r>
              <w:rPr>
                <w:rFonts w:ascii="Arial" w:hAnsi="Arial" w:cs="Arial"/>
              </w:rPr>
              <w:t>, may be clarified by centrifugation or filtration and retested.</w:t>
            </w:r>
          </w:p>
          <w:p w:rsidR="00326702" w:rsidRDefault="00326702">
            <w:pPr>
              <w:pStyle w:val="TableText"/>
              <w:autoSpaceDE/>
              <w:autoSpaceDN/>
              <w:rPr>
                <w:rFonts w:ascii="Arial" w:hAnsi="Arial" w:cs="Arial"/>
                <w:szCs w:val="20"/>
              </w:rPr>
            </w:pPr>
          </w:p>
        </w:tc>
      </w:tr>
      <w:tr w:rsidR="00326702" w:rsidTr="00C014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53"/>
        </w:trPr>
        <w:tc>
          <w:tcPr>
            <w:tcW w:w="1620" w:type="dxa"/>
            <w:tcBorders>
              <w:top w:val="nil"/>
              <w:left w:val="nil"/>
              <w:bottom w:val="nil"/>
            </w:tcBorders>
          </w:tcPr>
          <w:p w:rsidR="00326702" w:rsidRDefault="00326702">
            <w:pPr>
              <w:rPr>
                <w:rFonts w:ascii="Arial" w:hAnsi="Arial" w:cs="Arial"/>
                <w:b/>
                <w:bCs/>
                <w:color w:val="3366FF"/>
                <w:sz w:val="20"/>
              </w:rPr>
            </w:pPr>
          </w:p>
          <w:p w:rsidR="00326702" w:rsidRDefault="00326702">
            <w:pPr>
              <w:jc w:val="left"/>
              <w:rPr>
                <w:rFonts w:ascii="Arial" w:hAnsi="Arial" w:cs="Arial"/>
                <w:color w:val="3366FF"/>
                <w:sz w:val="20"/>
              </w:rPr>
            </w:pPr>
            <w:r>
              <w:rPr>
                <w:rFonts w:ascii="Arial" w:hAnsi="Arial" w:cs="Arial"/>
                <w:b/>
                <w:bCs/>
                <w:color w:val="3366FF"/>
                <w:sz w:val="20"/>
              </w:rPr>
              <w:t>Quality Control</w:t>
            </w:r>
          </w:p>
        </w:tc>
        <w:tc>
          <w:tcPr>
            <w:tcW w:w="9360" w:type="dxa"/>
            <w:gridSpan w:val="9"/>
            <w:tcBorders>
              <w:top w:val="single" w:sz="12" w:space="0" w:color="C0C0C0"/>
              <w:bottom w:val="single" w:sz="12" w:space="0" w:color="C0C0C0"/>
              <w:right w:val="nil"/>
            </w:tcBorders>
            <w:shd w:val="clear" w:color="auto" w:fill="auto"/>
          </w:tcPr>
          <w:p w:rsidR="00326702" w:rsidRDefault="00326702">
            <w:pPr>
              <w:jc w:val="left"/>
              <w:rPr>
                <w:rFonts w:ascii="Arial" w:hAnsi="Arial" w:cs="Arial"/>
                <w:iCs/>
                <w:sz w:val="20"/>
                <w:szCs w:val="20"/>
              </w:rPr>
            </w:pPr>
          </w:p>
          <w:p w:rsidR="00326702" w:rsidRDefault="00326702" w:rsidP="00C01406">
            <w:pPr>
              <w:jc w:val="left"/>
              <w:rPr>
                <w:rFonts w:ascii="Arial" w:hAnsi="Arial" w:cs="Arial"/>
                <w:iCs/>
                <w:sz w:val="20"/>
                <w:szCs w:val="20"/>
              </w:rPr>
            </w:pPr>
            <w:r>
              <w:rPr>
                <w:rFonts w:ascii="Arial" w:hAnsi="Arial" w:cs="Arial"/>
                <w:sz w:val="20"/>
              </w:rPr>
              <w:t>Reagents must be evaluated each day of use with appropriate controls.</w:t>
            </w:r>
            <w:r w:rsidR="00C01406">
              <w:rPr>
                <w:rFonts w:ascii="Arial" w:hAnsi="Arial" w:cs="Arial"/>
                <w:b/>
                <w:bCs/>
                <w:sz w:val="20"/>
              </w:rPr>
              <w:t xml:space="preserve"> </w:t>
            </w:r>
            <w:r w:rsidR="00C01406" w:rsidRPr="00C01406">
              <w:rPr>
                <w:rFonts w:ascii="Arial" w:hAnsi="Arial" w:cs="Arial"/>
                <w:bCs/>
                <w:sz w:val="20"/>
              </w:rPr>
              <w:t>TS 18.14 Performing Quality Control IH-Reader 24 or Manual System</w:t>
            </w:r>
          </w:p>
        </w:tc>
      </w:tr>
      <w:tr w:rsidR="00326702">
        <w:tc>
          <w:tcPr>
            <w:tcW w:w="1620" w:type="dxa"/>
            <w:tcBorders>
              <w:top w:val="nil"/>
              <w:left w:val="nil"/>
              <w:bottom w:val="nil"/>
              <w:right w:val="nil"/>
            </w:tcBorders>
          </w:tcPr>
          <w:p w:rsidR="00326702" w:rsidRDefault="00326702">
            <w:pPr>
              <w:rPr>
                <w:rFonts w:ascii="Arial" w:hAnsi="Arial" w:cs="Arial"/>
                <w:b/>
                <w:color w:val="3366FF"/>
                <w:sz w:val="20"/>
              </w:rPr>
            </w:pPr>
          </w:p>
          <w:p w:rsidR="00326702" w:rsidRDefault="00326702">
            <w:pPr>
              <w:rPr>
                <w:rFonts w:ascii="Arial" w:hAnsi="Arial" w:cs="Arial"/>
                <w:b/>
                <w:bCs/>
                <w:color w:val="3366FF"/>
                <w:sz w:val="20"/>
              </w:rPr>
            </w:pPr>
            <w:r>
              <w:rPr>
                <w:rFonts w:ascii="Arial" w:hAnsi="Arial" w:cs="Arial"/>
                <w:b/>
                <w:bCs/>
                <w:color w:val="3366FF"/>
                <w:sz w:val="20"/>
              </w:rPr>
              <w:t xml:space="preserve">Before </w:t>
            </w:r>
          </w:p>
          <w:p w:rsidR="00326702" w:rsidRDefault="00326702">
            <w:pPr>
              <w:rPr>
                <w:rFonts w:ascii="Arial" w:hAnsi="Arial" w:cs="Arial"/>
                <w:b/>
                <w:color w:val="3366FF"/>
                <w:sz w:val="20"/>
              </w:rPr>
            </w:pPr>
            <w:r>
              <w:rPr>
                <w:rFonts w:ascii="Arial" w:hAnsi="Arial" w:cs="Arial"/>
                <w:b/>
                <w:bCs/>
                <w:color w:val="3366FF"/>
                <w:sz w:val="20"/>
              </w:rPr>
              <w:t>You Begin</w:t>
            </w:r>
          </w:p>
          <w:p w:rsidR="00326702" w:rsidRDefault="00326702">
            <w:pPr>
              <w:rPr>
                <w:rFonts w:ascii="Arial" w:hAnsi="Arial" w:cs="Arial"/>
                <w:b/>
                <w:color w:val="3366FF"/>
                <w:sz w:val="20"/>
              </w:rPr>
            </w:pPr>
          </w:p>
        </w:tc>
        <w:tc>
          <w:tcPr>
            <w:tcW w:w="9360" w:type="dxa"/>
            <w:gridSpan w:val="9"/>
            <w:tcBorders>
              <w:top w:val="single" w:sz="12" w:space="0" w:color="C0C0C0"/>
              <w:left w:val="nil"/>
              <w:bottom w:val="nil"/>
              <w:right w:val="nil"/>
            </w:tcBorders>
          </w:tcPr>
          <w:p w:rsidR="00326702" w:rsidRDefault="00326702">
            <w:pPr>
              <w:jc w:val="left"/>
              <w:rPr>
                <w:rFonts w:ascii="Arial" w:hAnsi="Arial" w:cs="Arial"/>
                <w:sz w:val="20"/>
              </w:rPr>
            </w:pPr>
          </w:p>
          <w:p w:rsidR="00326702" w:rsidRDefault="00326702">
            <w:pPr>
              <w:rPr>
                <w:rFonts w:ascii="Arial" w:hAnsi="Arial" w:cs="Arial"/>
                <w:sz w:val="20"/>
              </w:rPr>
            </w:pPr>
            <w:r>
              <w:rPr>
                <w:rFonts w:ascii="Arial" w:hAnsi="Arial" w:cs="Arial"/>
                <w:sz w:val="20"/>
              </w:rPr>
              <w:t>Review the following procedures as needed.</w:t>
            </w:r>
          </w:p>
          <w:p w:rsidR="00326702" w:rsidRDefault="00C01406">
            <w:pPr>
              <w:rPr>
                <w:rFonts w:ascii="Arial" w:hAnsi="Arial" w:cs="Arial"/>
                <w:color w:val="0000FF"/>
                <w:sz w:val="20"/>
              </w:rPr>
            </w:pPr>
            <w:hyperlink r:id="rId9" w:history="1">
              <w:r w:rsidR="00326702">
                <w:rPr>
                  <w:rStyle w:val="Hyperlink"/>
                  <w:rFonts w:ascii="Arial" w:hAnsi="Arial" w:cs="Arial"/>
                  <w:sz w:val="20"/>
                </w:rPr>
                <w:t>TS 4.7 Inspection &amp; Labeling of Gel Cards</w:t>
              </w:r>
            </w:hyperlink>
          </w:p>
          <w:p w:rsidR="00326702" w:rsidRDefault="00C01406">
            <w:pPr>
              <w:rPr>
                <w:rFonts w:ascii="Arial" w:hAnsi="Arial" w:cs="Arial"/>
                <w:color w:val="0000FF"/>
                <w:sz w:val="20"/>
              </w:rPr>
            </w:pPr>
            <w:hyperlink r:id="rId10" w:history="1">
              <w:r w:rsidR="00326702">
                <w:rPr>
                  <w:rStyle w:val="Hyperlink"/>
                  <w:rFonts w:ascii="Arial" w:hAnsi="Arial" w:cs="Arial"/>
                  <w:sz w:val="20"/>
                </w:rPr>
                <w:t>TS 4.9 Gel Interpretation</w:t>
              </w:r>
            </w:hyperlink>
          </w:p>
          <w:p w:rsidR="00326702" w:rsidRDefault="00326702">
            <w:pPr>
              <w:jc w:val="left"/>
              <w:rPr>
                <w:rFonts w:ascii="Arial" w:hAnsi="Arial" w:cs="Arial"/>
                <w:sz w:val="20"/>
              </w:rPr>
            </w:pPr>
          </w:p>
        </w:tc>
      </w:tr>
      <w:tr w:rsidR="00326702">
        <w:tc>
          <w:tcPr>
            <w:tcW w:w="1620" w:type="dxa"/>
            <w:tcBorders>
              <w:top w:val="nil"/>
              <w:left w:val="nil"/>
              <w:bottom w:val="nil"/>
              <w:right w:val="nil"/>
            </w:tcBorders>
          </w:tcPr>
          <w:p w:rsidR="00326702" w:rsidRDefault="00326702">
            <w:pPr>
              <w:rPr>
                <w:rFonts w:ascii="Arial" w:hAnsi="Arial" w:cs="Arial"/>
                <w:b/>
                <w:color w:val="3366FF"/>
                <w:sz w:val="20"/>
              </w:rPr>
            </w:pPr>
          </w:p>
          <w:p w:rsidR="00326702" w:rsidRDefault="00326702">
            <w:pPr>
              <w:jc w:val="left"/>
              <w:rPr>
                <w:rFonts w:ascii="Arial" w:hAnsi="Arial" w:cs="Arial"/>
                <w:color w:val="3366FF"/>
                <w:sz w:val="20"/>
              </w:rPr>
            </w:pPr>
            <w:r>
              <w:rPr>
                <w:rFonts w:ascii="Arial" w:hAnsi="Arial" w:cs="Arial"/>
                <w:b/>
                <w:color w:val="3366FF"/>
                <w:sz w:val="20"/>
              </w:rPr>
              <w:t>Procedure</w:t>
            </w:r>
          </w:p>
        </w:tc>
        <w:tc>
          <w:tcPr>
            <w:tcW w:w="9360" w:type="dxa"/>
            <w:gridSpan w:val="9"/>
            <w:tcBorders>
              <w:top w:val="single" w:sz="12" w:space="0" w:color="C0C0C0"/>
              <w:left w:val="nil"/>
              <w:bottom w:val="nil"/>
              <w:right w:val="nil"/>
            </w:tcBorders>
          </w:tcPr>
          <w:p w:rsidR="00326702" w:rsidRDefault="00326702">
            <w:pPr>
              <w:jc w:val="left"/>
              <w:rPr>
                <w:rFonts w:ascii="Arial" w:hAnsi="Arial" w:cs="Arial"/>
                <w:sz w:val="20"/>
              </w:rPr>
            </w:pPr>
          </w:p>
          <w:p w:rsidR="00326702" w:rsidRDefault="00326702">
            <w:pPr>
              <w:jc w:val="left"/>
              <w:rPr>
                <w:rFonts w:ascii="Arial" w:hAnsi="Arial" w:cs="Arial"/>
                <w:sz w:val="20"/>
              </w:rPr>
            </w:pPr>
          </w:p>
        </w:tc>
      </w:tr>
      <w:tr w:rsidR="00326702">
        <w:trPr>
          <w:cantSplit/>
        </w:trPr>
        <w:tc>
          <w:tcPr>
            <w:tcW w:w="1620" w:type="dxa"/>
            <w:tcBorders>
              <w:top w:val="nil"/>
              <w:left w:val="nil"/>
              <w:bottom w:val="nil"/>
              <w:right w:val="single" w:sz="6" w:space="0" w:color="auto"/>
            </w:tcBorders>
          </w:tcPr>
          <w:p w:rsidR="00326702" w:rsidRDefault="00326702">
            <w:pPr>
              <w:rPr>
                <w:rFonts w:ascii="Arial" w:hAnsi="Arial" w:cs="Arial"/>
                <w:b/>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rsidR="00326702" w:rsidRDefault="00326702">
            <w:pPr>
              <w:jc w:val="center"/>
              <w:rPr>
                <w:rFonts w:ascii="Arial" w:hAnsi="Arial" w:cs="Arial"/>
              </w:rPr>
            </w:pPr>
            <w:r>
              <w:rPr>
                <w:rFonts w:ascii="Arial" w:hAnsi="Arial" w:cs="Arial"/>
                <w:b/>
                <w:bCs/>
                <w:sz w:val="20"/>
              </w:rPr>
              <w:t>Step</w:t>
            </w:r>
          </w:p>
        </w:tc>
        <w:tc>
          <w:tcPr>
            <w:tcW w:w="8588" w:type="dxa"/>
            <w:gridSpan w:val="8"/>
            <w:tcBorders>
              <w:top w:val="single" w:sz="4" w:space="0" w:color="auto"/>
              <w:left w:val="single" w:sz="6" w:space="0" w:color="auto"/>
              <w:bottom w:val="single" w:sz="4" w:space="0" w:color="auto"/>
            </w:tcBorders>
            <w:shd w:val="clear" w:color="auto" w:fill="F3F3F3"/>
          </w:tcPr>
          <w:p w:rsidR="00326702" w:rsidRDefault="00326702">
            <w:pPr>
              <w:pStyle w:val="TableHeaderText"/>
              <w:autoSpaceDE/>
              <w:autoSpaceDN/>
              <w:rPr>
                <w:rFonts w:ascii="Arial" w:hAnsi="Arial" w:cs="Arial"/>
              </w:rPr>
            </w:pPr>
            <w:r>
              <w:rPr>
                <w:rFonts w:ascii="Arial" w:hAnsi="Arial" w:cs="Arial"/>
              </w:rPr>
              <w:t>Action</w:t>
            </w:r>
          </w:p>
        </w:tc>
      </w:tr>
      <w:tr w:rsidR="00326702">
        <w:trPr>
          <w:cantSplit/>
        </w:trPr>
        <w:tc>
          <w:tcPr>
            <w:tcW w:w="1620" w:type="dxa"/>
            <w:vMerge w:val="restart"/>
            <w:tcBorders>
              <w:top w:val="nil"/>
              <w:left w:val="nil"/>
              <w:right w:val="single" w:sz="6" w:space="0" w:color="auto"/>
            </w:tcBorders>
          </w:tcPr>
          <w:p w:rsidR="00A50A61" w:rsidRDefault="00326702" w:rsidP="00A50A61">
            <w:pPr>
              <w:rPr>
                <w:rFonts w:ascii="Arial" w:hAnsi="Arial" w:cs="Arial"/>
                <w:b/>
                <w:bCs/>
                <w:color w:val="FF0000"/>
                <w:sz w:val="20"/>
              </w:rPr>
            </w:pPr>
            <w:r>
              <w:rPr>
                <w:rFonts w:ascii="Arial" w:hAnsi="Arial" w:cs="Arial"/>
                <w:color w:val="3366FF"/>
                <w:sz w:val="18"/>
              </w:rPr>
              <w:t xml:space="preserve">      </w:t>
            </w:r>
          </w:p>
          <w:p w:rsidR="00326702" w:rsidRDefault="00326702">
            <w:pPr>
              <w:ind w:left="72" w:hanging="72"/>
              <w:jc w:val="center"/>
              <w:rPr>
                <w:rFonts w:ascii="Arial" w:hAnsi="Arial" w:cs="Arial"/>
                <w:b/>
                <w:bCs/>
                <w:color w:val="FF0000"/>
                <w:sz w:val="20"/>
              </w:rPr>
            </w:pPr>
          </w:p>
        </w:tc>
        <w:tc>
          <w:tcPr>
            <w:tcW w:w="772" w:type="dxa"/>
            <w:tcBorders>
              <w:top w:val="single" w:sz="6" w:space="0" w:color="auto"/>
              <w:left w:val="single" w:sz="6" w:space="0" w:color="auto"/>
              <w:bottom w:val="single" w:sz="6" w:space="0" w:color="auto"/>
              <w:right w:val="single" w:sz="6" w:space="0" w:color="auto"/>
            </w:tcBorders>
          </w:tcPr>
          <w:p w:rsidR="00326702" w:rsidRDefault="00326702">
            <w:pPr>
              <w:jc w:val="center"/>
              <w:rPr>
                <w:rFonts w:ascii="Arial" w:hAnsi="Arial" w:cs="Arial"/>
                <w:sz w:val="20"/>
              </w:rPr>
            </w:pPr>
            <w:r>
              <w:rPr>
                <w:rFonts w:ascii="Arial" w:hAnsi="Arial" w:cs="Arial"/>
                <w:sz w:val="20"/>
              </w:rPr>
              <w:t>1</w:t>
            </w:r>
          </w:p>
        </w:tc>
        <w:tc>
          <w:tcPr>
            <w:tcW w:w="8588" w:type="dxa"/>
            <w:gridSpan w:val="8"/>
            <w:tcBorders>
              <w:top w:val="single" w:sz="4" w:space="0" w:color="auto"/>
              <w:left w:val="single" w:sz="6" w:space="0" w:color="auto"/>
            </w:tcBorders>
          </w:tcPr>
          <w:p w:rsidR="00326702" w:rsidRDefault="00326702">
            <w:pPr>
              <w:rPr>
                <w:rFonts w:ascii="Arial" w:hAnsi="Arial" w:cs="Arial"/>
                <w:sz w:val="20"/>
              </w:rPr>
            </w:pPr>
            <w:r>
              <w:rPr>
                <w:rFonts w:ascii="Arial" w:hAnsi="Arial" w:cs="Arial"/>
                <w:sz w:val="20"/>
              </w:rPr>
              <w:t>Bring samples and reagents to room temperature (18-25</w:t>
            </w:r>
            <w:r>
              <w:rPr>
                <w:rFonts w:ascii="Arial" w:hAnsi="Arial" w:cs="Arial"/>
                <w:sz w:val="20"/>
              </w:rPr>
              <w:sym w:font="Symbol" w:char="F0B0"/>
            </w:r>
            <w:r>
              <w:rPr>
                <w:rFonts w:ascii="Arial" w:hAnsi="Arial" w:cs="Arial"/>
                <w:sz w:val="20"/>
              </w:rPr>
              <w:t>C)</w:t>
            </w:r>
          </w:p>
          <w:p w:rsidR="00326702" w:rsidRDefault="00326702">
            <w:pPr>
              <w:rPr>
                <w:rFonts w:ascii="Arial" w:hAnsi="Arial" w:cs="Arial"/>
                <w:sz w:val="20"/>
              </w:rPr>
            </w:pPr>
          </w:p>
        </w:tc>
      </w:tr>
      <w:tr w:rsidR="00326702" w:rsidTr="004C7076">
        <w:trPr>
          <w:cantSplit/>
          <w:trHeight w:val="714"/>
        </w:trPr>
        <w:tc>
          <w:tcPr>
            <w:tcW w:w="1620" w:type="dxa"/>
            <w:vMerge/>
            <w:tcBorders>
              <w:left w:val="nil"/>
              <w:right w:val="single" w:sz="6" w:space="0" w:color="auto"/>
            </w:tcBorders>
            <w:vAlign w:val="center"/>
          </w:tcPr>
          <w:p w:rsidR="00326702" w:rsidRDefault="00326702">
            <w:pPr>
              <w:ind w:left="72" w:hanging="72"/>
              <w:jc w:val="center"/>
              <w:rPr>
                <w:rFonts w:ascii="Arial" w:hAnsi="Arial" w:cs="Arial"/>
                <w:color w:val="0000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326702">
            <w:pPr>
              <w:jc w:val="center"/>
              <w:rPr>
                <w:rFonts w:ascii="Arial" w:hAnsi="Arial" w:cs="Arial"/>
                <w:sz w:val="20"/>
              </w:rPr>
            </w:pPr>
            <w:r>
              <w:rPr>
                <w:rFonts w:ascii="Arial" w:hAnsi="Arial" w:cs="Arial"/>
                <w:sz w:val="20"/>
              </w:rPr>
              <w:t>2</w:t>
            </w:r>
          </w:p>
        </w:tc>
        <w:tc>
          <w:tcPr>
            <w:tcW w:w="8588" w:type="dxa"/>
            <w:gridSpan w:val="8"/>
            <w:tcBorders>
              <w:left w:val="single" w:sz="6" w:space="0" w:color="auto"/>
              <w:bottom w:val="nil"/>
            </w:tcBorders>
          </w:tcPr>
          <w:p w:rsidR="00326702" w:rsidRDefault="00A50A61">
            <w:pPr>
              <w:pStyle w:val="TableText"/>
              <w:autoSpaceDE/>
              <w:autoSpaceDN/>
              <w:rPr>
                <w:rFonts w:ascii="Arial" w:hAnsi="Arial" w:cs="Arial"/>
              </w:rPr>
            </w:pPr>
            <w:r>
              <w:rPr>
                <w:rFonts w:ascii="Arial" w:hAnsi="Arial" w:cs="Arial"/>
              </w:rPr>
              <w:t>Inspect the IH-Card for evidence of damage to the foil or drying of the gel. Do not use if such evidence is observed. IH-Cards with splashes of gel in the reaction area may be centrifuged prior to use.</w:t>
            </w:r>
          </w:p>
        </w:tc>
      </w:tr>
      <w:tr w:rsidR="00326702">
        <w:trPr>
          <w:cantSplit/>
          <w:trHeight w:val="300"/>
        </w:trPr>
        <w:tc>
          <w:tcPr>
            <w:tcW w:w="1620" w:type="dxa"/>
            <w:vMerge/>
            <w:tcBorders>
              <w:left w:val="nil"/>
              <w:bottom w:val="nil"/>
              <w:right w:val="single" w:sz="6" w:space="0" w:color="auto"/>
            </w:tcBorders>
            <w:vAlign w:val="center"/>
          </w:tcPr>
          <w:p w:rsidR="00326702" w:rsidRDefault="00326702">
            <w:pPr>
              <w:ind w:left="72"/>
              <w:jc w:val="center"/>
              <w:rPr>
                <w:rFonts w:ascii="Arial" w:hAnsi="Arial" w:cs="Arial"/>
                <w:color w:val="0000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326702">
            <w:pPr>
              <w:jc w:val="center"/>
              <w:rPr>
                <w:rFonts w:ascii="Arial" w:hAnsi="Arial" w:cs="Arial"/>
                <w:sz w:val="20"/>
              </w:rPr>
            </w:pPr>
            <w:r>
              <w:rPr>
                <w:rFonts w:ascii="Arial" w:hAnsi="Arial" w:cs="Arial"/>
                <w:sz w:val="20"/>
              </w:rPr>
              <w:t>3</w:t>
            </w:r>
          </w:p>
        </w:tc>
        <w:tc>
          <w:tcPr>
            <w:tcW w:w="8588" w:type="dxa"/>
            <w:gridSpan w:val="8"/>
            <w:tcBorders>
              <w:left w:val="single" w:sz="6" w:space="0" w:color="auto"/>
              <w:right w:val="single" w:sz="4" w:space="0" w:color="auto"/>
            </w:tcBorders>
          </w:tcPr>
          <w:p w:rsidR="00326702" w:rsidRDefault="00A50A61">
            <w:pPr>
              <w:rPr>
                <w:rFonts w:ascii="Arial" w:hAnsi="Arial" w:cs="Arial"/>
                <w:sz w:val="20"/>
              </w:rPr>
            </w:pPr>
            <w:r>
              <w:rPr>
                <w:rFonts w:ascii="Arial" w:hAnsi="Arial" w:cs="Arial"/>
                <w:sz w:val="20"/>
              </w:rPr>
              <w:t>Labe the IH-Card.</w:t>
            </w:r>
            <w:r w:rsidR="00C01406">
              <w:rPr>
                <w:rFonts w:ascii="Arial" w:hAnsi="Arial" w:cs="Arial"/>
                <w:sz w:val="20"/>
              </w:rPr>
              <w:t xml:space="preserve"> TS 4.07 Inspection and Labeling of Gel Cards</w:t>
            </w:r>
          </w:p>
        </w:tc>
      </w:tr>
      <w:tr w:rsidR="00326702">
        <w:trPr>
          <w:cantSplit/>
          <w:trHeight w:val="525"/>
        </w:trPr>
        <w:tc>
          <w:tcPr>
            <w:tcW w:w="1620" w:type="dxa"/>
            <w:vMerge w:val="restart"/>
            <w:tcBorders>
              <w:top w:val="nil"/>
              <w:left w:val="nil"/>
              <w:right w:val="single" w:sz="6" w:space="0" w:color="auto"/>
            </w:tcBorders>
          </w:tcPr>
          <w:p w:rsidR="00326702" w:rsidRDefault="00326702" w:rsidP="004C7076">
            <w:pPr>
              <w:ind w:left="72" w:hanging="72"/>
              <w:rPr>
                <w:rFonts w:ascii="Arial" w:hAnsi="Arial" w:cs="Arial"/>
                <w:color w:val="3366FF"/>
                <w:sz w:val="18"/>
              </w:rPr>
            </w:pPr>
          </w:p>
          <w:p w:rsidR="00326702" w:rsidRDefault="00326702" w:rsidP="004C7076">
            <w:pPr>
              <w:rPr>
                <w:rFonts w:ascii="Arial" w:hAnsi="Arial" w:cs="Arial"/>
                <w:color w:val="FF0000"/>
                <w:sz w:val="18"/>
              </w:rPr>
            </w:pPr>
          </w:p>
        </w:tc>
        <w:tc>
          <w:tcPr>
            <w:tcW w:w="772" w:type="dxa"/>
            <w:tcBorders>
              <w:top w:val="single" w:sz="6" w:space="0" w:color="auto"/>
              <w:left w:val="single" w:sz="6" w:space="0" w:color="auto"/>
              <w:right w:val="single" w:sz="6" w:space="0" w:color="auto"/>
            </w:tcBorders>
          </w:tcPr>
          <w:p w:rsidR="00326702" w:rsidRDefault="00326702">
            <w:pPr>
              <w:jc w:val="center"/>
              <w:rPr>
                <w:rFonts w:ascii="Arial" w:hAnsi="Arial" w:cs="Arial"/>
                <w:sz w:val="20"/>
              </w:rPr>
            </w:pPr>
            <w:r>
              <w:rPr>
                <w:rFonts w:ascii="Arial" w:hAnsi="Arial" w:cs="Arial"/>
                <w:sz w:val="20"/>
              </w:rPr>
              <w:t>4</w:t>
            </w:r>
          </w:p>
        </w:tc>
        <w:tc>
          <w:tcPr>
            <w:tcW w:w="8588" w:type="dxa"/>
            <w:gridSpan w:val="8"/>
            <w:tcBorders>
              <w:left w:val="single" w:sz="6" w:space="0" w:color="auto"/>
              <w:bottom w:val="single" w:sz="4" w:space="0" w:color="auto"/>
            </w:tcBorders>
            <w:vAlign w:val="center"/>
          </w:tcPr>
          <w:p w:rsidR="00326702" w:rsidRDefault="004C7076">
            <w:pPr>
              <w:rPr>
                <w:rFonts w:ascii="Arial" w:hAnsi="Arial" w:cs="Arial"/>
                <w:sz w:val="20"/>
              </w:rPr>
            </w:pPr>
            <w:r>
              <w:rPr>
                <w:rFonts w:ascii="Arial" w:hAnsi="Arial" w:cs="Arial"/>
                <w:sz w:val="20"/>
              </w:rPr>
              <w:t xml:space="preserve">Carefully peel back the foil seal from the individual </w:t>
            </w:r>
            <w:proofErr w:type="spellStart"/>
            <w:r>
              <w:rPr>
                <w:rFonts w:ascii="Arial" w:hAnsi="Arial" w:cs="Arial"/>
                <w:sz w:val="20"/>
              </w:rPr>
              <w:t>microtubes</w:t>
            </w:r>
            <w:proofErr w:type="spellEnd"/>
            <w:r>
              <w:rPr>
                <w:rFonts w:ascii="Arial" w:hAnsi="Arial" w:cs="Arial"/>
                <w:sz w:val="20"/>
              </w:rPr>
              <w:t xml:space="preserve"> of the IH-Card being used for the testing, leaving the seal in place for </w:t>
            </w:r>
            <w:proofErr w:type="spellStart"/>
            <w:r>
              <w:rPr>
                <w:rFonts w:ascii="Arial" w:hAnsi="Arial" w:cs="Arial"/>
                <w:sz w:val="20"/>
              </w:rPr>
              <w:t>microtubes</w:t>
            </w:r>
            <w:proofErr w:type="spellEnd"/>
            <w:r>
              <w:rPr>
                <w:rFonts w:ascii="Arial" w:hAnsi="Arial" w:cs="Arial"/>
                <w:sz w:val="20"/>
              </w:rPr>
              <w:t xml:space="preserve"> not being used.</w:t>
            </w:r>
          </w:p>
          <w:p w:rsidR="004C7076" w:rsidRPr="004C7076" w:rsidRDefault="004C7076">
            <w:pPr>
              <w:rPr>
                <w:rFonts w:ascii="Arial" w:hAnsi="Arial" w:cs="Arial"/>
                <w:b/>
                <w:sz w:val="20"/>
              </w:rPr>
            </w:pPr>
            <w:r w:rsidRPr="004C7076">
              <w:rPr>
                <w:rFonts w:ascii="Arial" w:hAnsi="Arial" w:cs="Arial"/>
                <w:b/>
                <w:sz w:val="20"/>
              </w:rPr>
              <w:t xml:space="preserve">Note: Once the foil has been removed from the </w:t>
            </w:r>
            <w:proofErr w:type="spellStart"/>
            <w:r w:rsidRPr="004C7076">
              <w:rPr>
                <w:rFonts w:ascii="Arial" w:hAnsi="Arial" w:cs="Arial"/>
                <w:b/>
                <w:sz w:val="20"/>
              </w:rPr>
              <w:t>microtubes</w:t>
            </w:r>
            <w:proofErr w:type="spellEnd"/>
            <w:r w:rsidRPr="004C7076">
              <w:rPr>
                <w:rFonts w:ascii="Arial" w:hAnsi="Arial" w:cs="Arial"/>
                <w:b/>
                <w:sz w:val="20"/>
              </w:rPr>
              <w:t xml:space="preserve">, testing must be initiated as soon as possible (recommended within 20 minutes), to prevent drying of the </w:t>
            </w:r>
            <w:proofErr w:type="spellStart"/>
            <w:r w:rsidRPr="004C7076">
              <w:rPr>
                <w:rFonts w:ascii="Arial" w:hAnsi="Arial" w:cs="Arial"/>
                <w:b/>
                <w:sz w:val="20"/>
              </w:rPr>
              <w:t>microtubes</w:t>
            </w:r>
            <w:proofErr w:type="spellEnd"/>
            <w:r w:rsidRPr="004C7076">
              <w:rPr>
                <w:rFonts w:ascii="Arial" w:hAnsi="Arial" w:cs="Arial"/>
                <w:b/>
                <w:sz w:val="20"/>
              </w:rPr>
              <w:t>.</w:t>
            </w:r>
          </w:p>
        </w:tc>
      </w:tr>
      <w:tr w:rsidR="00326702" w:rsidTr="004C7076">
        <w:trPr>
          <w:cantSplit/>
          <w:trHeight w:val="714"/>
        </w:trPr>
        <w:tc>
          <w:tcPr>
            <w:tcW w:w="1620" w:type="dxa"/>
            <w:vMerge/>
            <w:tcBorders>
              <w:left w:val="nil"/>
              <w:bottom w:val="nil"/>
              <w:right w:val="single" w:sz="6" w:space="0" w:color="auto"/>
            </w:tcBorders>
          </w:tcPr>
          <w:p w:rsidR="00326702" w:rsidRDefault="00326702">
            <w:pPr>
              <w:ind w:left="72"/>
              <w:jc w:val="center"/>
              <w:rPr>
                <w:rFonts w:ascii="Arial" w:hAnsi="Arial" w:cs="Arial"/>
                <w:color w:val="0000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4C7076">
            <w:pPr>
              <w:jc w:val="center"/>
              <w:rPr>
                <w:rFonts w:ascii="Arial" w:hAnsi="Arial" w:cs="Arial"/>
                <w:sz w:val="20"/>
              </w:rPr>
            </w:pPr>
            <w:r>
              <w:rPr>
                <w:rFonts w:ascii="Arial" w:hAnsi="Arial" w:cs="Arial"/>
                <w:sz w:val="20"/>
              </w:rPr>
              <w:t>5</w:t>
            </w:r>
          </w:p>
        </w:tc>
        <w:tc>
          <w:tcPr>
            <w:tcW w:w="8588" w:type="dxa"/>
            <w:gridSpan w:val="8"/>
            <w:tcBorders>
              <w:left w:val="single" w:sz="6" w:space="0" w:color="auto"/>
              <w:bottom w:val="single" w:sz="4" w:space="0" w:color="auto"/>
            </w:tcBorders>
          </w:tcPr>
          <w:p w:rsidR="00326702" w:rsidRDefault="004C7076">
            <w:pPr>
              <w:pStyle w:val="TableText"/>
              <w:autoSpaceDE/>
              <w:autoSpaceDN/>
              <w:rPr>
                <w:rFonts w:ascii="Arial" w:hAnsi="Arial" w:cs="Arial"/>
              </w:rPr>
            </w:pPr>
            <w:r>
              <w:rPr>
                <w:rFonts w:ascii="Arial" w:hAnsi="Arial" w:cs="Arial"/>
              </w:rPr>
              <w:t>Gently re-suspend the IH-Cell I-II ensuring complete suspension of the cells.</w:t>
            </w:r>
          </w:p>
          <w:p w:rsidR="00326702" w:rsidRDefault="00326702">
            <w:pPr>
              <w:rPr>
                <w:rFonts w:ascii="Arial" w:hAnsi="Arial" w:cs="Arial"/>
                <w:sz w:val="20"/>
              </w:rPr>
            </w:pPr>
          </w:p>
        </w:tc>
      </w:tr>
      <w:tr w:rsidR="00326702">
        <w:trPr>
          <w:cantSplit/>
        </w:trPr>
        <w:tc>
          <w:tcPr>
            <w:tcW w:w="1620" w:type="dxa"/>
            <w:tcBorders>
              <w:top w:val="nil"/>
              <w:left w:val="nil"/>
              <w:bottom w:val="nil"/>
              <w:right w:val="single" w:sz="6" w:space="0" w:color="auto"/>
            </w:tcBorders>
          </w:tcPr>
          <w:p w:rsidR="00326702" w:rsidRDefault="00326702">
            <w:pPr>
              <w:ind w:left="72"/>
              <w:jc w:val="center"/>
              <w:rPr>
                <w:rFonts w:ascii="Arial" w:hAnsi="Arial" w:cs="Arial"/>
                <w:color w:val="3366FF"/>
                <w:sz w:val="18"/>
              </w:rPr>
            </w:pPr>
          </w:p>
          <w:p w:rsidR="00326702" w:rsidRDefault="00326702">
            <w:pPr>
              <w:ind w:left="72"/>
              <w:jc w:val="center"/>
              <w:rPr>
                <w:rFonts w:ascii="Arial" w:hAnsi="Arial" w:cs="Arial"/>
                <w:color w:val="0000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4C7076">
            <w:pPr>
              <w:jc w:val="center"/>
              <w:rPr>
                <w:rFonts w:ascii="Arial" w:hAnsi="Arial" w:cs="Arial"/>
                <w:sz w:val="20"/>
              </w:rPr>
            </w:pPr>
            <w:r>
              <w:rPr>
                <w:rFonts w:ascii="Arial" w:hAnsi="Arial" w:cs="Arial"/>
                <w:sz w:val="20"/>
              </w:rPr>
              <w:t>6</w:t>
            </w:r>
          </w:p>
        </w:tc>
        <w:tc>
          <w:tcPr>
            <w:tcW w:w="8588" w:type="dxa"/>
            <w:gridSpan w:val="8"/>
            <w:tcBorders>
              <w:left w:val="single" w:sz="6" w:space="0" w:color="auto"/>
              <w:bottom w:val="single" w:sz="4" w:space="0" w:color="auto"/>
            </w:tcBorders>
          </w:tcPr>
          <w:p w:rsidR="00326702" w:rsidRDefault="004C7076">
            <w:pPr>
              <w:rPr>
                <w:rFonts w:ascii="Arial" w:hAnsi="Arial" w:cs="Arial"/>
                <w:sz w:val="20"/>
              </w:rPr>
            </w:pPr>
            <w:r>
              <w:rPr>
                <w:rFonts w:ascii="Arial" w:hAnsi="Arial" w:cs="Arial"/>
                <w:sz w:val="20"/>
              </w:rPr>
              <w:t xml:space="preserve">Add 50 </w:t>
            </w:r>
            <w:proofErr w:type="spellStart"/>
            <w:r>
              <w:rPr>
                <w:rFonts w:ascii="Arial" w:hAnsi="Arial" w:cs="Arial"/>
                <w:sz w:val="20"/>
              </w:rPr>
              <w:t>μL</w:t>
            </w:r>
            <w:proofErr w:type="spellEnd"/>
            <w:r>
              <w:rPr>
                <w:rFonts w:ascii="Arial" w:hAnsi="Arial" w:cs="Arial"/>
                <w:sz w:val="20"/>
              </w:rPr>
              <w:t xml:space="preserve"> of each appropriate reagent red cell suspension to the correspondingly labeled </w:t>
            </w:r>
            <w:proofErr w:type="spellStart"/>
            <w:r>
              <w:rPr>
                <w:rFonts w:ascii="Arial" w:hAnsi="Arial" w:cs="Arial"/>
                <w:sz w:val="20"/>
              </w:rPr>
              <w:t>microwell</w:t>
            </w:r>
            <w:proofErr w:type="spellEnd"/>
            <w:r>
              <w:rPr>
                <w:rFonts w:ascii="Arial" w:hAnsi="Arial" w:cs="Arial"/>
                <w:sz w:val="20"/>
              </w:rPr>
              <w:t xml:space="preserve"> on the IH-Card, taking care to maintain the air gap between the cells in the upper reaction chamber.</w:t>
            </w:r>
          </w:p>
        </w:tc>
      </w:tr>
      <w:tr w:rsidR="00326702">
        <w:trPr>
          <w:cantSplit/>
        </w:trPr>
        <w:tc>
          <w:tcPr>
            <w:tcW w:w="1620" w:type="dxa"/>
            <w:tcBorders>
              <w:top w:val="nil"/>
              <w:left w:val="nil"/>
              <w:bottom w:val="nil"/>
              <w:right w:val="single" w:sz="6" w:space="0" w:color="auto"/>
            </w:tcBorders>
            <w:vAlign w:val="center"/>
          </w:tcPr>
          <w:p w:rsidR="00326702" w:rsidRDefault="00326702">
            <w:pPr>
              <w:jc w:val="center"/>
              <w:rPr>
                <w:rFonts w:ascii="Arial" w:hAnsi="Arial" w:cs="Arial"/>
                <w:color w:val="3366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4C7076">
            <w:pPr>
              <w:jc w:val="center"/>
              <w:rPr>
                <w:rFonts w:ascii="Arial" w:hAnsi="Arial" w:cs="Arial"/>
                <w:sz w:val="20"/>
              </w:rPr>
            </w:pPr>
            <w:r>
              <w:rPr>
                <w:rFonts w:ascii="Arial" w:hAnsi="Arial" w:cs="Arial"/>
                <w:sz w:val="20"/>
              </w:rPr>
              <w:t>7</w:t>
            </w:r>
          </w:p>
        </w:tc>
        <w:tc>
          <w:tcPr>
            <w:tcW w:w="8588" w:type="dxa"/>
            <w:gridSpan w:val="8"/>
            <w:tcBorders>
              <w:left w:val="single" w:sz="6" w:space="0" w:color="auto"/>
              <w:bottom w:val="single" w:sz="4" w:space="0" w:color="auto"/>
            </w:tcBorders>
          </w:tcPr>
          <w:p w:rsidR="00326702" w:rsidRDefault="004C7076" w:rsidP="004C7076">
            <w:pPr>
              <w:rPr>
                <w:rFonts w:ascii="Arial" w:hAnsi="Arial" w:cs="Arial"/>
                <w:sz w:val="20"/>
              </w:rPr>
            </w:pPr>
            <w:r>
              <w:rPr>
                <w:rFonts w:ascii="Arial" w:hAnsi="Arial" w:cs="Arial"/>
                <w:sz w:val="20"/>
              </w:rPr>
              <w:t xml:space="preserve">Add 25 </w:t>
            </w:r>
            <w:proofErr w:type="spellStart"/>
            <w:r>
              <w:rPr>
                <w:rFonts w:ascii="Arial" w:hAnsi="Arial" w:cs="Arial"/>
                <w:sz w:val="20"/>
              </w:rPr>
              <w:t>μL</w:t>
            </w:r>
            <w:proofErr w:type="spellEnd"/>
            <w:r>
              <w:rPr>
                <w:rFonts w:ascii="Arial" w:hAnsi="Arial" w:cs="Arial"/>
                <w:sz w:val="20"/>
              </w:rPr>
              <w:t xml:space="preserve"> of plasma/serum to each of the </w:t>
            </w:r>
            <w:proofErr w:type="spellStart"/>
            <w:r>
              <w:rPr>
                <w:rFonts w:ascii="Arial" w:hAnsi="Arial" w:cs="Arial"/>
                <w:sz w:val="20"/>
              </w:rPr>
              <w:t>microtubes</w:t>
            </w:r>
            <w:proofErr w:type="spellEnd"/>
            <w:r>
              <w:rPr>
                <w:rFonts w:ascii="Arial" w:hAnsi="Arial" w:cs="Arial"/>
                <w:sz w:val="20"/>
              </w:rPr>
              <w:t xml:space="preserve"> being used for testing.</w:t>
            </w:r>
          </w:p>
          <w:p w:rsidR="004C7076" w:rsidRPr="00230C05" w:rsidRDefault="004C7076" w:rsidP="004C7076">
            <w:pPr>
              <w:rPr>
                <w:rFonts w:ascii="Arial" w:hAnsi="Arial" w:cs="Arial"/>
                <w:b/>
                <w:sz w:val="20"/>
              </w:rPr>
            </w:pPr>
            <w:r w:rsidRPr="00230C05">
              <w:rPr>
                <w:rFonts w:ascii="Arial" w:hAnsi="Arial" w:cs="Arial"/>
                <w:b/>
                <w:sz w:val="20"/>
              </w:rPr>
              <w:t>Note</w:t>
            </w:r>
            <w:r w:rsidR="00230C05" w:rsidRPr="00230C05">
              <w:rPr>
                <w:rFonts w:ascii="Arial" w:hAnsi="Arial" w:cs="Arial"/>
                <w:b/>
                <w:sz w:val="20"/>
              </w:rPr>
              <w:t>: Carefully dispense the red blood cell suspension and the serum</w:t>
            </w:r>
            <w:proofErr w:type="gramStart"/>
            <w:r w:rsidR="00230C05" w:rsidRPr="00230C05">
              <w:rPr>
                <w:rFonts w:ascii="Arial" w:hAnsi="Arial" w:cs="Arial"/>
                <w:b/>
                <w:sz w:val="20"/>
              </w:rPr>
              <w:t>/[</w:t>
            </w:r>
            <w:proofErr w:type="gramEnd"/>
            <w:r w:rsidR="00230C05" w:rsidRPr="00230C05">
              <w:rPr>
                <w:rFonts w:ascii="Arial" w:hAnsi="Arial" w:cs="Arial"/>
                <w:b/>
                <w:sz w:val="20"/>
              </w:rPr>
              <w:t xml:space="preserve">plasma, avoiding contact of the pipette tip with the contents of the </w:t>
            </w:r>
            <w:proofErr w:type="spellStart"/>
            <w:r w:rsidR="00230C05" w:rsidRPr="00230C05">
              <w:rPr>
                <w:rFonts w:ascii="Arial" w:hAnsi="Arial" w:cs="Arial"/>
                <w:b/>
                <w:sz w:val="20"/>
              </w:rPr>
              <w:t>microtubes</w:t>
            </w:r>
            <w:proofErr w:type="spellEnd"/>
            <w:r w:rsidR="00230C05" w:rsidRPr="00230C05">
              <w:rPr>
                <w:rFonts w:ascii="Arial" w:hAnsi="Arial" w:cs="Arial"/>
                <w:b/>
                <w:sz w:val="20"/>
              </w:rPr>
              <w:t xml:space="preserve"> to prevent carryover</w:t>
            </w:r>
            <w:r w:rsidR="00230C05">
              <w:rPr>
                <w:rFonts w:ascii="Arial" w:hAnsi="Arial" w:cs="Arial"/>
                <w:b/>
                <w:sz w:val="20"/>
              </w:rPr>
              <w:t>.</w:t>
            </w:r>
          </w:p>
        </w:tc>
      </w:tr>
      <w:tr w:rsidR="00326702">
        <w:trPr>
          <w:cantSplit/>
        </w:trPr>
        <w:tc>
          <w:tcPr>
            <w:tcW w:w="1620" w:type="dxa"/>
            <w:tcBorders>
              <w:top w:val="nil"/>
              <w:left w:val="nil"/>
              <w:bottom w:val="nil"/>
              <w:right w:val="single" w:sz="6" w:space="0" w:color="auto"/>
            </w:tcBorders>
            <w:vAlign w:val="center"/>
          </w:tcPr>
          <w:p w:rsidR="00326702" w:rsidRDefault="00326702">
            <w:pPr>
              <w:jc w:val="center"/>
              <w:rPr>
                <w:rFonts w:ascii="Arial" w:hAnsi="Arial" w:cs="Arial"/>
                <w:color w:val="3366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4C7076">
            <w:pPr>
              <w:jc w:val="center"/>
              <w:rPr>
                <w:rFonts w:ascii="Arial" w:hAnsi="Arial" w:cs="Arial"/>
                <w:sz w:val="20"/>
              </w:rPr>
            </w:pPr>
            <w:r>
              <w:rPr>
                <w:rFonts w:ascii="Arial" w:hAnsi="Arial" w:cs="Arial"/>
                <w:sz w:val="20"/>
              </w:rPr>
              <w:t>8</w:t>
            </w:r>
          </w:p>
        </w:tc>
        <w:tc>
          <w:tcPr>
            <w:tcW w:w="8588" w:type="dxa"/>
            <w:gridSpan w:val="8"/>
            <w:tcBorders>
              <w:left w:val="single" w:sz="6" w:space="0" w:color="auto"/>
              <w:bottom w:val="single" w:sz="4" w:space="0" w:color="auto"/>
            </w:tcBorders>
          </w:tcPr>
          <w:p w:rsidR="00326702" w:rsidRDefault="004C7076">
            <w:pPr>
              <w:rPr>
                <w:rFonts w:ascii="Arial" w:hAnsi="Arial" w:cs="Arial"/>
                <w:sz w:val="20"/>
              </w:rPr>
            </w:pPr>
            <w:r>
              <w:rPr>
                <w:rFonts w:ascii="Arial" w:hAnsi="Arial" w:cs="Arial"/>
                <w:sz w:val="20"/>
              </w:rPr>
              <w:t xml:space="preserve">Place the IH-Cards in a card rack or the 24-Card centrifuge head, place in the </w:t>
            </w:r>
            <w:r w:rsidR="00C01406">
              <w:rPr>
                <w:rFonts w:ascii="Arial" w:hAnsi="Arial" w:cs="Arial"/>
                <w:sz w:val="20"/>
              </w:rPr>
              <w:t>center</w:t>
            </w:r>
            <w:r>
              <w:rPr>
                <w:rFonts w:ascii="Arial" w:hAnsi="Arial" w:cs="Arial"/>
                <w:sz w:val="20"/>
              </w:rPr>
              <w:t xml:space="preserve"> card </w:t>
            </w:r>
            <w:r w:rsidR="00C01406">
              <w:rPr>
                <w:rFonts w:ascii="Arial" w:hAnsi="Arial" w:cs="Arial"/>
                <w:sz w:val="20"/>
              </w:rPr>
              <w:t>section</w:t>
            </w:r>
            <w:r>
              <w:rPr>
                <w:rFonts w:ascii="Arial" w:hAnsi="Arial" w:cs="Arial"/>
                <w:sz w:val="20"/>
              </w:rPr>
              <w:t xml:space="preserve"> of the IH-Incubator L and incubate for 15-20 minutes at the preset temperature of 37°±1°C.</w:t>
            </w:r>
          </w:p>
        </w:tc>
      </w:tr>
      <w:tr w:rsidR="000F0B18">
        <w:trPr>
          <w:cantSplit/>
        </w:trPr>
        <w:tc>
          <w:tcPr>
            <w:tcW w:w="1620" w:type="dxa"/>
            <w:tcBorders>
              <w:top w:val="nil"/>
              <w:left w:val="nil"/>
              <w:bottom w:val="nil"/>
              <w:right w:val="single" w:sz="6" w:space="0" w:color="auto"/>
            </w:tcBorders>
            <w:vAlign w:val="center"/>
          </w:tcPr>
          <w:p w:rsidR="000F0B18" w:rsidRDefault="000F0B18">
            <w:pPr>
              <w:jc w:val="center"/>
              <w:rPr>
                <w:rFonts w:ascii="Arial" w:hAnsi="Arial" w:cs="Arial"/>
                <w:color w:val="3366FF"/>
                <w:sz w:val="18"/>
              </w:rPr>
            </w:pPr>
          </w:p>
        </w:tc>
        <w:tc>
          <w:tcPr>
            <w:tcW w:w="772" w:type="dxa"/>
            <w:tcBorders>
              <w:top w:val="single" w:sz="6" w:space="0" w:color="auto"/>
              <w:left w:val="single" w:sz="6" w:space="0" w:color="auto"/>
              <w:bottom w:val="single" w:sz="6" w:space="0" w:color="auto"/>
              <w:right w:val="single" w:sz="6" w:space="0" w:color="auto"/>
            </w:tcBorders>
          </w:tcPr>
          <w:p w:rsidR="000F0B18" w:rsidRDefault="000F0B18">
            <w:pPr>
              <w:jc w:val="center"/>
              <w:rPr>
                <w:rFonts w:ascii="Arial" w:hAnsi="Arial" w:cs="Arial"/>
                <w:sz w:val="20"/>
              </w:rPr>
            </w:pPr>
            <w:r>
              <w:rPr>
                <w:rFonts w:ascii="Arial" w:hAnsi="Arial" w:cs="Arial"/>
                <w:sz w:val="20"/>
              </w:rPr>
              <w:t>9</w:t>
            </w:r>
          </w:p>
        </w:tc>
        <w:tc>
          <w:tcPr>
            <w:tcW w:w="8588" w:type="dxa"/>
            <w:gridSpan w:val="8"/>
            <w:tcBorders>
              <w:left w:val="single" w:sz="6" w:space="0" w:color="auto"/>
              <w:bottom w:val="single" w:sz="4" w:space="0" w:color="auto"/>
            </w:tcBorders>
          </w:tcPr>
          <w:p w:rsidR="000F0B18" w:rsidRDefault="000F0B18">
            <w:pPr>
              <w:rPr>
                <w:rFonts w:ascii="Arial" w:hAnsi="Arial" w:cs="Arial"/>
                <w:sz w:val="20"/>
              </w:rPr>
            </w:pPr>
            <w:r>
              <w:rPr>
                <w:rFonts w:ascii="Arial" w:hAnsi="Arial" w:cs="Arial"/>
                <w:sz w:val="20"/>
              </w:rPr>
              <w:t xml:space="preserve">Centrifuge the IH-Cards using the 24-card head in the IH-Reader 24 or IH-Centrifuge L at the </w:t>
            </w:r>
            <w:proofErr w:type="spellStart"/>
            <w:r>
              <w:rPr>
                <w:rFonts w:ascii="Arial" w:hAnsi="Arial" w:cs="Arial"/>
                <w:sz w:val="20"/>
              </w:rPr>
              <w:t>preset</w:t>
            </w:r>
            <w:proofErr w:type="spellEnd"/>
            <w:r>
              <w:rPr>
                <w:rFonts w:ascii="Arial" w:hAnsi="Arial" w:cs="Arial"/>
                <w:sz w:val="20"/>
              </w:rPr>
              <w:t xml:space="preserve"> time and speed of 10 minutes at 85 x G.</w:t>
            </w:r>
          </w:p>
        </w:tc>
      </w:tr>
      <w:tr w:rsidR="000F0B18">
        <w:trPr>
          <w:cantSplit/>
        </w:trPr>
        <w:tc>
          <w:tcPr>
            <w:tcW w:w="1620" w:type="dxa"/>
            <w:tcBorders>
              <w:top w:val="nil"/>
              <w:left w:val="nil"/>
              <w:bottom w:val="nil"/>
              <w:right w:val="single" w:sz="6" w:space="0" w:color="auto"/>
            </w:tcBorders>
            <w:vAlign w:val="center"/>
          </w:tcPr>
          <w:p w:rsidR="000F0B18" w:rsidRDefault="000F0B18">
            <w:pPr>
              <w:ind w:left="72"/>
              <w:jc w:val="center"/>
              <w:rPr>
                <w:rFonts w:ascii="Arial" w:hAnsi="Arial" w:cs="Arial"/>
                <w:color w:val="0000FF"/>
                <w:sz w:val="18"/>
              </w:rPr>
            </w:pPr>
          </w:p>
        </w:tc>
        <w:tc>
          <w:tcPr>
            <w:tcW w:w="772" w:type="dxa"/>
            <w:tcBorders>
              <w:top w:val="single" w:sz="6" w:space="0" w:color="auto"/>
              <w:left w:val="single" w:sz="6" w:space="0" w:color="auto"/>
              <w:bottom w:val="single" w:sz="6" w:space="0" w:color="auto"/>
              <w:right w:val="single" w:sz="6" w:space="0" w:color="auto"/>
            </w:tcBorders>
          </w:tcPr>
          <w:p w:rsidR="000F0B18" w:rsidRDefault="000F0B18">
            <w:pPr>
              <w:jc w:val="center"/>
              <w:rPr>
                <w:rFonts w:ascii="Arial" w:hAnsi="Arial" w:cs="Arial"/>
                <w:sz w:val="20"/>
              </w:rPr>
            </w:pPr>
            <w:r>
              <w:rPr>
                <w:rFonts w:ascii="Arial" w:hAnsi="Arial" w:cs="Arial"/>
                <w:sz w:val="20"/>
              </w:rPr>
              <w:t>10</w:t>
            </w:r>
          </w:p>
        </w:tc>
        <w:tc>
          <w:tcPr>
            <w:tcW w:w="8588" w:type="dxa"/>
            <w:gridSpan w:val="8"/>
            <w:tcBorders>
              <w:left w:val="single" w:sz="6" w:space="0" w:color="auto"/>
              <w:bottom w:val="single" w:sz="4" w:space="0" w:color="auto"/>
            </w:tcBorders>
          </w:tcPr>
          <w:p w:rsidR="000F0B18" w:rsidRDefault="000F0B18" w:rsidP="00C01406">
            <w:pPr>
              <w:rPr>
                <w:rFonts w:ascii="Arial" w:hAnsi="Arial" w:cs="Arial"/>
                <w:sz w:val="20"/>
              </w:rPr>
            </w:pPr>
            <w:r>
              <w:rPr>
                <w:rFonts w:ascii="Arial" w:hAnsi="Arial" w:cs="Arial"/>
                <w:sz w:val="20"/>
              </w:rPr>
              <w:t xml:space="preserve">When centrifugation cycle is complete, the IH-Reader 24 will read card or remove the IH-Card and read the reactions according to </w:t>
            </w:r>
            <w:bookmarkStart w:id="0" w:name="_GoBack"/>
            <w:bookmarkEnd w:id="0"/>
            <w:r w:rsidRPr="00C01406">
              <w:rPr>
                <w:rFonts w:ascii="Arial" w:hAnsi="Arial" w:cs="Arial"/>
                <w:sz w:val="20"/>
                <w:shd w:val="clear" w:color="auto" w:fill="FFFFFF" w:themeFill="background1"/>
              </w:rPr>
              <w:t xml:space="preserve">TS </w:t>
            </w:r>
            <w:r w:rsidR="00C01406">
              <w:rPr>
                <w:rFonts w:ascii="Arial" w:hAnsi="Arial" w:cs="Arial"/>
                <w:sz w:val="20"/>
              </w:rPr>
              <w:t>4.09 Grading and Interpretation of Gel Card Reactions.</w:t>
            </w:r>
          </w:p>
        </w:tc>
      </w:tr>
      <w:tr w:rsidR="00326702">
        <w:trPr>
          <w:cantSplit/>
        </w:trPr>
        <w:tc>
          <w:tcPr>
            <w:tcW w:w="1620" w:type="dxa"/>
            <w:tcBorders>
              <w:top w:val="nil"/>
              <w:left w:val="nil"/>
              <w:bottom w:val="nil"/>
              <w:right w:val="single" w:sz="6" w:space="0" w:color="auto"/>
            </w:tcBorders>
            <w:vAlign w:val="center"/>
          </w:tcPr>
          <w:p w:rsidR="00326702" w:rsidRDefault="00326702">
            <w:pPr>
              <w:ind w:left="72"/>
              <w:jc w:val="center"/>
              <w:rPr>
                <w:rFonts w:ascii="Arial" w:hAnsi="Arial" w:cs="Arial"/>
                <w:color w:val="0000FF"/>
                <w:sz w:val="18"/>
              </w:rPr>
            </w:pPr>
          </w:p>
        </w:tc>
        <w:tc>
          <w:tcPr>
            <w:tcW w:w="772" w:type="dxa"/>
            <w:tcBorders>
              <w:top w:val="single" w:sz="6" w:space="0" w:color="auto"/>
              <w:left w:val="single" w:sz="6" w:space="0" w:color="auto"/>
              <w:bottom w:val="single" w:sz="6" w:space="0" w:color="auto"/>
              <w:right w:val="single" w:sz="6" w:space="0" w:color="auto"/>
            </w:tcBorders>
          </w:tcPr>
          <w:p w:rsidR="00326702" w:rsidRDefault="00326702">
            <w:pPr>
              <w:jc w:val="center"/>
              <w:rPr>
                <w:rFonts w:ascii="Arial" w:hAnsi="Arial" w:cs="Arial"/>
                <w:sz w:val="20"/>
              </w:rPr>
            </w:pPr>
            <w:r>
              <w:rPr>
                <w:rFonts w:ascii="Arial" w:hAnsi="Arial" w:cs="Arial"/>
                <w:sz w:val="20"/>
              </w:rPr>
              <w:t>11</w:t>
            </w:r>
          </w:p>
        </w:tc>
        <w:tc>
          <w:tcPr>
            <w:tcW w:w="8588" w:type="dxa"/>
            <w:gridSpan w:val="8"/>
            <w:tcBorders>
              <w:left w:val="single" w:sz="6" w:space="0" w:color="auto"/>
              <w:bottom w:val="single" w:sz="4" w:space="0" w:color="auto"/>
            </w:tcBorders>
          </w:tcPr>
          <w:p w:rsidR="00326702" w:rsidRDefault="00326702">
            <w:pPr>
              <w:jc w:val="left"/>
              <w:rPr>
                <w:rFonts w:ascii="Arial" w:hAnsi="Arial" w:cs="Arial"/>
                <w:sz w:val="20"/>
              </w:rPr>
            </w:pPr>
            <w:r>
              <w:rPr>
                <w:rFonts w:ascii="Arial" w:hAnsi="Arial" w:cs="Arial"/>
                <w:sz w:val="20"/>
              </w:rPr>
              <w:t>Compare current test results with previous records. See Appendix A.</w:t>
            </w:r>
          </w:p>
        </w:tc>
      </w:tr>
      <w:tr w:rsidR="00326702">
        <w:trPr>
          <w:cantSplit/>
          <w:trHeight w:val="2937"/>
        </w:trPr>
        <w:tc>
          <w:tcPr>
            <w:tcW w:w="1620" w:type="dxa"/>
            <w:tcBorders>
              <w:top w:val="nil"/>
              <w:left w:val="nil"/>
              <w:bottom w:val="nil"/>
              <w:right w:val="single" w:sz="6" w:space="0" w:color="auto"/>
            </w:tcBorders>
            <w:vAlign w:val="center"/>
          </w:tcPr>
          <w:p w:rsidR="00326702" w:rsidRDefault="00326702">
            <w:pPr>
              <w:jc w:val="center"/>
              <w:rPr>
                <w:rFonts w:ascii="Arial" w:hAnsi="Arial" w:cs="Arial"/>
                <w:color w:val="3366FF"/>
                <w:sz w:val="18"/>
              </w:rPr>
            </w:pPr>
          </w:p>
        </w:tc>
        <w:tc>
          <w:tcPr>
            <w:tcW w:w="772" w:type="dxa"/>
            <w:tcBorders>
              <w:top w:val="single" w:sz="6" w:space="0" w:color="auto"/>
              <w:left w:val="single" w:sz="6" w:space="0" w:color="auto"/>
              <w:bottom w:val="single" w:sz="4" w:space="0" w:color="auto"/>
              <w:right w:val="single" w:sz="6" w:space="0" w:color="auto"/>
            </w:tcBorders>
          </w:tcPr>
          <w:p w:rsidR="00326702" w:rsidRDefault="00326702">
            <w:pPr>
              <w:jc w:val="center"/>
              <w:rPr>
                <w:rFonts w:ascii="Arial" w:hAnsi="Arial" w:cs="Arial"/>
                <w:sz w:val="20"/>
              </w:rPr>
            </w:pPr>
            <w:r>
              <w:rPr>
                <w:rFonts w:ascii="Arial" w:hAnsi="Arial" w:cs="Arial"/>
                <w:sz w:val="20"/>
              </w:rPr>
              <w:t>12</w:t>
            </w:r>
          </w:p>
        </w:tc>
        <w:tc>
          <w:tcPr>
            <w:tcW w:w="8588" w:type="dxa"/>
            <w:gridSpan w:val="8"/>
            <w:tcBorders>
              <w:left w:val="single" w:sz="6" w:space="0" w:color="auto"/>
              <w:bottom w:val="single" w:sz="4" w:space="0" w:color="auto"/>
            </w:tcBorders>
          </w:tcPr>
          <w:p w:rsidR="00326702" w:rsidRDefault="00326702">
            <w:pPr>
              <w:rPr>
                <w:rFonts w:ascii="Arial" w:hAnsi="Arial" w:cs="Arial"/>
                <w:sz w:val="20"/>
              </w:rPr>
            </w:pPr>
          </w:p>
          <w:tbl>
            <w:tblPr>
              <w:tblW w:w="80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2160"/>
              <w:gridCol w:w="3607"/>
            </w:tblGrid>
            <w:tr w:rsidR="00326702">
              <w:trPr>
                <w:trHeight w:val="288"/>
              </w:trPr>
              <w:tc>
                <w:tcPr>
                  <w:tcW w:w="2288" w:type="dxa"/>
                  <w:shd w:val="clear" w:color="auto" w:fill="F3F3F3"/>
                </w:tcPr>
                <w:p w:rsidR="00326702" w:rsidRDefault="00326702">
                  <w:pPr>
                    <w:rPr>
                      <w:rFonts w:ascii="Arial" w:hAnsi="Arial" w:cs="Arial"/>
                      <w:b/>
                      <w:bCs/>
                      <w:sz w:val="20"/>
                    </w:rPr>
                  </w:pPr>
                  <w:r>
                    <w:rPr>
                      <w:rFonts w:ascii="Arial" w:hAnsi="Arial" w:cs="Arial"/>
                      <w:b/>
                      <w:bCs/>
                      <w:sz w:val="20"/>
                    </w:rPr>
                    <w:t>Antibody Screen is:</w:t>
                  </w:r>
                </w:p>
              </w:tc>
              <w:tc>
                <w:tcPr>
                  <w:tcW w:w="2160" w:type="dxa"/>
                  <w:shd w:val="clear" w:color="auto" w:fill="F3F3F3"/>
                </w:tcPr>
                <w:p w:rsidR="00326702" w:rsidRDefault="00326702">
                  <w:pPr>
                    <w:rPr>
                      <w:rFonts w:ascii="Arial" w:hAnsi="Arial" w:cs="Arial"/>
                      <w:b/>
                      <w:bCs/>
                      <w:sz w:val="20"/>
                    </w:rPr>
                  </w:pPr>
                  <w:r>
                    <w:rPr>
                      <w:rFonts w:ascii="Arial" w:hAnsi="Arial" w:cs="Arial"/>
                      <w:b/>
                      <w:bCs/>
                      <w:sz w:val="20"/>
                    </w:rPr>
                    <w:t xml:space="preserve">and red cells are </w:t>
                  </w:r>
                </w:p>
              </w:tc>
              <w:tc>
                <w:tcPr>
                  <w:tcW w:w="3607" w:type="dxa"/>
                  <w:shd w:val="clear" w:color="auto" w:fill="F3F3F3"/>
                </w:tcPr>
                <w:p w:rsidR="00326702" w:rsidRDefault="00326702">
                  <w:pPr>
                    <w:rPr>
                      <w:rFonts w:ascii="Arial" w:hAnsi="Arial" w:cs="Arial"/>
                      <w:b/>
                      <w:bCs/>
                      <w:sz w:val="20"/>
                    </w:rPr>
                  </w:pPr>
                  <w:r>
                    <w:rPr>
                      <w:rFonts w:ascii="Arial" w:hAnsi="Arial" w:cs="Arial"/>
                      <w:b/>
                      <w:bCs/>
                      <w:sz w:val="20"/>
                    </w:rPr>
                    <w:t>then proceed to the following:</w:t>
                  </w:r>
                </w:p>
              </w:tc>
            </w:tr>
            <w:tr w:rsidR="00326702">
              <w:trPr>
                <w:cantSplit/>
                <w:trHeight w:val="288"/>
              </w:trPr>
              <w:tc>
                <w:tcPr>
                  <w:tcW w:w="2288" w:type="dxa"/>
                  <w:vMerge w:val="restart"/>
                </w:tcPr>
                <w:p w:rsidR="00326702" w:rsidRDefault="00326702">
                  <w:pPr>
                    <w:rPr>
                      <w:rFonts w:ascii="Arial" w:hAnsi="Arial" w:cs="Arial"/>
                      <w:sz w:val="20"/>
                    </w:rPr>
                  </w:pPr>
                  <w:r>
                    <w:rPr>
                      <w:rFonts w:ascii="Arial" w:hAnsi="Arial" w:cs="Arial"/>
                      <w:sz w:val="20"/>
                    </w:rPr>
                    <w:t>Negative</w:t>
                  </w:r>
                </w:p>
              </w:tc>
              <w:tc>
                <w:tcPr>
                  <w:tcW w:w="2160" w:type="dxa"/>
                </w:tcPr>
                <w:p w:rsidR="00326702" w:rsidRDefault="00326702">
                  <w:pPr>
                    <w:pStyle w:val="TableText"/>
                    <w:rPr>
                      <w:rFonts w:ascii="Arial" w:hAnsi="Arial" w:cs="Arial"/>
                    </w:rPr>
                  </w:pPr>
                  <w:r>
                    <w:rPr>
                      <w:rFonts w:ascii="Arial" w:hAnsi="Arial" w:cs="Arial"/>
                    </w:rPr>
                    <w:t>Not needed</w:t>
                  </w:r>
                </w:p>
              </w:tc>
              <w:tc>
                <w:tcPr>
                  <w:tcW w:w="3607" w:type="dxa"/>
                </w:tcPr>
                <w:p w:rsidR="00326702" w:rsidRDefault="00326702">
                  <w:pPr>
                    <w:rPr>
                      <w:rFonts w:ascii="Arial" w:hAnsi="Arial" w:cs="Arial"/>
                      <w:color w:val="0000FF"/>
                      <w:sz w:val="20"/>
                    </w:rPr>
                  </w:pPr>
                  <w:r>
                    <w:rPr>
                      <w:rFonts w:ascii="Arial" w:hAnsi="Arial" w:cs="Arial"/>
                      <w:color w:val="0000FF"/>
                      <w:sz w:val="20"/>
                    </w:rPr>
                    <w:t xml:space="preserve">TS 2.10 Sample Storage and </w:t>
                  </w:r>
                  <w:r w:rsidR="000F0B18">
                    <w:rPr>
                      <w:rFonts w:ascii="Arial" w:hAnsi="Arial" w:cs="Arial"/>
                      <w:color w:val="0000FF"/>
                      <w:sz w:val="20"/>
                    </w:rPr>
                    <w:t>Retrieval</w:t>
                  </w:r>
                </w:p>
              </w:tc>
            </w:tr>
            <w:tr w:rsidR="00326702">
              <w:trPr>
                <w:cantSplit/>
                <w:trHeight w:val="288"/>
              </w:trPr>
              <w:tc>
                <w:tcPr>
                  <w:tcW w:w="2288" w:type="dxa"/>
                  <w:vMerge/>
                </w:tcPr>
                <w:p w:rsidR="00326702" w:rsidRDefault="00326702">
                  <w:pPr>
                    <w:jc w:val="center"/>
                    <w:rPr>
                      <w:rFonts w:ascii="Arial" w:hAnsi="Arial" w:cs="Arial"/>
                      <w:sz w:val="20"/>
                    </w:rPr>
                  </w:pPr>
                </w:p>
              </w:tc>
              <w:tc>
                <w:tcPr>
                  <w:tcW w:w="2160" w:type="dxa"/>
                </w:tcPr>
                <w:p w:rsidR="00326702" w:rsidRDefault="00326702">
                  <w:pPr>
                    <w:pStyle w:val="TableText"/>
                    <w:rPr>
                      <w:rFonts w:ascii="Arial" w:hAnsi="Arial" w:cs="Arial"/>
                    </w:rPr>
                  </w:pPr>
                  <w:r>
                    <w:rPr>
                      <w:rFonts w:ascii="Arial" w:hAnsi="Arial" w:cs="Arial"/>
                    </w:rPr>
                    <w:t>Required immediately</w:t>
                  </w:r>
                </w:p>
                <w:p w:rsidR="00326702" w:rsidRDefault="00326702">
                  <w:pPr>
                    <w:pStyle w:val="TableText"/>
                    <w:rPr>
                      <w:rFonts w:ascii="Arial" w:hAnsi="Arial" w:cs="Arial"/>
                    </w:rPr>
                  </w:pPr>
                </w:p>
                <w:p w:rsidR="00326702" w:rsidRDefault="00326702">
                  <w:pPr>
                    <w:pStyle w:val="TableText"/>
                    <w:rPr>
                      <w:rFonts w:ascii="Arial" w:hAnsi="Arial" w:cs="Arial"/>
                    </w:rPr>
                  </w:pPr>
                </w:p>
              </w:tc>
              <w:tc>
                <w:tcPr>
                  <w:tcW w:w="3607" w:type="dxa"/>
                </w:tcPr>
                <w:p w:rsidR="00326702" w:rsidRDefault="00C01406">
                  <w:pPr>
                    <w:rPr>
                      <w:rFonts w:ascii="Arial" w:hAnsi="Arial" w:cs="Arial"/>
                      <w:b/>
                      <w:bCs/>
                      <w:color w:val="0000FF"/>
                      <w:sz w:val="20"/>
                    </w:rPr>
                  </w:pPr>
                  <w:hyperlink r:id="rId11" w:history="1">
                    <w:r w:rsidR="00326702">
                      <w:rPr>
                        <w:rStyle w:val="Hyperlink"/>
                        <w:rFonts w:ascii="Arial" w:hAnsi="Arial" w:cs="Arial"/>
                        <w:sz w:val="20"/>
                      </w:rPr>
                      <w:t>TS 3.4 Crossmatch Process-Red Cell Orders for Patients over 4 months old</w:t>
                    </w:r>
                  </w:hyperlink>
                </w:p>
              </w:tc>
            </w:tr>
            <w:tr w:rsidR="00326702">
              <w:trPr>
                <w:cantSplit/>
                <w:trHeight w:val="288"/>
              </w:trPr>
              <w:tc>
                <w:tcPr>
                  <w:tcW w:w="2288" w:type="dxa"/>
                  <w:vMerge w:val="restart"/>
                </w:tcPr>
                <w:p w:rsidR="00326702" w:rsidRDefault="00326702">
                  <w:pPr>
                    <w:rPr>
                      <w:rFonts w:ascii="Arial" w:hAnsi="Arial" w:cs="Arial"/>
                      <w:b/>
                      <w:bCs/>
                      <w:sz w:val="20"/>
                    </w:rPr>
                  </w:pPr>
                  <w:r>
                    <w:rPr>
                      <w:rFonts w:ascii="Arial" w:hAnsi="Arial" w:cs="Arial"/>
                      <w:sz w:val="20"/>
                    </w:rPr>
                    <w:t>Positive</w:t>
                  </w:r>
                </w:p>
              </w:tc>
              <w:tc>
                <w:tcPr>
                  <w:tcW w:w="2160" w:type="dxa"/>
                </w:tcPr>
                <w:p w:rsidR="00326702" w:rsidRDefault="00326702">
                  <w:pPr>
                    <w:pStyle w:val="TableText"/>
                    <w:rPr>
                      <w:rFonts w:ascii="Arial" w:hAnsi="Arial" w:cs="Arial"/>
                    </w:rPr>
                  </w:pPr>
                  <w:r>
                    <w:rPr>
                      <w:rFonts w:ascii="Arial" w:hAnsi="Arial" w:cs="Arial"/>
                    </w:rPr>
                    <w:t>Not needed, or not needed urgently</w:t>
                  </w:r>
                </w:p>
                <w:p w:rsidR="00326702" w:rsidRDefault="00326702">
                  <w:pPr>
                    <w:pStyle w:val="TableText"/>
                    <w:rPr>
                      <w:rFonts w:ascii="Arial" w:hAnsi="Arial" w:cs="Arial"/>
                    </w:rPr>
                  </w:pPr>
                </w:p>
              </w:tc>
              <w:tc>
                <w:tcPr>
                  <w:tcW w:w="3607" w:type="dxa"/>
                </w:tcPr>
                <w:p w:rsidR="00326702" w:rsidRDefault="00C01406">
                  <w:pPr>
                    <w:rPr>
                      <w:rFonts w:ascii="Arial" w:hAnsi="Arial" w:cs="Arial"/>
                      <w:color w:val="0000FF"/>
                      <w:sz w:val="20"/>
                    </w:rPr>
                  </w:pPr>
                  <w:hyperlink r:id="rId12" w:history="1">
                    <w:r w:rsidR="00326702">
                      <w:rPr>
                        <w:rStyle w:val="Hyperlink"/>
                        <w:rFonts w:ascii="Arial" w:hAnsi="Arial" w:cs="Arial"/>
                        <w:sz w:val="20"/>
                      </w:rPr>
                      <w:t xml:space="preserve">TS 4.38 Investigation of a </w:t>
                    </w:r>
                    <w:r w:rsidR="000F0B18">
                      <w:rPr>
                        <w:rStyle w:val="Hyperlink"/>
                        <w:rFonts w:ascii="Arial" w:hAnsi="Arial" w:cs="Arial"/>
                        <w:sz w:val="20"/>
                      </w:rPr>
                      <w:t>Positive</w:t>
                    </w:r>
                    <w:r w:rsidR="00326702">
                      <w:rPr>
                        <w:rStyle w:val="Hyperlink"/>
                        <w:rFonts w:ascii="Arial" w:hAnsi="Arial" w:cs="Arial"/>
                        <w:sz w:val="20"/>
                      </w:rPr>
                      <w:t xml:space="preserve"> Antibo</w:t>
                    </w:r>
                    <w:r w:rsidR="00326702">
                      <w:rPr>
                        <w:rFonts w:ascii="Arial" w:hAnsi="Arial" w:cs="Arial"/>
                        <w:color w:val="0000FF"/>
                        <w:sz w:val="20"/>
                      </w:rPr>
                      <w:t>dy Screen</w:t>
                    </w:r>
                  </w:hyperlink>
                </w:p>
              </w:tc>
            </w:tr>
            <w:tr w:rsidR="00326702">
              <w:trPr>
                <w:cantSplit/>
                <w:trHeight w:val="288"/>
              </w:trPr>
              <w:tc>
                <w:tcPr>
                  <w:tcW w:w="2288" w:type="dxa"/>
                  <w:vMerge/>
                </w:tcPr>
                <w:p w:rsidR="00326702" w:rsidRDefault="00326702">
                  <w:pPr>
                    <w:jc w:val="center"/>
                    <w:rPr>
                      <w:rFonts w:ascii="Arial" w:hAnsi="Arial" w:cs="Arial"/>
                      <w:sz w:val="20"/>
                    </w:rPr>
                  </w:pPr>
                </w:p>
              </w:tc>
              <w:tc>
                <w:tcPr>
                  <w:tcW w:w="2160" w:type="dxa"/>
                </w:tcPr>
                <w:p w:rsidR="00326702" w:rsidRDefault="00326702">
                  <w:pPr>
                    <w:pStyle w:val="TableText"/>
                    <w:rPr>
                      <w:rFonts w:ascii="Arial" w:hAnsi="Arial" w:cs="Arial"/>
                    </w:rPr>
                  </w:pPr>
                  <w:r>
                    <w:rPr>
                      <w:rFonts w:ascii="Arial" w:hAnsi="Arial" w:cs="Arial"/>
                    </w:rPr>
                    <w:t>Urgently required</w:t>
                  </w:r>
                </w:p>
              </w:tc>
              <w:tc>
                <w:tcPr>
                  <w:tcW w:w="3607" w:type="dxa"/>
                </w:tcPr>
                <w:p w:rsidR="00326702" w:rsidRDefault="00326702">
                  <w:pPr>
                    <w:rPr>
                      <w:rFonts w:ascii="Arial" w:hAnsi="Arial" w:cs="Arial"/>
                      <w:b/>
                      <w:bCs/>
                      <w:sz w:val="20"/>
                    </w:rPr>
                  </w:pPr>
                  <w:r>
                    <w:rPr>
                      <w:rFonts w:ascii="Arial" w:hAnsi="Arial" w:cs="Arial"/>
                      <w:sz w:val="20"/>
                    </w:rPr>
                    <w:t>Consult with the ordering provider and a Pathologist</w:t>
                  </w:r>
                </w:p>
              </w:tc>
            </w:tr>
          </w:tbl>
          <w:p w:rsidR="00326702" w:rsidRDefault="00326702">
            <w:pPr>
              <w:pStyle w:val="TableText"/>
              <w:autoSpaceDE/>
              <w:autoSpaceDN/>
              <w:rPr>
                <w:rFonts w:ascii="Arial" w:hAnsi="Arial" w:cs="Arial"/>
              </w:rPr>
            </w:pPr>
          </w:p>
        </w:tc>
      </w:tr>
      <w:tr w:rsidR="00326702">
        <w:trPr>
          <w:cantSplit/>
          <w:trHeight w:val="386"/>
        </w:trPr>
        <w:tc>
          <w:tcPr>
            <w:tcW w:w="1620" w:type="dxa"/>
            <w:tcBorders>
              <w:top w:val="nil"/>
              <w:left w:val="nil"/>
              <w:bottom w:val="nil"/>
              <w:right w:val="nil"/>
            </w:tcBorders>
            <w:vAlign w:val="center"/>
          </w:tcPr>
          <w:p w:rsidR="00326702" w:rsidRDefault="00326702">
            <w:pPr>
              <w:jc w:val="center"/>
              <w:rPr>
                <w:rFonts w:ascii="Arial" w:hAnsi="Arial" w:cs="Arial"/>
                <w:color w:val="3366FF"/>
                <w:sz w:val="18"/>
              </w:rPr>
            </w:pPr>
          </w:p>
        </w:tc>
        <w:tc>
          <w:tcPr>
            <w:tcW w:w="9360" w:type="dxa"/>
            <w:gridSpan w:val="9"/>
            <w:tcBorders>
              <w:top w:val="nil"/>
              <w:left w:val="nil"/>
              <w:bottom w:val="single" w:sz="12" w:space="0" w:color="C0C0C0"/>
              <w:right w:val="nil"/>
            </w:tcBorders>
          </w:tcPr>
          <w:p w:rsidR="00326702" w:rsidRDefault="00326702">
            <w:pPr>
              <w:jc w:val="left"/>
              <w:rPr>
                <w:rFonts w:ascii="Arial" w:hAnsi="Arial" w:cs="Arial"/>
                <w:iCs/>
                <w:sz w:val="20"/>
              </w:rPr>
            </w:pPr>
          </w:p>
        </w:tc>
      </w:tr>
      <w:tr w:rsidR="00326702">
        <w:trPr>
          <w:cantSplit/>
          <w:trHeight w:val="222"/>
        </w:trPr>
        <w:tc>
          <w:tcPr>
            <w:tcW w:w="1620" w:type="dxa"/>
            <w:vMerge w:val="restart"/>
            <w:tcBorders>
              <w:top w:val="nil"/>
              <w:left w:val="nil"/>
              <w:bottom w:val="nil"/>
              <w:right w:val="nil"/>
            </w:tcBorders>
          </w:tcPr>
          <w:p w:rsidR="00326702" w:rsidRDefault="00326702">
            <w:pPr>
              <w:rPr>
                <w:rFonts w:ascii="Arial" w:hAnsi="Arial" w:cs="Arial"/>
                <w:b/>
                <w:color w:val="3366FF"/>
                <w:sz w:val="20"/>
              </w:rPr>
            </w:pPr>
            <w:r>
              <w:rPr>
                <w:rFonts w:ascii="Arial" w:hAnsi="Arial" w:cs="Arial"/>
                <w:color w:val="3366FF"/>
                <w:sz w:val="20"/>
              </w:rPr>
              <w:br w:type="page"/>
            </w:r>
          </w:p>
          <w:p w:rsidR="00326702" w:rsidRDefault="00326702">
            <w:pPr>
              <w:jc w:val="left"/>
              <w:rPr>
                <w:rFonts w:ascii="Arial" w:hAnsi="Arial" w:cs="Arial"/>
                <w:b/>
                <w:color w:val="3366FF"/>
                <w:sz w:val="20"/>
              </w:rPr>
            </w:pPr>
            <w:r>
              <w:rPr>
                <w:rFonts w:ascii="Arial" w:hAnsi="Arial" w:cs="Arial"/>
                <w:b/>
                <w:color w:val="3366FF"/>
                <w:sz w:val="20"/>
              </w:rPr>
              <w:t>Interpretation</w:t>
            </w:r>
          </w:p>
          <w:p w:rsidR="00326702" w:rsidRDefault="00326702">
            <w:pPr>
              <w:jc w:val="left"/>
              <w:rPr>
                <w:rFonts w:ascii="Arial" w:hAnsi="Arial" w:cs="Arial"/>
                <w:b/>
                <w:color w:val="3366FF"/>
                <w:sz w:val="20"/>
              </w:rPr>
            </w:pPr>
          </w:p>
          <w:p w:rsidR="00326702" w:rsidRDefault="00326702">
            <w:pPr>
              <w:rPr>
                <w:rFonts w:ascii="Arial" w:hAnsi="Arial" w:cs="Arial"/>
                <w:b/>
                <w:color w:val="3366FF"/>
                <w:sz w:val="20"/>
              </w:rPr>
            </w:pPr>
          </w:p>
        </w:tc>
        <w:tc>
          <w:tcPr>
            <w:tcW w:w="9360" w:type="dxa"/>
            <w:gridSpan w:val="9"/>
            <w:tcBorders>
              <w:top w:val="single" w:sz="12" w:space="0" w:color="C0C0C0"/>
              <w:left w:val="nil"/>
              <w:bottom w:val="single" w:sz="4" w:space="0" w:color="auto"/>
              <w:right w:val="nil"/>
            </w:tcBorders>
          </w:tcPr>
          <w:p w:rsidR="00326702" w:rsidRDefault="00326702">
            <w:pPr>
              <w:jc w:val="left"/>
              <w:rPr>
                <w:rFonts w:ascii="Arial" w:hAnsi="Arial" w:cs="Arial"/>
                <w:sz w:val="20"/>
              </w:rPr>
            </w:pPr>
          </w:p>
        </w:tc>
      </w:tr>
      <w:tr w:rsidR="00326702">
        <w:trPr>
          <w:cantSplit/>
          <w:trHeight w:val="150"/>
        </w:trPr>
        <w:tc>
          <w:tcPr>
            <w:tcW w:w="1620" w:type="dxa"/>
            <w:vMerge/>
            <w:tcBorders>
              <w:left w:val="nil"/>
              <w:bottom w:val="nil"/>
              <w:right w:val="single" w:sz="4" w:space="0" w:color="auto"/>
            </w:tcBorders>
            <w:vAlign w:val="center"/>
          </w:tcPr>
          <w:p w:rsidR="00326702" w:rsidRDefault="00326702">
            <w:pPr>
              <w:rPr>
                <w:rFonts w:ascii="Arial" w:hAnsi="Arial" w:cs="Arial"/>
                <w:color w:val="3366FF"/>
                <w:sz w:val="20"/>
              </w:rPr>
            </w:pPr>
          </w:p>
        </w:tc>
        <w:tc>
          <w:tcPr>
            <w:tcW w:w="4140" w:type="dxa"/>
            <w:gridSpan w:val="5"/>
            <w:tcBorders>
              <w:top w:val="single" w:sz="4" w:space="0" w:color="auto"/>
              <w:left w:val="single" w:sz="4" w:space="0" w:color="auto"/>
              <w:bottom w:val="single" w:sz="4" w:space="0" w:color="auto"/>
              <w:right w:val="single" w:sz="4" w:space="0" w:color="auto"/>
            </w:tcBorders>
            <w:shd w:val="clear" w:color="auto" w:fill="F3F3F3"/>
          </w:tcPr>
          <w:p w:rsidR="00326702" w:rsidRDefault="00326702">
            <w:pPr>
              <w:rPr>
                <w:rFonts w:ascii="Arial" w:hAnsi="Arial" w:cs="Arial"/>
                <w:b/>
                <w:bCs/>
                <w:sz w:val="20"/>
              </w:rPr>
            </w:pPr>
            <w:r>
              <w:rPr>
                <w:rFonts w:ascii="Arial" w:hAnsi="Arial" w:cs="Arial"/>
                <w:b/>
                <w:bCs/>
                <w:sz w:val="20"/>
              </w:rPr>
              <w:t xml:space="preserve">If the anti-IgG gel card </w:t>
            </w:r>
            <w:proofErr w:type="spellStart"/>
            <w:r>
              <w:rPr>
                <w:rFonts w:ascii="Arial" w:hAnsi="Arial" w:cs="Arial"/>
                <w:b/>
                <w:bCs/>
                <w:sz w:val="20"/>
              </w:rPr>
              <w:t>microtube</w:t>
            </w:r>
            <w:proofErr w:type="spellEnd"/>
            <w:r>
              <w:rPr>
                <w:rFonts w:ascii="Arial" w:hAnsi="Arial" w:cs="Arial"/>
                <w:b/>
                <w:bCs/>
                <w:sz w:val="20"/>
              </w:rPr>
              <w:t xml:space="preserve"> shows</w:t>
            </w:r>
          </w:p>
        </w:tc>
        <w:tc>
          <w:tcPr>
            <w:tcW w:w="2355" w:type="dxa"/>
            <w:gridSpan w:val="3"/>
            <w:tcBorders>
              <w:top w:val="single" w:sz="4" w:space="0" w:color="auto"/>
              <w:left w:val="single" w:sz="4" w:space="0" w:color="auto"/>
              <w:bottom w:val="single" w:sz="4" w:space="0" w:color="auto"/>
              <w:right w:val="nil"/>
            </w:tcBorders>
            <w:shd w:val="clear" w:color="auto" w:fill="F3F3F3"/>
          </w:tcPr>
          <w:p w:rsidR="00326702" w:rsidRDefault="00326702">
            <w:pPr>
              <w:pStyle w:val="Heading1"/>
              <w:numPr>
                <w:ilvl w:val="0"/>
                <w:numId w:val="0"/>
              </w:numPr>
              <w:rPr>
                <w:rFonts w:ascii="Arial" w:hAnsi="Arial"/>
                <w:sz w:val="20"/>
              </w:rPr>
            </w:pPr>
            <w:r>
              <w:rPr>
                <w:rFonts w:ascii="Arial" w:hAnsi="Arial"/>
                <w:sz w:val="20"/>
              </w:rPr>
              <w:t>Then</w:t>
            </w:r>
          </w:p>
        </w:tc>
        <w:tc>
          <w:tcPr>
            <w:tcW w:w="2865" w:type="dxa"/>
            <w:tcBorders>
              <w:top w:val="single" w:sz="4" w:space="0" w:color="auto"/>
              <w:left w:val="single" w:sz="4" w:space="0" w:color="auto"/>
              <w:bottom w:val="single" w:sz="4" w:space="0" w:color="auto"/>
              <w:right w:val="single" w:sz="4" w:space="0" w:color="auto"/>
            </w:tcBorders>
            <w:shd w:val="clear" w:color="auto" w:fill="F3F3F3"/>
          </w:tcPr>
          <w:p w:rsidR="00326702" w:rsidRDefault="00326702">
            <w:pPr>
              <w:pStyle w:val="Heading1"/>
              <w:numPr>
                <w:ilvl w:val="0"/>
                <w:numId w:val="0"/>
              </w:numPr>
              <w:rPr>
                <w:rFonts w:ascii="Arial" w:hAnsi="Arial"/>
                <w:sz w:val="20"/>
              </w:rPr>
            </w:pPr>
            <w:r>
              <w:rPr>
                <w:rFonts w:ascii="Arial" w:hAnsi="Arial"/>
                <w:sz w:val="20"/>
              </w:rPr>
              <w:t xml:space="preserve">Interpret Antibody Screen </w:t>
            </w:r>
          </w:p>
        </w:tc>
      </w:tr>
      <w:tr w:rsidR="00326702">
        <w:trPr>
          <w:cantSplit/>
          <w:trHeight w:val="300"/>
        </w:trPr>
        <w:tc>
          <w:tcPr>
            <w:tcW w:w="1620" w:type="dxa"/>
            <w:vMerge/>
            <w:tcBorders>
              <w:left w:val="nil"/>
              <w:bottom w:val="nil"/>
              <w:right w:val="single" w:sz="4" w:space="0" w:color="auto"/>
            </w:tcBorders>
            <w:vAlign w:val="center"/>
          </w:tcPr>
          <w:p w:rsidR="00326702" w:rsidRDefault="00326702">
            <w:pPr>
              <w:rPr>
                <w:rFonts w:ascii="Arial" w:hAnsi="Arial" w:cs="Arial"/>
                <w:color w:val="3366FF"/>
                <w:sz w:val="20"/>
              </w:rPr>
            </w:pPr>
          </w:p>
        </w:tc>
        <w:tc>
          <w:tcPr>
            <w:tcW w:w="4140" w:type="dxa"/>
            <w:gridSpan w:val="5"/>
            <w:tcBorders>
              <w:top w:val="single" w:sz="4" w:space="0" w:color="auto"/>
              <w:left w:val="single" w:sz="4" w:space="0" w:color="auto"/>
              <w:bottom w:val="single" w:sz="4" w:space="0" w:color="auto"/>
              <w:right w:val="single" w:sz="4" w:space="0" w:color="auto"/>
            </w:tcBorders>
          </w:tcPr>
          <w:p w:rsidR="00326702" w:rsidRDefault="00326702">
            <w:pPr>
              <w:pStyle w:val="TableText"/>
              <w:rPr>
                <w:rFonts w:ascii="Arial" w:hAnsi="Arial" w:cs="Arial"/>
              </w:rPr>
            </w:pPr>
            <w:r>
              <w:rPr>
                <w:rFonts w:ascii="Arial" w:hAnsi="Arial" w:cs="Arial"/>
              </w:rPr>
              <w:t xml:space="preserve">No hemolysis or no agglutination with complete sedimentation of all red cells to the bottom of </w:t>
            </w:r>
            <w:proofErr w:type="spellStart"/>
            <w:r>
              <w:rPr>
                <w:rFonts w:ascii="Arial" w:hAnsi="Arial" w:cs="Arial"/>
              </w:rPr>
              <w:t>microtube</w:t>
            </w:r>
            <w:proofErr w:type="spellEnd"/>
            <w:r>
              <w:rPr>
                <w:rFonts w:ascii="Arial" w:hAnsi="Arial" w:cs="Arial"/>
              </w:rPr>
              <w:t>.</w:t>
            </w:r>
          </w:p>
        </w:tc>
        <w:tc>
          <w:tcPr>
            <w:tcW w:w="2355" w:type="dxa"/>
            <w:gridSpan w:val="3"/>
            <w:tcBorders>
              <w:top w:val="single" w:sz="4" w:space="0" w:color="auto"/>
              <w:left w:val="single" w:sz="4" w:space="0" w:color="auto"/>
              <w:bottom w:val="single" w:sz="4" w:space="0" w:color="auto"/>
              <w:right w:val="nil"/>
            </w:tcBorders>
          </w:tcPr>
          <w:p w:rsidR="00326702" w:rsidRDefault="00326702">
            <w:pPr>
              <w:pStyle w:val="TableText"/>
              <w:rPr>
                <w:rFonts w:ascii="Arial" w:hAnsi="Arial" w:cs="Arial"/>
              </w:rPr>
            </w:pPr>
            <w:r>
              <w:rPr>
                <w:rFonts w:ascii="Arial" w:hAnsi="Arial" w:cs="Arial"/>
              </w:rPr>
              <w:t xml:space="preserve">Antibodies not detected </w:t>
            </w:r>
          </w:p>
        </w:tc>
        <w:tc>
          <w:tcPr>
            <w:tcW w:w="2865" w:type="dxa"/>
            <w:tcBorders>
              <w:top w:val="single" w:sz="4" w:space="0" w:color="auto"/>
              <w:left w:val="single" w:sz="4" w:space="0" w:color="auto"/>
              <w:bottom w:val="single" w:sz="4" w:space="0" w:color="auto"/>
              <w:right w:val="single" w:sz="4" w:space="0" w:color="auto"/>
            </w:tcBorders>
          </w:tcPr>
          <w:p w:rsidR="00326702" w:rsidRDefault="00326702">
            <w:pPr>
              <w:pStyle w:val="TableText"/>
              <w:rPr>
                <w:rFonts w:ascii="Arial" w:hAnsi="Arial" w:cs="Arial"/>
              </w:rPr>
            </w:pPr>
            <w:r>
              <w:rPr>
                <w:rFonts w:ascii="Arial" w:hAnsi="Arial" w:cs="Arial"/>
              </w:rPr>
              <w:t>Negative</w:t>
            </w:r>
          </w:p>
        </w:tc>
      </w:tr>
      <w:tr w:rsidR="00326702">
        <w:trPr>
          <w:cantSplit/>
          <w:trHeight w:val="360"/>
        </w:trPr>
        <w:tc>
          <w:tcPr>
            <w:tcW w:w="1620" w:type="dxa"/>
            <w:vMerge/>
            <w:tcBorders>
              <w:left w:val="nil"/>
              <w:bottom w:val="nil"/>
              <w:right w:val="single" w:sz="4" w:space="0" w:color="auto"/>
            </w:tcBorders>
            <w:vAlign w:val="center"/>
          </w:tcPr>
          <w:p w:rsidR="00326702" w:rsidRDefault="00326702">
            <w:pPr>
              <w:rPr>
                <w:rFonts w:ascii="Arial" w:hAnsi="Arial" w:cs="Arial"/>
                <w:color w:val="3366FF"/>
                <w:sz w:val="20"/>
              </w:rPr>
            </w:pPr>
          </w:p>
        </w:tc>
        <w:tc>
          <w:tcPr>
            <w:tcW w:w="4140" w:type="dxa"/>
            <w:gridSpan w:val="5"/>
            <w:tcBorders>
              <w:top w:val="single" w:sz="4" w:space="0" w:color="auto"/>
              <w:left w:val="single" w:sz="4" w:space="0" w:color="auto"/>
              <w:bottom w:val="single" w:sz="4" w:space="0" w:color="auto"/>
              <w:right w:val="single" w:sz="4" w:space="0" w:color="auto"/>
            </w:tcBorders>
          </w:tcPr>
          <w:p w:rsidR="00326702" w:rsidRDefault="00326702">
            <w:pPr>
              <w:pStyle w:val="TableText"/>
              <w:rPr>
                <w:rFonts w:ascii="Arial" w:hAnsi="Arial" w:cs="Arial"/>
              </w:rPr>
            </w:pPr>
            <w:r>
              <w:rPr>
                <w:rFonts w:ascii="Arial" w:hAnsi="Arial" w:cs="Arial"/>
              </w:rPr>
              <w:t>Hemolysis and/or agglutination of any strength</w:t>
            </w:r>
          </w:p>
        </w:tc>
        <w:tc>
          <w:tcPr>
            <w:tcW w:w="2355" w:type="dxa"/>
            <w:gridSpan w:val="3"/>
            <w:tcBorders>
              <w:top w:val="single" w:sz="4" w:space="0" w:color="auto"/>
              <w:left w:val="single" w:sz="4" w:space="0" w:color="auto"/>
              <w:bottom w:val="single" w:sz="4" w:space="0" w:color="auto"/>
              <w:right w:val="nil"/>
            </w:tcBorders>
          </w:tcPr>
          <w:p w:rsidR="00326702" w:rsidRDefault="00326702">
            <w:pPr>
              <w:pStyle w:val="TableText"/>
              <w:rPr>
                <w:rFonts w:ascii="Arial" w:hAnsi="Arial" w:cs="Arial"/>
              </w:rPr>
            </w:pPr>
            <w:r>
              <w:rPr>
                <w:rFonts w:ascii="Arial" w:hAnsi="Arial" w:cs="Arial"/>
              </w:rPr>
              <w:t>Antibodies are present</w:t>
            </w:r>
          </w:p>
        </w:tc>
        <w:tc>
          <w:tcPr>
            <w:tcW w:w="2865" w:type="dxa"/>
            <w:tcBorders>
              <w:top w:val="single" w:sz="4" w:space="0" w:color="auto"/>
              <w:left w:val="single" w:sz="4" w:space="0" w:color="auto"/>
              <w:bottom w:val="single" w:sz="4" w:space="0" w:color="auto"/>
              <w:right w:val="single" w:sz="4" w:space="0" w:color="auto"/>
            </w:tcBorders>
          </w:tcPr>
          <w:p w:rsidR="00326702" w:rsidRDefault="00326702">
            <w:pPr>
              <w:pStyle w:val="TableText"/>
              <w:rPr>
                <w:rFonts w:ascii="Arial" w:hAnsi="Arial" w:cs="Arial"/>
              </w:rPr>
            </w:pPr>
            <w:r>
              <w:rPr>
                <w:rFonts w:ascii="Arial" w:hAnsi="Arial" w:cs="Arial"/>
              </w:rPr>
              <w:t>Positive</w:t>
            </w:r>
          </w:p>
        </w:tc>
      </w:tr>
      <w:tr w:rsidR="00326702">
        <w:trPr>
          <w:cantSplit/>
          <w:trHeight w:val="143"/>
        </w:trPr>
        <w:tc>
          <w:tcPr>
            <w:tcW w:w="1620" w:type="dxa"/>
            <w:vMerge/>
            <w:tcBorders>
              <w:left w:val="nil"/>
              <w:bottom w:val="nil"/>
              <w:right w:val="nil"/>
            </w:tcBorders>
            <w:vAlign w:val="center"/>
          </w:tcPr>
          <w:p w:rsidR="00326702" w:rsidRDefault="00326702">
            <w:pPr>
              <w:rPr>
                <w:rFonts w:ascii="Arial" w:hAnsi="Arial" w:cs="Arial"/>
                <w:color w:val="3366FF"/>
                <w:sz w:val="20"/>
              </w:rPr>
            </w:pPr>
          </w:p>
        </w:tc>
        <w:tc>
          <w:tcPr>
            <w:tcW w:w="9360" w:type="dxa"/>
            <w:gridSpan w:val="9"/>
            <w:tcBorders>
              <w:top w:val="single" w:sz="4" w:space="0" w:color="auto"/>
              <w:left w:val="nil"/>
              <w:bottom w:val="single" w:sz="12" w:space="0" w:color="C0C0C0"/>
              <w:right w:val="nil"/>
            </w:tcBorders>
          </w:tcPr>
          <w:p w:rsidR="00326702" w:rsidRDefault="00326702">
            <w:pPr>
              <w:jc w:val="left"/>
              <w:rPr>
                <w:rFonts w:ascii="Arial" w:hAnsi="Arial" w:cs="Arial"/>
                <w:sz w:val="20"/>
              </w:rPr>
            </w:pPr>
          </w:p>
          <w:p w:rsidR="000F0B18" w:rsidRDefault="000F0B18">
            <w:pPr>
              <w:jc w:val="left"/>
              <w:rPr>
                <w:rFonts w:ascii="Arial" w:hAnsi="Arial" w:cs="Arial"/>
                <w:sz w:val="20"/>
              </w:rPr>
            </w:pPr>
            <w:r>
              <w:rPr>
                <w:rFonts w:ascii="Arial" w:hAnsi="Arial" w:cs="Arial"/>
                <w:sz w:val="20"/>
              </w:rPr>
              <w:t>Agglutination of red blood cells as seen by clumps of cells caught within the gel column is a positive test and indicates the presence of an unexpected antibody (</w:t>
            </w:r>
            <w:proofErr w:type="spellStart"/>
            <w:r>
              <w:rPr>
                <w:rFonts w:ascii="Arial" w:hAnsi="Arial" w:cs="Arial"/>
                <w:sz w:val="20"/>
              </w:rPr>
              <w:t>ies</w:t>
            </w:r>
            <w:proofErr w:type="spellEnd"/>
            <w:r>
              <w:rPr>
                <w:rFonts w:ascii="Arial" w:hAnsi="Arial" w:cs="Arial"/>
                <w:sz w:val="20"/>
              </w:rPr>
              <w:t xml:space="preserve">). To grade the reaction follow procedure </w:t>
            </w:r>
            <w:r w:rsidR="00C01406">
              <w:rPr>
                <w:rFonts w:ascii="Arial" w:hAnsi="Arial" w:cs="Arial"/>
                <w:sz w:val="20"/>
              </w:rPr>
              <w:t>TS 4.09 Grading and Interpretation of Gel Card Reactions</w:t>
            </w:r>
            <w:r>
              <w:rPr>
                <w:rFonts w:ascii="Arial" w:hAnsi="Arial" w:cs="Arial"/>
                <w:sz w:val="20"/>
              </w:rPr>
              <w:t>. No agglutination is observed as a smooth surfaced button at the bottom of the gel column. This is a negative result and indicates that no unexpected antibody was detected.</w:t>
            </w:r>
          </w:p>
          <w:p w:rsidR="000F0B18" w:rsidRDefault="000F0B18">
            <w:pPr>
              <w:jc w:val="left"/>
              <w:rPr>
                <w:rFonts w:ascii="Arial" w:hAnsi="Arial" w:cs="Arial"/>
                <w:sz w:val="20"/>
              </w:rPr>
            </w:pPr>
          </w:p>
          <w:p w:rsidR="000F0B18" w:rsidRDefault="000F0B18">
            <w:pPr>
              <w:jc w:val="left"/>
              <w:rPr>
                <w:rFonts w:ascii="Arial" w:hAnsi="Arial" w:cs="Arial"/>
                <w:sz w:val="20"/>
              </w:rPr>
            </w:pPr>
            <w:r>
              <w:rPr>
                <w:rFonts w:ascii="Arial" w:hAnsi="Arial" w:cs="Arial"/>
                <w:sz w:val="20"/>
              </w:rPr>
              <w:t>Following centrifugation, IH-Cards should be read as soon as possible and results interpreted within 6 hours of processing. If unable to read within that time period, the IH-Cards can be sealed with tape and stored at 2-8° C for up to 24 hours. Further delays in reading and interpretations can lead to drying of the gel which will interfere with accurate reading of the results</w:t>
            </w:r>
          </w:p>
        </w:tc>
      </w:tr>
      <w:tr w:rsidR="00326702">
        <w:tc>
          <w:tcPr>
            <w:tcW w:w="1620" w:type="dxa"/>
            <w:tcBorders>
              <w:top w:val="nil"/>
              <w:left w:val="nil"/>
              <w:bottom w:val="nil"/>
              <w:right w:val="nil"/>
            </w:tcBorders>
          </w:tcPr>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r>
              <w:rPr>
                <w:rFonts w:ascii="Arial" w:hAnsi="Arial" w:cs="Arial"/>
                <w:b/>
                <w:bCs/>
                <w:color w:val="3366FF"/>
                <w:sz w:val="20"/>
              </w:rPr>
              <w:t>Limitations</w:t>
            </w:r>
          </w:p>
          <w:p w:rsidR="00326702" w:rsidRDefault="00326702">
            <w:pPr>
              <w:rPr>
                <w:rFonts w:ascii="Arial" w:hAnsi="Arial" w:cs="Arial"/>
                <w:b/>
                <w:bCs/>
                <w:color w:val="3366FF"/>
                <w:sz w:val="20"/>
              </w:rPr>
            </w:pPr>
          </w:p>
        </w:tc>
        <w:tc>
          <w:tcPr>
            <w:tcW w:w="9360" w:type="dxa"/>
            <w:gridSpan w:val="9"/>
            <w:tcBorders>
              <w:top w:val="single" w:sz="12" w:space="0" w:color="C0C0C0"/>
              <w:left w:val="nil"/>
              <w:bottom w:val="single" w:sz="12" w:space="0" w:color="C0C0C0"/>
              <w:right w:val="nil"/>
            </w:tcBorders>
          </w:tcPr>
          <w:p w:rsidR="00326702" w:rsidRDefault="00326702">
            <w:pPr>
              <w:pStyle w:val="Heading"/>
              <w:jc w:val="left"/>
              <w:rPr>
                <w:rFonts w:ascii="Arial" w:hAnsi="Arial"/>
                <w:b w:val="0"/>
                <w:bCs w:val="0"/>
                <w:iCs/>
                <w:sz w:val="20"/>
              </w:rPr>
            </w:pPr>
          </w:p>
          <w:p w:rsidR="00094E67" w:rsidRDefault="00094E67" w:rsidP="00326702">
            <w:pPr>
              <w:pStyle w:val="TableText"/>
              <w:numPr>
                <w:ilvl w:val="0"/>
                <w:numId w:val="9"/>
              </w:numPr>
              <w:autoSpaceDE/>
              <w:autoSpaceDN/>
              <w:rPr>
                <w:rFonts w:ascii="Arial" w:hAnsi="Arial" w:cs="Arial"/>
              </w:rPr>
            </w:pPr>
            <w:r>
              <w:rPr>
                <w:rFonts w:ascii="Arial" w:hAnsi="Arial" w:cs="Arial"/>
              </w:rPr>
              <w:t>Low frequency antigens may not always be resent on IH-Cell I-II. Therefore, negative reactions with the screening reagent red blood cells do not always indicate the absence of unexpected antibodies.</w:t>
            </w:r>
          </w:p>
          <w:p w:rsidR="00094E67" w:rsidRDefault="00094E67" w:rsidP="00326702">
            <w:pPr>
              <w:pStyle w:val="TableText"/>
              <w:numPr>
                <w:ilvl w:val="0"/>
                <w:numId w:val="9"/>
              </w:numPr>
              <w:autoSpaceDE/>
              <w:autoSpaceDN/>
              <w:rPr>
                <w:rFonts w:ascii="Arial" w:hAnsi="Arial" w:cs="Arial"/>
              </w:rPr>
            </w:pPr>
            <w:r>
              <w:rPr>
                <w:rFonts w:ascii="Arial" w:hAnsi="Arial" w:cs="Arial"/>
              </w:rPr>
              <w:t>Negative reactions indicate that the serum/plasma contains no detectable antibodies against one of the antigens present on the reagent red blood cells.</w:t>
            </w:r>
          </w:p>
          <w:p w:rsidR="00094E67" w:rsidRDefault="00094E67" w:rsidP="00326702">
            <w:pPr>
              <w:pStyle w:val="TableText"/>
              <w:numPr>
                <w:ilvl w:val="0"/>
                <w:numId w:val="9"/>
              </w:numPr>
              <w:autoSpaceDE/>
              <w:autoSpaceDN/>
              <w:rPr>
                <w:rFonts w:ascii="Arial" w:hAnsi="Arial" w:cs="Arial"/>
              </w:rPr>
            </w:pPr>
            <w:r>
              <w:rPr>
                <w:rFonts w:ascii="Arial" w:hAnsi="Arial" w:cs="Arial"/>
              </w:rPr>
              <w:t>Because some antibodies show dosage effect, the antigen density on the reagent red blood cells should be considered when evaluating the test results (homozygous or heterozygous expression). A heterozygous expression of the antigen may result in weak antibodies not being detected.</w:t>
            </w:r>
          </w:p>
          <w:p w:rsidR="00094E67" w:rsidRDefault="00094E67" w:rsidP="00326702">
            <w:pPr>
              <w:pStyle w:val="TableText"/>
              <w:numPr>
                <w:ilvl w:val="0"/>
                <w:numId w:val="9"/>
              </w:numPr>
              <w:autoSpaceDE/>
              <w:autoSpaceDN/>
              <w:rPr>
                <w:rFonts w:ascii="Arial" w:hAnsi="Arial" w:cs="Arial"/>
              </w:rPr>
            </w:pPr>
            <w:r>
              <w:rPr>
                <w:rFonts w:ascii="Arial" w:hAnsi="Arial" w:cs="Arial"/>
              </w:rPr>
              <w:t>In very rare cases, HLA-antigens within the product may lead to false positive reactions.</w:t>
            </w:r>
          </w:p>
          <w:p w:rsidR="00094E67" w:rsidRDefault="00094E67" w:rsidP="00326702">
            <w:pPr>
              <w:pStyle w:val="TableText"/>
              <w:numPr>
                <w:ilvl w:val="0"/>
                <w:numId w:val="9"/>
              </w:numPr>
              <w:autoSpaceDE/>
              <w:autoSpaceDN/>
              <w:rPr>
                <w:rFonts w:ascii="Arial" w:hAnsi="Arial" w:cs="Arial"/>
              </w:rPr>
            </w:pPr>
            <w:r>
              <w:rPr>
                <w:rFonts w:ascii="Arial" w:hAnsi="Arial" w:cs="Arial"/>
              </w:rPr>
              <w:t>The reactivity of the IH-Cells may decrease during the dating period and therefore should not be used after the expiration date. The rat of decrease in reactivity is partially dependent on individual donor characteristics that are neither controlled nor predicted by the manufacturer.</w:t>
            </w:r>
          </w:p>
          <w:p w:rsidR="00094E67" w:rsidRDefault="00094E67" w:rsidP="00326702">
            <w:pPr>
              <w:pStyle w:val="TableText"/>
              <w:numPr>
                <w:ilvl w:val="0"/>
                <w:numId w:val="9"/>
              </w:numPr>
              <w:autoSpaceDE/>
              <w:autoSpaceDN/>
              <w:rPr>
                <w:rFonts w:ascii="Arial" w:hAnsi="Arial" w:cs="Arial"/>
              </w:rPr>
            </w:pPr>
            <w:r>
              <w:rPr>
                <w:rFonts w:ascii="Arial" w:hAnsi="Arial" w:cs="Arial"/>
              </w:rPr>
              <w:t>Maintaining the air gap during pipetting and incubation is critical. Cells present in the column prior to adding serum/plasma may not come in contact with the test serum/plasma and may decrease the sensitivity of the test system.</w:t>
            </w:r>
          </w:p>
          <w:p w:rsidR="00094E67" w:rsidRDefault="00094E67" w:rsidP="00326702">
            <w:pPr>
              <w:pStyle w:val="TableText"/>
              <w:numPr>
                <w:ilvl w:val="0"/>
                <w:numId w:val="9"/>
              </w:numPr>
              <w:autoSpaceDE/>
              <w:autoSpaceDN/>
              <w:rPr>
                <w:rFonts w:ascii="Arial" w:hAnsi="Arial" w:cs="Arial"/>
              </w:rPr>
            </w:pPr>
            <w:r>
              <w:rPr>
                <w:rFonts w:ascii="Arial" w:hAnsi="Arial" w:cs="Arial"/>
              </w:rPr>
              <w:t>Erroneous an abnormal results may be caused by:</w:t>
            </w:r>
          </w:p>
          <w:p w:rsidR="00094E67" w:rsidRDefault="00094E67" w:rsidP="00326702">
            <w:pPr>
              <w:pStyle w:val="TableText"/>
              <w:numPr>
                <w:ilvl w:val="1"/>
                <w:numId w:val="9"/>
              </w:numPr>
              <w:autoSpaceDE/>
              <w:autoSpaceDN/>
              <w:rPr>
                <w:rFonts w:ascii="Arial" w:hAnsi="Arial" w:cs="Arial"/>
              </w:rPr>
            </w:pPr>
            <w:r>
              <w:rPr>
                <w:rFonts w:ascii="Arial" w:hAnsi="Arial" w:cs="Arial"/>
              </w:rPr>
              <w:t>Bacterial or chemical contamination of the blood specimens, reagents, supplementary materials and/or equipment.</w:t>
            </w:r>
          </w:p>
          <w:p w:rsidR="00094E67" w:rsidRDefault="00094E67" w:rsidP="00326702">
            <w:pPr>
              <w:pStyle w:val="TableText"/>
              <w:numPr>
                <w:ilvl w:val="1"/>
                <w:numId w:val="9"/>
              </w:numPr>
              <w:autoSpaceDE/>
              <w:autoSpaceDN/>
              <w:rPr>
                <w:rFonts w:ascii="Arial" w:hAnsi="Arial" w:cs="Arial"/>
              </w:rPr>
            </w:pPr>
            <w:r>
              <w:rPr>
                <w:rFonts w:ascii="Arial" w:hAnsi="Arial" w:cs="Arial"/>
              </w:rPr>
              <w:t>Patient medication or disease yielding a cross-reaction.</w:t>
            </w:r>
          </w:p>
          <w:p w:rsidR="00094E67" w:rsidRDefault="00094E67" w:rsidP="00326702">
            <w:pPr>
              <w:pStyle w:val="TableText"/>
              <w:numPr>
                <w:ilvl w:val="1"/>
                <w:numId w:val="9"/>
              </w:numPr>
              <w:autoSpaceDE/>
              <w:autoSpaceDN/>
              <w:rPr>
                <w:rFonts w:ascii="Arial" w:hAnsi="Arial" w:cs="Arial"/>
              </w:rPr>
            </w:pPr>
            <w:r>
              <w:rPr>
                <w:rFonts w:ascii="Arial" w:hAnsi="Arial" w:cs="Arial"/>
              </w:rPr>
              <w:t>Incomplete re-suspension of the red blood cells.</w:t>
            </w:r>
          </w:p>
          <w:p w:rsidR="00094E67" w:rsidRDefault="00094E67" w:rsidP="00326702">
            <w:pPr>
              <w:pStyle w:val="TableText"/>
              <w:numPr>
                <w:ilvl w:val="1"/>
                <w:numId w:val="9"/>
              </w:numPr>
              <w:autoSpaceDE/>
              <w:autoSpaceDN/>
              <w:rPr>
                <w:rFonts w:ascii="Arial" w:hAnsi="Arial" w:cs="Arial"/>
              </w:rPr>
            </w:pPr>
            <w:r>
              <w:rPr>
                <w:rFonts w:ascii="Arial" w:hAnsi="Arial" w:cs="Arial"/>
              </w:rPr>
              <w:t>Sample or reagent red blood cell hemolysis prior to testing</w:t>
            </w:r>
          </w:p>
          <w:p w:rsidR="00094E67" w:rsidRDefault="00094E67" w:rsidP="00326702">
            <w:pPr>
              <w:pStyle w:val="TableText"/>
              <w:numPr>
                <w:ilvl w:val="1"/>
                <w:numId w:val="9"/>
              </w:numPr>
              <w:autoSpaceDE/>
              <w:autoSpaceDN/>
              <w:rPr>
                <w:rFonts w:ascii="Arial" w:hAnsi="Arial" w:cs="Arial"/>
              </w:rPr>
            </w:pPr>
            <w:r>
              <w:rPr>
                <w:rFonts w:ascii="Arial" w:hAnsi="Arial" w:cs="Arial"/>
              </w:rPr>
              <w:t xml:space="preserve">Contamination between </w:t>
            </w:r>
            <w:proofErr w:type="spellStart"/>
            <w:r>
              <w:rPr>
                <w:rFonts w:ascii="Arial" w:hAnsi="Arial" w:cs="Arial"/>
              </w:rPr>
              <w:t>microtubes</w:t>
            </w:r>
            <w:proofErr w:type="spellEnd"/>
            <w:r>
              <w:rPr>
                <w:rFonts w:ascii="Arial" w:hAnsi="Arial" w:cs="Arial"/>
              </w:rPr>
              <w:t xml:space="preserve"> through pipetting errors.</w:t>
            </w:r>
          </w:p>
          <w:p w:rsidR="00094E67" w:rsidRDefault="00094E67" w:rsidP="00326702">
            <w:pPr>
              <w:pStyle w:val="TableText"/>
              <w:numPr>
                <w:ilvl w:val="1"/>
                <w:numId w:val="9"/>
              </w:numPr>
              <w:autoSpaceDE/>
              <w:autoSpaceDN/>
              <w:rPr>
                <w:rFonts w:ascii="Arial" w:hAnsi="Arial" w:cs="Arial"/>
              </w:rPr>
            </w:pPr>
            <w:r>
              <w:rPr>
                <w:rFonts w:ascii="Arial" w:hAnsi="Arial" w:cs="Arial"/>
              </w:rPr>
              <w:t>Grossly icteric blood samples, blood samples with abnormally high concentrations or protein or blood samples from patients who have received plasma expanders of high molecular weight may give false positive results.</w:t>
            </w:r>
          </w:p>
          <w:p w:rsidR="00333184" w:rsidRDefault="00094E67" w:rsidP="00326702">
            <w:pPr>
              <w:pStyle w:val="TableText"/>
              <w:numPr>
                <w:ilvl w:val="1"/>
                <w:numId w:val="9"/>
              </w:numPr>
              <w:autoSpaceDE/>
              <w:autoSpaceDN/>
              <w:rPr>
                <w:rFonts w:ascii="Arial" w:hAnsi="Arial" w:cs="Arial"/>
              </w:rPr>
            </w:pPr>
            <w:r>
              <w:rPr>
                <w:rFonts w:ascii="Arial" w:hAnsi="Arial" w:cs="Arial"/>
              </w:rPr>
              <w:t>Fibrin, clots, particulates or other artifacts may cause some red blood cells to be trapped at the top of the gel and cause an anomalous result. They may appear as a pinkish layer. In a negative reaction, the false appearance of a mixed field could</w:t>
            </w:r>
            <w:r w:rsidR="00333184">
              <w:rPr>
                <w:rFonts w:ascii="Arial" w:hAnsi="Arial" w:cs="Arial"/>
              </w:rPr>
              <w:t xml:space="preserve"> lead </w:t>
            </w:r>
            <w:proofErr w:type="spellStart"/>
            <w:r w:rsidR="00333184">
              <w:rPr>
                <w:rFonts w:ascii="Arial" w:hAnsi="Arial" w:cs="Arial"/>
              </w:rPr>
              <w:t>t</w:t>
            </w:r>
            <w:proofErr w:type="spellEnd"/>
            <w:r w:rsidR="00333184">
              <w:rPr>
                <w:rFonts w:ascii="Arial" w:hAnsi="Arial" w:cs="Arial"/>
              </w:rPr>
              <w:t xml:space="preserve"> misinterpretation.</w:t>
            </w:r>
          </w:p>
          <w:p w:rsidR="00094E67" w:rsidRPr="00094E67" w:rsidRDefault="00333184" w:rsidP="00326702">
            <w:pPr>
              <w:pStyle w:val="TableText"/>
              <w:numPr>
                <w:ilvl w:val="1"/>
                <w:numId w:val="9"/>
              </w:numPr>
              <w:autoSpaceDE/>
              <w:autoSpaceDN/>
              <w:rPr>
                <w:rFonts w:ascii="Arial" w:hAnsi="Arial" w:cs="Arial"/>
              </w:rPr>
            </w:pPr>
            <w:r>
              <w:rPr>
                <w:rFonts w:ascii="Arial" w:hAnsi="Arial" w:cs="Arial"/>
              </w:rPr>
              <w:t xml:space="preserve">If red blood cells (pellet at the bottom of the </w:t>
            </w:r>
            <w:proofErr w:type="spellStart"/>
            <w:r>
              <w:rPr>
                <w:rFonts w:ascii="Arial" w:hAnsi="Arial" w:cs="Arial"/>
              </w:rPr>
              <w:t>microtube</w:t>
            </w:r>
            <w:proofErr w:type="spellEnd"/>
            <w:r>
              <w:rPr>
                <w:rFonts w:ascii="Arial" w:hAnsi="Arial" w:cs="Arial"/>
              </w:rPr>
              <w:t>) are too low in concentration, they become difficult to visualize and a weak positive reaction may fail to be detected.</w:t>
            </w:r>
            <w:r w:rsidR="00094E67">
              <w:rPr>
                <w:rFonts w:ascii="Arial" w:hAnsi="Arial" w:cs="Arial"/>
              </w:rPr>
              <w:t xml:space="preserve">  </w:t>
            </w:r>
          </w:p>
          <w:p w:rsidR="00326702" w:rsidRDefault="00326702" w:rsidP="00326702">
            <w:pPr>
              <w:pStyle w:val="TableText"/>
              <w:numPr>
                <w:ilvl w:val="0"/>
                <w:numId w:val="9"/>
              </w:numPr>
              <w:autoSpaceDE/>
              <w:autoSpaceDN/>
              <w:rPr>
                <w:rFonts w:ascii="Arial" w:hAnsi="Arial" w:cs="Arial"/>
              </w:rPr>
            </w:pPr>
            <w:r>
              <w:rPr>
                <w:rFonts w:ascii="Arial" w:hAnsi="Arial" w:cs="Arial"/>
              </w:rPr>
              <w:t xml:space="preserve">In some instances of autoimmune hemolytic anemia, the antibody may be completely adsorbed into the erythrocytes and not detectable by the indirect </w:t>
            </w:r>
            <w:proofErr w:type="spellStart"/>
            <w:r>
              <w:rPr>
                <w:rFonts w:ascii="Arial" w:hAnsi="Arial" w:cs="Arial"/>
              </w:rPr>
              <w:t>antiglobulin</w:t>
            </w:r>
            <w:proofErr w:type="spellEnd"/>
            <w:r>
              <w:rPr>
                <w:rFonts w:ascii="Arial" w:hAnsi="Arial" w:cs="Arial"/>
              </w:rPr>
              <w:t xml:space="preserve"> test.</w:t>
            </w:r>
            <w:r>
              <w:rPr>
                <w:rFonts w:ascii="Arial" w:hAnsi="Arial" w:cs="Arial"/>
              </w:rPr>
              <w:tab/>
            </w:r>
          </w:p>
          <w:p w:rsidR="00326702" w:rsidRDefault="00326702" w:rsidP="00326702">
            <w:pPr>
              <w:numPr>
                <w:ilvl w:val="0"/>
                <w:numId w:val="9"/>
              </w:numPr>
              <w:rPr>
                <w:rFonts w:ascii="Arial" w:hAnsi="Arial" w:cs="Arial"/>
                <w:sz w:val="20"/>
              </w:rPr>
            </w:pPr>
            <w:proofErr w:type="spellStart"/>
            <w:r>
              <w:rPr>
                <w:rFonts w:ascii="Arial" w:hAnsi="Arial" w:cs="Arial"/>
                <w:sz w:val="20"/>
              </w:rPr>
              <w:t>Rouleaux</w:t>
            </w:r>
            <w:proofErr w:type="spellEnd"/>
            <w:r>
              <w:rPr>
                <w:rFonts w:ascii="Arial" w:hAnsi="Arial" w:cs="Arial"/>
                <w:sz w:val="20"/>
              </w:rPr>
              <w:t xml:space="preserve"> may cause false positive results. Repeat by tube testing using saline replacement technique as needed.</w:t>
            </w:r>
          </w:p>
          <w:p w:rsidR="00326702" w:rsidRDefault="00326702">
            <w:pPr>
              <w:rPr>
                <w:rFonts w:ascii="Arial" w:hAnsi="Arial" w:cs="Arial"/>
                <w:sz w:val="20"/>
              </w:rPr>
            </w:pPr>
          </w:p>
        </w:tc>
      </w:tr>
      <w:tr w:rsidR="00326702">
        <w:tc>
          <w:tcPr>
            <w:tcW w:w="1620" w:type="dxa"/>
            <w:tcBorders>
              <w:top w:val="nil"/>
              <w:left w:val="nil"/>
              <w:bottom w:val="nil"/>
              <w:right w:val="nil"/>
            </w:tcBorders>
            <w:vAlign w:val="center"/>
          </w:tcPr>
          <w:p w:rsidR="00326702" w:rsidRDefault="00326702">
            <w:pPr>
              <w:rPr>
                <w:rFonts w:ascii="Arial" w:hAnsi="Arial" w:cs="Arial"/>
                <w:b/>
                <w:bCs/>
                <w:color w:val="3366FF"/>
                <w:sz w:val="20"/>
              </w:rPr>
            </w:pPr>
            <w:r>
              <w:rPr>
                <w:rFonts w:ascii="Arial" w:hAnsi="Arial" w:cs="Arial"/>
                <w:b/>
                <w:bCs/>
                <w:color w:val="3366FF"/>
                <w:sz w:val="20"/>
              </w:rPr>
              <w:t>Alternate Procedure</w:t>
            </w:r>
          </w:p>
        </w:tc>
        <w:tc>
          <w:tcPr>
            <w:tcW w:w="9360" w:type="dxa"/>
            <w:gridSpan w:val="9"/>
            <w:tcBorders>
              <w:top w:val="single" w:sz="12" w:space="0" w:color="C0C0C0"/>
              <w:left w:val="nil"/>
              <w:bottom w:val="single" w:sz="12" w:space="0" w:color="C0C0C0"/>
              <w:right w:val="nil"/>
            </w:tcBorders>
          </w:tcPr>
          <w:p w:rsidR="00326702" w:rsidRDefault="00326702">
            <w:pPr>
              <w:pStyle w:val="Heading"/>
              <w:jc w:val="left"/>
              <w:rPr>
                <w:rFonts w:ascii="Arial" w:hAnsi="Arial"/>
                <w:b w:val="0"/>
                <w:bCs w:val="0"/>
                <w:iCs/>
                <w:sz w:val="20"/>
              </w:rPr>
            </w:pPr>
          </w:p>
          <w:p w:rsidR="00326702" w:rsidRDefault="00C01406">
            <w:pPr>
              <w:rPr>
                <w:rFonts w:ascii="Arial" w:hAnsi="Arial" w:cs="Arial"/>
                <w:color w:val="0000FF"/>
                <w:sz w:val="20"/>
              </w:rPr>
            </w:pPr>
            <w:hyperlink r:id="rId13" w:history="1">
              <w:r w:rsidR="00326702">
                <w:rPr>
                  <w:rStyle w:val="Hyperlink"/>
                  <w:rFonts w:ascii="Arial" w:hAnsi="Arial" w:cs="Arial"/>
                  <w:sz w:val="20"/>
                </w:rPr>
                <w:t>TS 4.20 Antibody screening-tube testing</w:t>
              </w:r>
            </w:hyperlink>
          </w:p>
          <w:p w:rsidR="00326702" w:rsidRDefault="00326702">
            <w:pPr>
              <w:rPr>
                <w:rFonts w:ascii="Arial" w:hAnsi="Arial" w:cs="Arial"/>
                <w:sz w:val="20"/>
              </w:rPr>
            </w:pPr>
          </w:p>
          <w:p w:rsidR="00326702" w:rsidRDefault="00326702">
            <w:pPr>
              <w:rPr>
                <w:rFonts w:ascii="Arial" w:hAnsi="Arial" w:cs="Arial"/>
                <w:sz w:val="20"/>
              </w:rPr>
            </w:pPr>
          </w:p>
        </w:tc>
      </w:tr>
      <w:tr w:rsidR="00326702">
        <w:trPr>
          <w:trHeight w:val="735"/>
        </w:trPr>
        <w:tc>
          <w:tcPr>
            <w:tcW w:w="1620" w:type="dxa"/>
            <w:tcBorders>
              <w:top w:val="nil"/>
              <w:left w:val="nil"/>
              <w:bottom w:val="nil"/>
              <w:right w:val="nil"/>
            </w:tcBorders>
            <w:vAlign w:val="center"/>
          </w:tcPr>
          <w:p w:rsidR="00326702" w:rsidRDefault="00326702">
            <w:pPr>
              <w:rPr>
                <w:rFonts w:ascii="Arial" w:hAnsi="Arial" w:cs="Arial"/>
                <w:b/>
                <w:bCs/>
                <w:color w:val="3366FF"/>
                <w:sz w:val="20"/>
              </w:rPr>
            </w:pPr>
          </w:p>
          <w:p w:rsidR="00326702" w:rsidRDefault="00326702">
            <w:pPr>
              <w:jc w:val="left"/>
              <w:rPr>
                <w:rFonts w:ascii="Arial" w:hAnsi="Arial" w:cs="Arial"/>
                <w:b/>
                <w:bCs/>
                <w:color w:val="3366FF"/>
                <w:sz w:val="20"/>
              </w:rPr>
            </w:pPr>
            <w:r>
              <w:rPr>
                <w:rFonts w:ascii="Arial" w:hAnsi="Arial" w:cs="Arial"/>
                <w:b/>
                <w:bCs/>
                <w:color w:val="3366FF"/>
                <w:sz w:val="20"/>
              </w:rPr>
              <w:t>Result Reporting</w:t>
            </w:r>
          </w:p>
        </w:tc>
        <w:tc>
          <w:tcPr>
            <w:tcW w:w="9360" w:type="dxa"/>
            <w:gridSpan w:val="9"/>
            <w:tcBorders>
              <w:top w:val="single" w:sz="12" w:space="0" w:color="C0C0C0"/>
              <w:left w:val="nil"/>
              <w:bottom w:val="single" w:sz="12" w:space="0" w:color="C0C0C0"/>
              <w:right w:val="nil"/>
            </w:tcBorders>
          </w:tcPr>
          <w:p w:rsidR="00326702" w:rsidRDefault="00326702">
            <w:pPr>
              <w:pStyle w:val="Heading"/>
              <w:jc w:val="left"/>
              <w:rPr>
                <w:rFonts w:ascii="Arial" w:hAnsi="Arial"/>
                <w:b w:val="0"/>
                <w:bCs w:val="0"/>
                <w:iCs/>
                <w:sz w:val="20"/>
              </w:rPr>
            </w:pPr>
          </w:p>
          <w:p w:rsidR="00326702" w:rsidRDefault="00326702">
            <w:pPr>
              <w:jc w:val="left"/>
              <w:rPr>
                <w:rFonts w:ascii="Arial" w:hAnsi="Arial" w:cs="Arial"/>
                <w:iCs/>
                <w:sz w:val="20"/>
              </w:rPr>
            </w:pPr>
            <w:r>
              <w:rPr>
                <w:rFonts w:ascii="Arial" w:hAnsi="Arial" w:cs="Arial"/>
                <w:iCs/>
                <w:sz w:val="20"/>
              </w:rPr>
              <w:t>TS 5.9 Entering Results for an Antibody Screening-Gel or Tube</w:t>
            </w:r>
          </w:p>
          <w:p w:rsidR="00326702" w:rsidRDefault="00326702">
            <w:pPr>
              <w:jc w:val="left"/>
              <w:rPr>
                <w:rFonts w:ascii="Arial" w:hAnsi="Arial" w:cs="Arial"/>
                <w:iCs/>
                <w:sz w:val="20"/>
              </w:rPr>
            </w:pPr>
          </w:p>
        </w:tc>
      </w:tr>
      <w:tr w:rsidR="00326702">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326702" w:rsidRDefault="00326702">
            <w:pPr>
              <w:jc w:val="left"/>
              <w:rPr>
                <w:rFonts w:ascii="Arial" w:hAnsi="Arial" w:cs="Arial"/>
                <w:b/>
                <w:bCs/>
                <w:color w:val="3366FF"/>
                <w:sz w:val="20"/>
              </w:rPr>
            </w:pPr>
          </w:p>
          <w:p w:rsidR="00326702" w:rsidRDefault="00326702">
            <w:pPr>
              <w:jc w:val="left"/>
              <w:rPr>
                <w:rFonts w:ascii="Arial" w:hAnsi="Arial" w:cs="Arial"/>
                <w:b/>
                <w:bCs/>
                <w:color w:val="3366FF"/>
                <w:sz w:val="20"/>
              </w:rPr>
            </w:pPr>
            <w:r>
              <w:rPr>
                <w:rFonts w:ascii="Arial" w:hAnsi="Arial" w:cs="Arial"/>
                <w:b/>
                <w:bCs/>
                <w:color w:val="3366FF"/>
                <w:sz w:val="20"/>
              </w:rPr>
              <w:t>References</w:t>
            </w:r>
          </w:p>
        </w:tc>
        <w:tc>
          <w:tcPr>
            <w:tcW w:w="9360" w:type="dxa"/>
            <w:gridSpan w:val="9"/>
            <w:tcBorders>
              <w:top w:val="single" w:sz="12" w:space="0" w:color="C0C0C0"/>
              <w:bottom w:val="single" w:sz="12" w:space="0" w:color="C0C0C0"/>
              <w:right w:val="nil"/>
            </w:tcBorders>
          </w:tcPr>
          <w:p w:rsidR="00326702" w:rsidRDefault="00326702">
            <w:pPr>
              <w:pStyle w:val="TableText"/>
              <w:tabs>
                <w:tab w:val="num" w:pos="540"/>
              </w:tabs>
              <w:autoSpaceDE/>
              <w:autoSpaceDN/>
              <w:rPr>
                <w:rFonts w:ascii="Arial" w:hAnsi="Arial" w:cs="Arial"/>
              </w:rPr>
            </w:pPr>
          </w:p>
          <w:p w:rsidR="00326702" w:rsidRDefault="00326702" w:rsidP="00326702">
            <w:pPr>
              <w:numPr>
                <w:ilvl w:val="0"/>
                <w:numId w:val="3"/>
              </w:numPr>
              <w:tabs>
                <w:tab w:val="clear" w:pos="720"/>
                <w:tab w:val="num" w:pos="252"/>
              </w:tabs>
              <w:ind w:hanging="720"/>
              <w:jc w:val="left"/>
              <w:rPr>
                <w:rFonts w:ascii="Arial" w:hAnsi="Arial" w:cs="Arial"/>
                <w:iCs/>
                <w:sz w:val="20"/>
              </w:rPr>
            </w:pPr>
            <w:r>
              <w:rPr>
                <w:rFonts w:ascii="Arial" w:hAnsi="Arial" w:cs="Arial"/>
                <w:sz w:val="20"/>
              </w:rPr>
              <w:t>AABB Standards for Blood Banks and Transfusion Services, current edition</w:t>
            </w:r>
          </w:p>
          <w:p w:rsidR="00326702" w:rsidRPr="00333184" w:rsidRDefault="00326702" w:rsidP="00326702">
            <w:pPr>
              <w:numPr>
                <w:ilvl w:val="0"/>
                <w:numId w:val="3"/>
              </w:numPr>
              <w:tabs>
                <w:tab w:val="clear" w:pos="720"/>
                <w:tab w:val="num" w:pos="252"/>
              </w:tabs>
              <w:ind w:hanging="720"/>
              <w:jc w:val="left"/>
              <w:rPr>
                <w:rFonts w:ascii="Arial" w:hAnsi="Arial" w:cs="Arial"/>
                <w:iCs/>
                <w:sz w:val="20"/>
              </w:rPr>
            </w:pPr>
            <w:r>
              <w:rPr>
                <w:rFonts w:ascii="Arial" w:hAnsi="Arial" w:cs="Arial"/>
                <w:sz w:val="20"/>
              </w:rPr>
              <w:t xml:space="preserve">Package insert: </w:t>
            </w:r>
            <w:r w:rsidR="00333184">
              <w:rPr>
                <w:rFonts w:ascii="Arial" w:hAnsi="Arial" w:cs="Arial"/>
                <w:sz w:val="20"/>
              </w:rPr>
              <w:t>IH-Card AHG Anti-IgG, Bio-Rad Medical Diagnostics GmbH, current edition</w:t>
            </w:r>
          </w:p>
          <w:p w:rsidR="00333184" w:rsidRDefault="00333184" w:rsidP="00326702">
            <w:pPr>
              <w:numPr>
                <w:ilvl w:val="0"/>
                <w:numId w:val="3"/>
              </w:numPr>
              <w:tabs>
                <w:tab w:val="clear" w:pos="720"/>
                <w:tab w:val="num" w:pos="252"/>
              </w:tabs>
              <w:ind w:hanging="720"/>
              <w:jc w:val="left"/>
              <w:rPr>
                <w:rFonts w:ascii="Arial" w:hAnsi="Arial" w:cs="Arial"/>
                <w:iCs/>
                <w:sz w:val="20"/>
              </w:rPr>
            </w:pPr>
            <w:r>
              <w:rPr>
                <w:rFonts w:ascii="Arial" w:hAnsi="Arial" w:cs="Arial"/>
                <w:sz w:val="20"/>
              </w:rPr>
              <w:t>Package insert: IH-Card Anti-IgG, -C3d, Bio-Rad Medical Diagnostics GmbH, current edition</w:t>
            </w:r>
          </w:p>
          <w:p w:rsidR="00326702" w:rsidRDefault="00326702" w:rsidP="00326702">
            <w:pPr>
              <w:numPr>
                <w:ilvl w:val="0"/>
                <w:numId w:val="3"/>
              </w:numPr>
              <w:tabs>
                <w:tab w:val="clear" w:pos="720"/>
                <w:tab w:val="num" w:pos="252"/>
              </w:tabs>
              <w:ind w:hanging="720"/>
              <w:jc w:val="left"/>
              <w:rPr>
                <w:rFonts w:ascii="Arial" w:hAnsi="Arial" w:cs="Arial"/>
                <w:iCs/>
                <w:sz w:val="20"/>
              </w:rPr>
            </w:pPr>
            <w:r>
              <w:rPr>
                <w:rFonts w:ascii="Arial" w:hAnsi="Arial" w:cs="Arial"/>
                <w:sz w:val="20"/>
              </w:rPr>
              <w:t xml:space="preserve">Package insert: </w:t>
            </w:r>
            <w:r w:rsidR="00333184">
              <w:rPr>
                <w:rFonts w:ascii="Arial" w:hAnsi="Arial" w:cs="Arial"/>
                <w:sz w:val="20"/>
              </w:rPr>
              <w:t>IH-Cell I II, Bio-Rad Medical Diagnostics GmbH, current edition</w:t>
            </w:r>
          </w:p>
          <w:p w:rsidR="00326702" w:rsidRDefault="00326702" w:rsidP="00333184">
            <w:pPr>
              <w:jc w:val="left"/>
              <w:rPr>
                <w:rFonts w:ascii="Arial" w:hAnsi="Arial" w:cs="Arial"/>
                <w:iCs/>
              </w:rPr>
            </w:pPr>
          </w:p>
        </w:tc>
      </w:tr>
      <w:tr w:rsidR="0032670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326702" w:rsidRDefault="00326702">
            <w:pPr>
              <w:rPr>
                <w:rFonts w:ascii="Arial" w:hAnsi="Arial" w:cs="Arial"/>
                <w:b/>
                <w:bCs/>
                <w:color w:val="3366FF"/>
                <w:sz w:val="20"/>
              </w:rPr>
            </w:pPr>
          </w:p>
          <w:p w:rsidR="00326702" w:rsidRDefault="00326702">
            <w:pPr>
              <w:jc w:val="left"/>
              <w:rPr>
                <w:rFonts w:ascii="Arial" w:hAnsi="Arial" w:cs="Arial"/>
                <w:b/>
                <w:bCs/>
                <w:color w:val="3366FF"/>
                <w:sz w:val="20"/>
              </w:rPr>
            </w:pPr>
            <w:r>
              <w:rPr>
                <w:rFonts w:ascii="Arial" w:hAnsi="Arial" w:cs="Arial"/>
                <w:b/>
                <w:bCs/>
                <w:color w:val="3366FF"/>
                <w:sz w:val="20"/>
              </w:rPr>
              <w:t>Appendices</w:t>
            </w:r>
          </w:p>
          <w:p w:rsidR="00326702" w:rsidRDefault="00326702">
            <w:pPr>
              <w:rPr>
                <w:rFonts w:ascii="Arial" w:hAnsi="Arial" w:cs="Arial"/>
                <w:b/>
                <w:bCs/>
                <w:color w:val="3366FF"/>
                <w:sz w:val="20"/>
              </w:rPr>
            </w:pPr>
          </w:p>
        </w:tc>
        <w:tc>
          <w:tcPr>
            <w:tcW w:w="9360" w:type="dxa"/>
            <w:gridSpan w:val="9"/>
            <w:tcBorders>
              <w:top w:val="single" w:sz="12" w:space="0" w:color="C0C0C0"/>
              <w:bottom w:val="single" w:sz="12" w:space="0" w:color="C0C0C0"/>
              <w:right w:val="nil"/>
            </w:tcBorders>
          </w:tcPr>
          <w:p w:rsidR="00326702" w:rsidRDefault="00326702">
            <w:pPr>
              <w:jc w:val="left"/>
              <w:rPr>
                <w:rFonts w:ascii="Arial" w:hAnsi="Arial" w:cs="Arial"/>
                <w:iCs/>
                <w:sz w:val="20"/>
              </w:rPr>
            </w:pPr>
          </w:p>
          <w:p w:rsidR="00326702" w:rsidRDefault="00C01406">
            <w:pPr>
              <w:pStyle w:val="TableText"/>
              <w:autoSpaceDE/>
              <w:autoSpaceDN/>
              <w:rPr>
                <w:rFonts w:ascii="Arial" w:hAnsi="Arial" w:cs="Arial"/>
                <w:iCs/>
              </w:rPr>
            </w:pPr>
            <w:hyperlink w:anchor="Appendix_A" w:history="1">
              <w:r w:rsidR="00326702">
                <w:rPr>
                  <w:rStyle w:val="Hyperlink"/>
                  <w:rFonts w:ascii="Arial" w:hAnsi="Arial" w:cs="Arial"/>
                </w:rPr>
                <w:t>Appendix A</w:t>
              </w:r>
            </w:hyperlink>
            <w:r w:rsidR="00326702">
              <w:rPr>
                <w:rFonts w:ascii="Arial" w:hAnsi="Arial" w:cs="Arial"/>
              </w:rPr>
              <w:t>: Antibody Screen Results Comparison table</w:t>
            </w:r>
          </w:p>
          <w:p w:rsidR="00326702" w:rsidRDefault="00326702">
            <w:pPr>
              <w:rPr>
                <w:rFonts w:ascii="Arial" w:hAnsi="Arial" w:cs="Arial"/>
                <w:iCs/>
                <w:sz w:val="20"/>
              </w:rPr>
            </w:pPr>
          </w:p>
        </w:tc>
      </w:tr>
      <w:tr w:rsidR="00326702">
        <w:tblPrEx>
          <w:tblBorders>
            <w:top w:val="none" w:sz="0" w:space="0" w:color="auto"/>
            <w:left w:val="none" w:sz="0" w:space="0" w:color="auto"/>
            <w:right w:val="none" w:sz="0" w:space="0" w:color="auto"/>
            <w:insideH w:val="none" w:sz="0" w:space="0" w:color="auto"/>
            <w:insideV w:val="none" w:sz="0" w:space="0" w:color="auto"/>
          </w:tblBorders>
        </w:tblPrEx>
        <w:trPr>
          <w:trHeight w:val="195"/>
        </w:trPr>
        <w:tc>
          <w:tcPr>
            <w:tcW w:w="1620" w:type="dxa"/>
            <w:tcBorders>
              <w:top w:val="nil"/>
              <w:left w:val="nil"/>
              <w:bottom w:val="nil"/>
            </w:tcBorders>
          </w:tcPr>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p>
          <w:p w:rsidR="00326702" w:rsidRDefault="00326702">
            <w:pPr>
              <w:rPr>
                <w:rFonts w:ascii="Arial" w:hAnsi="Arial" w:cs="Arial"/>
                <w:b/>
                <w:bCs/>
                <w:color w:val="3366FF"/>
                <w:sz w:val="20"/>
              </w:rPr>
            </w:pPr>
            <w:r>
              <w:rPr>
                <w:rFonts w:ascii="Arial" w:hAnsi="Arial" w:cs="Arial"/>
                <w:b/>
                <w:bCs/>
                <w:color w:val="3366FF"/>
                <w:sz w:val="20"/>
              </w:rPr>
              <w:t>Approval</w:t>
            </w:r>
          </w:p>
          <w:p w:rsidR="00326702" w:rsidRDefault="00326702">
            <w:pPr>
              <w:rPr>
                <w:rFonts w:ascii="Arial" w:hAnsi="Arial" w:cs="Arial"/>
                <w:b/>
                <w:bCs/>
                <w:color w:val="3366FF"/>
                <w:sz w:val="20"/>
              </w:rPr>
            </w:pPr>
            <w:r>
              <w:rPr>
                <w:rFonts w:ascii="Arial" w:hAnsi="Arial" w:cs="Arial"/>
                <w:b/>
                <w:bCs/>
                <w:color w:val="3366FF"/>
                <w:sz w:val="20"/>
              </w:rPr>
              <w:t>Workflow</w:t>
            </w:r>
          </w:p>
        </w:tc>
        <w:tc>
          <w:tcPr>
            <w:tcW w:w="9360" w:type="dxa"/>
            <w:gridSpan w:val="9"/>
            <w:tcBorders>
              <w:top w:val="single" w:sz="12" w:space="0" w:color="C0C0C0"/>
              <w:bottom w:val="single" w:sz="12" w:space="0" w:color="C0C0C0"/>
              <w:right w:val="nil"/>
            </w:tcBorders>
          </w:tcPr>
          <w:p w:rsidR="00326702" w:rsidRDefault="00326702">
            <w:pPr>
              <w:jc w:val="left"/>
              <w:rPr>
                <w:rFonts w:ascii="Arial" w:hAnsi="Arial" w:cs="Arial"/>
                <w:iCs/>
                <w:sz w:val="20"/>
              </w:rPr>
            </w:pPr>
          </w:p>
          <w:p w:rsidR="00326702" w:rsidRDefault="00326702">
            <w:pPr>
              <w:jc w:val="left"/>
              <w:rPr>
                <w:rFonts w:ascii="Arial" w:hAnsi="Arial" w:cs="Arial"/>
                <w:iCs/>
                <w:sz w:val="20"/>
              </w:rPr>
            </w:pPr>
          </w:p>
          <w:p w:rsidR="00326702" w:rsidRDefault="00326702">
            <w:pPr>
              <w:jc w:val="left"/>
              <w:rPr>
                <w:rFonts w:ascii="Arial" w:hAnsi="Arial" w:cs="Arial"/>
                <w:iCs/>
                <w:sz w:val="20"/>
              </w:rPr>
            </w:pPr>
            <w:r>
              <w:rPr>
                <w:rFonts w:ascii="Arial" w:hAnsi="Arial" w:cs="Arial"/>
                <w:iCs/>
                <w:sz w:val="20"/>
              </w:rPr>
              <w:t>Transfusion Service/Laboratory Director</w:t>
            </w:r>
          </w:p>
          <w:p w:rsidR="00326702" w:rsidRDefault="00326702">
            <w:pPr>
              <w:jc w:val="left"/>
              <w:rPr>
                <w:rFonts w:ascii="Arial" w:hAnsi="Arial" w:cs="Arial"/>
                <w:iCs/>
                <w:sz w:val="20"/>
              </w:rPr>
            </w:pPr>
          </w:p>
        </w:tc>
      </w:tr>
      <w:tr w:rsidR="00326702">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326702" w:rsidRDefault="00326702">
            <w:pPr>
              <w:rPr>
                <w:rFonts w:ascii="Arial" w:hAnsi="Arial" w:cs="Arial"/>
                <w:color w:val="3366FF"/>
                <w:sz w:val="20"/>
              </w:rPr>
            </w:pPr>
          </w:p>
        </w:tc>
        <w:tc>
          <w:tcPr>
            <w:tcW w:w="9360" w:type="dxa"/>
            <w:gridSpan w:val="9"/>
            <w:tcBorders>
              <w:top w:val="single" w:sz="12" w:space="0" w:color="C0C0C0"/>
              <w:bottom w:val="single" w:sz="4" w:space="0" w:color="auto"/>
              <w:right w:val="nil"/>
            </w:tcBorders>
          </w:tcPr>
          <w:p w:rsidR="00326702" w:rsidRDefault="00326702">
            <w:pPr>
              <w:pStyle w:val="TableText"/>
              <w:autoSpaceDE/>
              <w:autoSpaceDN/>
              <w:rPr>
                <w:rFonts w:ascii="Arial" w:hAnsi="Arial" w:cs="Arial"/>
                <w:iCs/>
              </w:rPr>
            </w:pPr>
          </w:p>
        </w:tc>
      </w:tr>
      <w:tr w:rsidR="0032670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326702" w:rsidRDefault="00326702">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326702" w:rsidRDefault="00326702">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326702" w:rsidRDefault="00326702">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rsidR="00326702" w:rsidRDefault="00326702">
            <w:pPr>
              <w:jc w:val="left"/>
              <w:rPr>
                <w:rFonts w:ascii="Arial" w:hAnsi="Arial" w:cs="Arial"/>
                <w:b/>
                <w:bCs/>
                <w:iCs/>
                <w:sz w:val="20"/>
              </w:rPr>
            </w:pPr>
            <w:r>
              <w:rPr>
                <w:rFonts w:ascii="Arial" w:hAnsi="Arial" w:cs="Arial"/>
                <w:b/>
                <w:bCs/>
                <w:iCs/>
                <w:sz w:val="20"/>
              </w:rPr>
              <w:t>Effective Date:</w:t>
            </w:r>
          </w:p>
        </w:tc>
        <w:tc>
          <w:tcPr>
            <w:tcW w:w="3960" w:type="dxa"/>
            <w:gridSpan w:val="3"/>
            <w:tcBorders>
              <w:top w:val="single" w:sz="4" w:space="0" w:color="auto"/>
              <w:left w:val="single" w:sz="4" w:space="0" w:color="auto"/>
              <w:bottom w:val="single" w:sz="4" w:space="0" w:color="auto"/>
              <w:right w:val="single" w:sz="4" w:space="0" w:color="auto"/>
            </w:tcBorders>
          </w:tcPr>
          <w:p w:rsidR="00326702" w:rsidRDefault="00326702">
            <w:pPr>
              <w:jc w:val="left"/>
              <w:rPr>
                <w:rFonts w:ascii="Arial" w:hAnsi="Arial" w:cs="Arial"/>
                <w:b/>
                <w:bCs/>
                <w:iCs/>
                <w:sz w:val="20"/>
              </w:rPr>
            </w:pPr>
            <w:r>
              <w:rPr>
                <w:rFonts w:ascii="Arial" w:hAnsi="Arial" w:cs="Arial"/>
                <w:b/>
                <w:bCs/>
                <w:iCs/>
                <w:sz w:val="20"/>
              </w:rPr>
              <w:t>Summary of Revisions</w:t>
            </w:r>
          </w:p>
        </w:tc>
      </w:tr>
      <w:tr w:rsidR="0032670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4" w:space="0" w:color="auto"/>
              <w:left w:val="nil"/>
              <w:bottom w:val="nil"/>
              <w:right w:val="single" w:sz="2" w:space="0" w:color="auto"/>
            </w:tcBorders>
          </w:tcPr>
          <w:p w:rsidR="00326702" w:rsidRDefault="00326702">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326702" w:rsidRDefault="00C01406">
            <w:pPr>
              <w:jc w:val="center"/>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326702" w:rsidRDefault="00333184">
            <w:pPr>
              <w:rPr>
                <w:rFonts w:ascii="Arial" w:hAnsi="Arial" w:cs="Arial"/>
                <w:sz w:val="20"/>
              </w:rPr>
            </w:pPr>
            <w:r>
              <w:rPr>
                <w:rFonts w:ascii="Arial" w:hAnsi="Arial" w:cs="Arial"/>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rsidR="00326702" w:rsidRDefault="00C01406">
            <w:pPr>
              <w:rPr>
                <w:rFonts w:ascii="Arial" w:hAnsi="Arial" w:cs="Arial"/>
                <w:sz w:val="20"/>
              </w:rPr>
            </w:pPr>
            <w:r>
              <w:rPr>
                <w:rFonts w:ascii="Arial" w:hAnsi="Arial" w:cs="Arial"/>
                <w:sz w:val="20"/>
              </w:rPr>
              <w:t>02/17/2023</w:t>
            </w:r>
          </w:p>
        </w:tc>
        <w:tc>
          <w:tcPr>
            <w:tcW w:w="3960" w:type="dxa"/>
            <w:gridSpan w:val="3"/>
            <w:tcBorders>
              <w:top w:val="single" w:sz="4" w:space="0" w:color="auto"/>
              <w:left w:val="single" w:sz="4" w:space="0" w:color="auto"/>
              <w:bottom w:val="single" w:sz="4" w:space="0" w:color="auto"/>
              <w:right w:val="single" w:sz="4" w:space="0" w:color="auto"/>
            </w:tcBorders>
          </w:tcPr>
          <w:p w:rsidR="00326702" w:rsidRDefault="00C01406">
            <w:pPr>
              <w:rPr>
                <w:rFonts w:ascii="Arial" w:hAnsi="Arial" w:cs="Arial"/>
                <w:sz w:val="20"/>
              </w:rPr>
            </w:pPr>
            <w:r>
              <w:rPr>
                <w:rFonts w:ascii="Arial" w:hAnsi="Arial" w:cs="Arial"/>
                <w:sz w:val="20"/>
              </w:rPr>
              <w:t>Updated procedure for new reagents and change format from PDF</w:t>
            </w:r>
          </w:p>
        </w:tc>
      </w:tr>
    </w:tbl>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C01406" w:rsidRDefault="00C01406">
      <w:pPr>
        <w:pStyle w:val="Header"/>
        <w:tabs>
          <w:tab w:val="clear" w:pos="4320"/>
          <w:tab w:val="clear" w:pos="8640"/>
        </w:tabs>
        <w:rPr>
          <w:rFonts w:ascii="Arial" w:hAnsi="Arial" w:cs="Arial"/>
        </w:rPr>
      </w:pPr>
    </w:p>
    <w:p w:rsidR="00C01406" w:rsidRDefault="00C01406">
      <w:pPr>
        <w:pStyle w:val="Header"/>
        <w:tabs>
          <w:tab w:val="clear" w:pos="4320"/>
          <w:tab w:val="clear" w:pos="8640"/>
        </w:tabs>
        <w:rPr>
          <w:rFonts w:ascii="Arial" w:hAnsi="Arial" w:cs="Arial"/>
        </w:rPr>
      </w:pPr>
    </w:p>
    <w:p w:rsidR="00C01406" w:rsidRDefault="00C01406">
      <w:pPr>
        <w:pStyle w:val="Header"/>
        <w:tabs>
          <w:tab w:val="clear" w:pos="4320"/>
          <w:tab w:val="clear" w:pos="8640"/>
        </w:tabs>
        <w:rPr>
          <w:rFonts w:ascii="Arial" w:hAnsi="Arial" w:cs="Arial"/>
        </w:rPr>
      </w:pPr>
    </w:p>
    <w:p w:rsidR="00C01406" w:rsidRDefault="00C01406">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ing1"/>
        <w:numPr>
          <w:ilvl w:val="0"/>
          <w:numId w:val="0"/>
        </w:numPr>
        <w:rPr>
          <w:rFonts w:ascii="Arial" w:hAnsi="Arial"/>
        </w:rPr>
      </w:pPr>
      <w:bookmarkStart w:id="1" w:name="Appendix_A"/>
      <w:r>
        <w:rPr>
          <w:rFonts w:ascii="Arial" w:hAnsi="Arial"/>
        </w:rPr>
        <w:lastRenderedPageBreak/>
        <w:t>Appendix A</w:t>
      </w:r>
      <w:bookmarkEnd w:id="1"/>
      <w:r>
        <w:rPr>
          <w:rFonts w:ascii="Arial" w:hAnsi="Arial"/>
        </w:rPr>
        <w:t>: Antibody Screen Results Comparison Table</w:t>
      </w:r>
    </w:p>
    <w:p w:rsidR="00326702" w:rsidRDefault="00326702">
      <w:pPr>
        <w:rPr>
          <w:rFonts w:ascii="Arial" w:hAnsi="Arial" w:cs="Arial"/>
          <w:b/>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112"/>
        <w:gridCol w:w="4708"/>
      </w:tblGrid>
      <w:tr w:rsidR="00326702">
        <w:tc>
          <w:tcPr>
            <w:tcW w:w="2340" w:type="dxa"/>
            <w:shd w:val="clear" w:color="auto" w:fill="F3F3F3"/>
          </w:tcPr>
          <w:p w:rsidR="00326702" w:rsidRDefault="00326702">
            <w:pPr>
              <w:rPr>
                <w:rFonts w:ascii="Arial" w:hAnsi="Arial" w:cs="Arial"/>
                <w:b/>
                <w:bCs/>
                <w:sz w:val="20"/>
              </w:rPr>
            </w:pPr>
            <w:r>
              <w:rPr>
                <w:rFonts w:ascii="Arial" w:hAnsi="Arial" w:cs="Arial"/>
                <w:b/>
                <w:bCs/>
                <w:sz w:val="20"/>
              </w:rPr>
              <w:t>If the current antibody screen is negative</w:t>
            </w:r>
          </w:p>
        </w:tc>
        <w:tc>
          <w:tcPr>
            <w:tcW w:w="4112" w:type="dxa"/>
            <w:shd w:val="clear" w:color="auto" w:fill="F3F3F3"/>
          </w:tcPr>
          <w:p w:rsidR="00326702" w:rsidRDefault="00326702">
            <w:pPr>
              <w:rPr>
                <w:rFonts w:ascii="Arial" w:hAnsi="Arial" w:cs="Arial"/>
                <w:b/>
                <w:bCs/>
                <w:sz w:val="20"/>
              </w:rPr>
            </w:pPr>
            <w:r>
              <w:rPr>
                <w:rFonts w:ascii="Arial" w:hAnsi="Arial" w:cs="Arial"/>
                <w:b/>
                <w:bCs/>
                <w:sz w:val="20"/>
              </w:rPr>
              <w:t>And if a previous antibody screen result was</w:t>
            </w:r>
          </w:p>
        </w:tc>
        <w:tc>
          <w:tcPr>
            <w:tcW w:w="4708" w:type="dxa"/>
            <w:shd w:val="clear" w:color="auto" w:fill="F3F3F3"/>
          </w:tcPr>
          <w:p w:rsidR="00326702" w:rsidRDefault="00326702">
            <w:pPr>
              <w:rPr>
                <w:rFonts w:ascii="Arial" w:hAnsi="Arial" w:cs="Arial"/>
                <w:b/>
                <w:bCs/>
                <w:sz w:val="20"/>
              </w:rPr>
            </w:pPr>
            <w:r>
              <w:rPr>
                <w:rFonts w:ascii="Arial" w:hAnsi="Arial" w:cs="Arial"/>
                <w:b/>
                <w:bCs/>
                <w:sz w:val="20"/>
              </w:rPr>
              <w:t>Then</w:t>
            </w:r>
          </w:p>
        </w:tc>
      </w:tr>
      <w:tr w:rsidR="00326702">
        <w:trPr>
          <w:cantSplit/>
          <w:trHeight w:val="435"/>
        </w:trPr>
        <w:tc>
          <w:tcPr>
            <w:tcW w:w="2340" w:type="dxa"/>
            <w:vMerge w:val="restart"/>
          </w:tcPr>
          <w:p w:rsidR="00326702" w:rsidRDefault="00326702">
            <w:pPr>
              <w:pStyle w:val="Header"/>
              <w:tabs>
                <w:tab w:val="clear" w:pos="4320"/>
                <w:tab w:val="clear" w:pos="8640"/>
              </w:tabs>
              <w:rPr>
                <w:rFonts w:ascii="Arial" w:hAnsi="Arial" w:cs="Arial"/>
                <w:sz w:val="20"/>
              </w:rPr>
            </w:pPr>
            <w:r>
              <w:rPr>
                <w:rFonts w:ascii="Arial" w:hAnsi="Arial" w:cs="Arial"/>
                <w:sz w:val="20"/>
              </w:rPr>
              <w:t>Negative</w:t>
            </w:r>
          </w:p>
        </w:tc>
        <w:tc>
          <w:tcPr>
            <w:tcW w:w="4112" w:type="dxa"/>
          </w:tcPr>
          <w:p w:rsidR="00326702" w:rsidRDefault="00326702" w:rsidP="00326702">
            <w:pPr>
              <w:numPr>
                <w:ilvl w:val="0"/>
                <w:numId w:val="7"/>
              </w:numPr>
              <w:rPr>
                <w:rFonts w:ascii="Arial" w:hAnsi="Arial" w:cs="Arial"/>
                <w:sz w:val="20"/>
              </w:rPr>
            </w:pPr>
            <w:r>
              <w:rPr>
                <w:rFonts w:ascii="Arial" w:hAnsi="Arial" w:cs="Arial"/>
                <w:sz w:val="20"/>
              </w:rPr>
              <w:t>Negative</w:t>
            </w:r>
          </w:p>
          <w:p w:rsidR="00326702" w:rsidRDefault="00326702" w:rsidP="00326702">
            <w:pPr>
              <w:numPr>
                <w:ilvl w:val="0"/>
                <w:numId w:val="7"/>
              </w:numPr>
              <w:rPr>
                <w:rFonts w:ascii="Arial" w:hAnsi="Arial" w:cs="Arial"/>
                <w:b/>
                <w:bCs/>
                <w:sz w:val="20"/>
              </w:rPr>
            </w:pPr>
            <w:r>
              <w:rPr>
                <w:rFonts w:ascii="Arial" w:hAnsi="Arial" w:cs="Arial"/>
                <w:sz w:val="20"/>
              </w:rPr>
              <w:t>Not found</w:t>
            </w:r>
          </w:p>
        </w:tc>
        <w:tc>
          <w:tcPr>
            <w:tcW w:w="4708" w:type="dxa"/>
          </w:tcPr>
          <w:p w:rsidR="00326702" w:rsidRDefault="00326702" w:rsidP="00326702">
            <w:pPr>
              <w:numPr>
                <w:ilvl w:val="0"/>
                <w:numId w:val="7"/>
              </w:numPr>
              <w:rPr>
                <w:rFonts w:ascii="Arial" w:hAnsi="Arial" w:cs="Arial"/>
                <w:sz w:val="20"/>
              </w:rPr>
            </w:pPr>
            <w:r>
              <w:rPr>
                <w:rFonts w:ascii="Arial" w:hAnsi="Arial" w:cs="Arial"/>
                <w:sz w:val="20"/>
              </w:rPr>
              <w:t>Record the results</w:t>
            </w:r>
          </w:p>
        </w:tc>
      </w:tr>
      <w:tr w:rsidR="00326702">
        <w:trPr>
          <w:cantSplit/>
          <w:trHeight w:val="675"/>
        </w:trPr>
        <w:tc>
          <w:tcPr>
            <w:tcW w:w="2340" w:type="dxa"/>
            <w:vMerge/>
          </w:tcPr>
          <w:p w:rsidR="00326702" w:rsidRDefault="00326702">
            <w:pPr>
              <w:pStyle w:val="Header"/>
              <w:tabs>
                <w:tab w:val="clear" w:pos="4320"/>
                <w:tab w:val="clear" w:pos="8640"/>
              </w:tabs>
              <w:rPr>
                <w:rFonts w:ascii="Arial" w:hAnsi="Arial" w:cs="Arial"/>
                <w:sz w:val="20"/>
              </w:rPr>
            </w:pPr>
          </w:p>
        </w:tc>
        <w:tc>
          <w:tcPr>
            <w:tcW w:w="4112" w:type="dxa"/>
          </w:tcPr>
          <w:p w:rsidR="00326702" w:rsidRDefault="00326702" w:rsidP="00326702">
            <w:pPr>
              <w:numPr>
                <w:ilvl w:val="0"/>
                <w:numId w:val="7"/>
              </w:numPr>
              <w:jc w:val="left"/>
              <w:rPr>
                <w:rFonts w:ascii="Arial" w:hAnsi="Arial" w:cs="Arial"/>
                <w:b/>
                <w:bCs/>
                <w:sz w:val="20"/>
              </w:rPr>
            </w:pPr>
            <w:r>
              <w:rPr>
                <w:rFonts w:ascii="Arial" w:hAnsi="Arial" w:cs="Arial"/>
                <w:sz w:val="20"/>
              </w:rPr>
              <w:t>A history of clinically significant antibodies</w:t>
            </w:r>
          </w:p>
          <w:p w:rsidR="00326702" w:rsidRDefault="00326702">
            <w:pPr>
              <w:rPr>
                <w:rFonts w:ascii="Arial" w:hAnsi="Arial" w:cs="Arial"/>
                <w:b/>
                <w:bCs/>
                <w:sz w:val="20"/>
              </w:rPr>
            </w:pPr>
          </w:p>
        </w:tc>
        <w:tc>
          <w:tcPr>
            <w:tcW w:w="4708" w:type="dxa"/>
          </w:tcPr>
          <w:p w:rsidR="00326702" w:rsidRDefault="00326702" w:rsidP="00326702">
            <w:pPr>
              <w:numPr>
                <w:ilvl w:val="0"/>
                <w:numId w:val="7"/>
              </w:numPr>
              <w:jc w:val="left"/>
              <w:rPr>
                <w:rFonts w:ascii="Arial" w:hAnsi="Arial" w:cs="Arial"/>
                <w:sz w:val="20"/>
              </w:rPr>
            </w:pPr>
            <w:r>
              <w:rPr>
                <w:rFonts w:ascii="Arial" w:hAnsi="Arial" w:cs="Arial"/>
                <w:sz w:val="20"/>
              </w:rPr>
              <w:t>Reconfirm the patient sample</w:t>
            </w:r>
          </w:p>
          <w:p w:rsidR="00326702" w:rsidRDefault="00326702" w:rsidP="00326702">
            <w:pPr>
              <w:numPr>
                <w:ilvl w:val="0"/>
                <w:numId w:val="7"/>
              </w:numPr>
              <w:jc w:val="left"/>
              <w:rPr>
                <w:rFonts w:ascii="Arial" w:hAnsi="Arial" w:cs="Arial"/>
                <w:sz w:val="20"/>
              </w:rPr>
            </w:pPr>
            <w:r>
              <w:rPr>
                <w:rFonts w:ascii="Arial" w:hAnsi="Arial" w:cs="Arial"/>
                <w:sz w:val="20"/>
              </w:rPr>
              <w:t>Check the date of the antibody identification (Note: Most clinically significant antibodies should still be reactive if the previous identification is recent)</w:t>
            </w:r>
          </w:p>
          <w:p w:rsidR="00326702" w:rsidRDefault="00326702" w:rsidP="00326702">
            <w:pPr>
              <w:numPr>
                <w:ilvl w:val="0"/>
                <w:numId w:val="7"/>
              </w:numPr>
              <w:jc w:val="left"/>
              <w:rPr>
                <w:rFonts w:ascii="Arial" w:hAnsi="Arial" w:cs="Arial"/>
                <w:sz w:val="20"/>
              </w:rPr>
            </w:pPr>
            <w:r>
              <w:rPr>
                <w:rFonts w:ascii="Arial" w:hAnsi="Arial" w:cs="Arial"/>
                <w:sz w:val="20"/>
              </w:rPr>
              <w:t>Repeat the antibody screen by gel or tube testing if in doubt of the initial result</w:t>
            </w:r>
          </w:p>
          <w:p w:rsidR="00326702" w:rsidRDefault="00326702" w:rsidP="00326702">
            <w:pPr>
              <w:numPr>
                <w:ilvl w:val="0"/>
                <w:numId w:val="7"/>
              </w:numPr>
              <w:jc w:val="left"/>
              <w:rPr>
                <w:rFonts w:ascii="Arial" w:hAnsi="Arial" w:cs="Arial"/>
                <w:sz w:val="20"/>
              </w:rPr>
            </w:pPr>
            <w:r>
              <w:rPr>
                <w:rFonts w:ascii="Arial" w:hAnsi="Arial" w:cs="Arial"/>
                <w:sz w:val="20"/>
              </w:rPr>
              <w:t xml:space="preserve">Perform AHG crossmatch with antigen negative unit(s) to the historic antibodies </w:t>
            </w:r>
            <w:hyperlink r:id="rId14" w:history="1">
              <w:r>
                <w:rPr>
                  <w:rStyle w:val="Hyperlink"/>
                  <w:rFonts w:ascii="Arial" w:hAnsi="Arial" w:cs="Arial"/>
                  <w:sz w:val="20"/>
                </w:rPr>
                <w:t>TS 4.24 Compatibility testing - AHG, gel testing</w:t>
              </w:r>
            </w:hyperlink>
          </w:p>
          <w:p w:rsidR="00326702" w:rsidRDefault="00326702" w:rsidP="00326702">
            <w:pPr>
              <w:numPr>
                <w:ilvl w:val="0"/>
                <w:numId w:val="7"/>
              </w:numPr>
              <w:jc w:val="left"/>
              <w:rPr>
                <w:rFonts w:ascii="Arial" w:hAnsi="Arial" w:cs="Arial"/>
                <w:sz w:val="20"/>
              </w:rPr>
            </w:pPr>
            <w:r>
              <w:rPr>
                <w:rFonts w:ascii="Arial" w:hAnsi="Arial" w:cs="Arial"/>
                <w:sz w:val="20"/>
              </w:rPr>
              <w:t>TYAS orders: AHG Crossmatch 1 antigen negative unit to historic antibodies.</w:t>
            </w:r>
          </w:p>
        </w:tc>
      </w:tr>
      <w:tr w:rsidR="00326702">
        <w:trPr>
          <w:cantSplit/>
          <w:trHeight w:val="665"/>
        </w:trPr>
        <w:tc>
          <w:tcPr>
            <w:tcW w:w="2340" w:type="dxa"/>
            <w:vMerge w:val="restart"/>
          </w:tcPr>
          <w:p w:rsidR="00326702" w:rsidRDefault="00326702">
            <w:pPr>
              <w:pStyle w:val="Header"/>
              <w:tabs>
                <w:tab w:val="clear" w:pos="4320"/>
                <w:tab w:val="clear" w:pos="8640"/>
              </w:tabs>
              <w:rPr>
                <w:rFonts w:ascii="Arial" w:hAnsi="Arial" w:cs="Arial"/>
                <w:sz w:val="20"/>
              </w:rPr>
            </w:pPr>
            <w:r>
              <w:rPr>
                <w:rFonts w:ascii="Arial" w:hAnsi="Arial" w:cs="Arial"/>
                <w:sz w:val="20"/>
              </w:rPr>
              <w:t>Positive</w:t>
            </w:r>
          </w:p>
        </w:tc>
        <w:tc>
          <w:tcPr>
            <w:tcW w:w="4112" w:type="dxa"/>
          </w:tcPr>
          <w:p w:rsidR="00326702" w:rsidRDefault="00326702" w:rsidP="00326702">
            <w:pPr>
              <w:numPr>
                <w:ilvl w:val="0"/>
                <w:numId w:val="7"/>
              </w:numPr>
              <w:rPr>
                <w:rFonts w:ascii="Arial" w:hAnsi="Arial" w:cs="Arial"/>
                <w:sz w:val="20"/>
              </w:rPr>
            </w:pPr>
            <w:r>
              <w:rPr>
                <w:rFonts w:ascii="Arial" w:hAnsi="Arial" w:cs="Arial"/>
                <w:sz w:val="20"/>
              </w:rPr>
              <w:t>Negative</w:t>
            </w:r>
          </w:p>
          <w:p w:rsidR="00326702" w:rsidRDefault="00326702" w:rsidP="00326702">
            <w:pPr>
              <w:numPr>
                <w:ilvl w:val="0"/>
                <w:numId w:val="7"/>
              </w:numPr>
              <w:rPr>
                <w:rFonts w:ascii="Arial" w:hAnsi="Arial" w:cs="Arial"/>
                <w:b/>
                <w:bCs/>
                <w:sz w:val="20"/>
              </w:rPr>
            </w:pPr>
            <w:r>
              <w:rPr>
                <w:rFonts w:ascii="Arial" w:hAnsi="Arial" w:cs="Arial"/>
                <w:sz w:val="20"/>
              </w:rPr>
              <w:t>Not found</w:t>
            </w:r>
          </w:p>
        </w:tc>
        <w:tc>
          <w:tcPr>
            <w:tcW w:w="4708" w:type="dxa"/>
          </w:tcPr>
          <w:p w:rsidR="00326702" w:rsidRDefault="00326702" w:rsidP="00326702">
            <w:pPr>
              <w:numPr>
                <w:ilvl w:val="0"/>
                <w:numId w:val="7"/>
              </w:numPr>
              <w:jc w:val="left"/>
              <w:rPr>
                <w:rFonts w:ascii="Arial" w:hAnsi="Arial" w:cs="Arial"/>
                <w:b/>
                <w:bCs/>
                <w:sz w:val="20"/>
              </w:rPr>
            </w:pPr>
            <w:r>
              <w:rPr>
                <w:rFonts w:ascii="Arial" w:hAnsi="Arial" w:cs="Arial"/>
                <w:sz w:val="20"/>
              </w:rPr>
              <w:t xml:space="preserve">Refer to </w:t>
            </w:r>
            <w:hyperlink r:id="rId15" w:history="1">
              <w:r>
                <w:rPr>
                  <w:rStyle w:val="Hyperlink"/>
                  <w:rFonts w:ascii="Arial" w:hAnsi="Arial" w:cs="Arial"/>
                  <w:sz w:val="20"/>
                </w:rPr>
                <w:t xml:space="preserve">TS 4.38 Investigation of a </w:t>
              </w:r>
              <w:r w:rsidR="00C01406">
                <w:rPr>
                  <w:rStyle w:val="Hyperlink"/>
                  <w:rFonts w:ascii="Arial" w:hAnsi="Arial" w:cs="Arial"/>
                  <w:sz w:val="20"/>
                </w:rPr>
                <w:t>Positive</w:t>
              </w:r>
              <w:r>
                <w:rPr>
                  <w:rStyle w:val="Hyperlink"/>
                  <w:rFonts w:ascii="Arial" w:hAnsi="Arial" w:cs="Arial"/>
                  <w:sz w:val="20"/>
                </w:rPr>
                <w:t xml:space="preserve"> Antibody Screen</w:t>
              </w:r>
            </w:hyperlink>
          </w:p>
        </w:tc>
      </w:tr>
      <w:tr w:rsidR="00326702">
        <w:trPr>
          <w:cantSplit/>
          <w:trHeight w:val="1655"/>
        </w:trPr>
        <w:tc>
          <w:tcPr>
            <w:tcW w:w="2340" w:type="dxa"/>
            <w:vMerge/>
          </w:tcPr>
          <w:p w:rsidR="00326702" w:rsidRDefault="00326702">
            <w:pPr>
              <w:pStyle w:val="Header"/>
              <w:tabs>
                <w:tab w:val="clear" w:pos="4320"/>
                <w:tab w:val="clear" w:pos="8640"/>
              </w:tabs>
              <w:rPr>
                <w:rFonts w:ascii="Arial" w:hAnsi="Arial" w:cs="Arial"/>
                <w:sz w:val="20"/>
              </w:rPr>
            </w:pPr>
          </w:p>
        </w:tc>
        <w:tc>
          <w:tcPr>
            <w:tcW w:w="4112" w:type="dxa"/>
          </w:tcPr>
          <w:p w:rsidR="00326702" w:rsidRDefault="00326702" w:rsidP="00326702">
            <w:pPr>
              <w:numPr>
                <w:ilvl w:val="0"/>
                <w:numId w:val="7"/>
              </w:numPr>
              <w:jc w:val="left"/>
              <w:rPr>
                <w:rFonts w:ascii="Arial" w:hAnsi="Arial" w:cs="Arial"/>
                <w:sz w:val="20"/>
              </w:rPr>
            </w:pPr>
            <w:r>
              <w:rPr>
                <w:rFonts w:ascii="Arial" w:hAnsi="Arial" w:cs="Arial"/>
                <w:sz w:val="20"/>
              </w:rPr>
              <w:t xml:space="preserve">A history of clinically significant  antibodies </w:t>
            </w:r>
            <w:r>
              <w:rPr>
                <w:rFonts w:ascii="Arial" w:hAnsi="Arial" w:cs="Arial"/>
                <w:b/>
                <w:bCs/>
                <w:sz w:val="20"/>
              </w:rPr>
              <w:t xml:space="preserve">AND </w:t>
            </w:r>
            <w:r>
              <w:rPr>
                <w:rFonts w:ascii="Arial" w:hAnsi="Arial" w:cs="Arial"/>
                <w:sz w:val="20"/>
              </w:rPr>
              <w:t xml:space="preserve">antibody identification studies </w:t>
            </w:r>
            <w:r>
              <w:rPr>
                <w:rFonts w:ascii="Arial" w:hAnsi="Arial" w:cs="Arial"/>
                <w:b/>
                <w:bCs/>
                <w:sz w:val="20"/>
              </w:rPr>
              <w:t>have been performed within the past 30</w:t>
            </w:r>
            <w:r>
              <w:rPr>
                <w:rFonts w:ascii="Arial" w:hAnsi="Arial" w:cs="Arial"/>
                <w:sz w:val="20"/>
              </w:rPr>
              <w:t xml:space="preserve"> days</w:t>
            </w:r>
            <w:r>
              <w:rPr>
                <w:rFonts w:ascii="Arial" w:hAnsi="Arial" w:cs="Arial"/>
                <w:b/>
                <w:bCs/>
                <w:sz w:val="20"/>
              </w:rPr>
              <w:t xml:space="preserve"> AND </w:t>
            </w:r>
            <w:r>
              <w:rPr>
                <w:rFonts w:ascii="Arial" w:hAnsi="Arial" w:cs="Arial"/>
                <w:sz w:val="20"/>
              </w:rPr>
              <w:t xml:space="preserve">there is </w:t>
            </w:r>
            <w:r>
              <w:rPr>
                <w:rFonts w:ascii="Arial" w:hAnsi="Arial" w:cs="Arial"/>
                <w:b/>
                <w:bCs/>
                <w:sz w:val="20"/>
              </w:rPr>
              <w:t>no</w:t>
            </w:r>
            <w:r>
              <w:rPr>
                <w:rFonts w:ascii="Arial" w:hAnsi="Arial" w:cs="Arial"/>
                <w:sz w:val="20"/>
              </w:rPr>
              <w:t xml:space="preserve"> change in the testing reaction pattern</w:t>
            </w:r>
          </w:p>
        </w:tc>
        <w:tc>
          <w:tcPr>
            <w:tcW w:w="4708" w:type="dxa"/>
          </w:tcPr>
          <w:p w:rsidR="00326702" w:rsidRDefault="00326702" w:rsidP="00326702">
            <w:pPr>
              <w:numPr>
                <w:ilvl w:val="0"/>
                <w:numId w:val="7"/>
              </w:numPr>
              <w:jc w:val="left"/>
              <w:rPr>
                <w:rFonts w:ascii="Arial" w:hAnsi="Arial" w:cs="Arial"/>
                <w:sz w:val="20"/>
              </w:rPr>
            </w:pPr>
            <w:r>
              <w:rPr>
                <w:rFonts w:ascii="Arial" w:hAnsi="Arial" w:cs="Arial"/>
                <w:sz w:val="20"/>
              </w:rPr>
              <w:t xml:space="preserve">Perform AHG crossmatches with antigen negative </w:t>
            </w:r>
            <w:r>
              <w:rPr>
                <w:rFonts w:ascii="Arial" w:hAnsi="Arial" w:cs="Arial"/>
                <w:color w:val="0000FF"/>
                <w:sz w:val="20"/>
              </w:rPr>
              <w:t xml:space="preserve">units </w:t>
            </w:r>
            <w:hyperlink r:id="rId16" w:history="1">
              <w:r>
                <w:rPr>
                  <w:rStyle w:val="Hyperlink"/>
                  <w:rFonts w:ascii="Arial" w:hAnsi="Arial" w:cs="Arial"/>
                  <w:sz w:val="20"/>
                </w:rPr>
                <w:t>TS 4.24 Compatibility testing - AHG, gel testing</w:t>
              </w:r>
            </w:hyperlink>
          </w:p>
          <w:p w:rsidR="00326702" w:rsidRDefault="00326702" w:rsidP="00326702">
            <w:pPr>
              <w:numPr>
                <w:ilvl w:val="0"/>
                <w:numId w:val="7"/>
              </w:numPr>
              <w:jc w:val="left"/>
              <w:rPr>
                <w:rFonts w:ascii="Arial" w:hAnsi="Arial" w:cs="Arial"/>
                <w:b/>
                <w:bCs/>
                <w:sz w:val="20"/>
              </w:rPr>
            </w:pPr>
            <w:r>
              <w:rPr>
                <w:rFonts w:ascii="Arial" w:hAnsi="Arial" w:cs="Arial"/>
                <w:sz w:val="20"/>
              </w:rPr>
              <w:t>TYAS order: AHG Crossmatch 1 antigen negative unit</w:t>
            </w:r>
          </w:p>
        </w:tc>
      </w:tr>
      <w:tr w:rsidR="00326702">
        <w:trPr>
          <w:cantSplit/>
          <w:trHeight w:val="1965"/>
        </w:trPr>
        <w:tc>
          <w:tcPr>
            <w:tcW w:w="2340" w:type="dxa"/>
            <w:vMerge/>
          </w:tcPr>
          <w:p w:rsidR="00326702" w:rsidRDefault="00326702">
            <w:pPr>
              <w:pStyle w:val="Header"/>
              <w:tabs>
                <w:tab w:val="clear" w:pos="4320"/>
                <w:tab w:val="clear" w:pos="8640"/>
              </w:tabs>
              <w:rPr>
                <w:rFonts w:ascii="Arial" w:hAnsi="Arial" w:cs="Arial"/>
                <w:sz w:val="20"/>
              </w:rPr>
            </w:pPr>
          </w:p>
        </w:tc>
        <w:tc>
          <w:tcPr>
            <w:tcW w:w="4112" w:type="dxa"/>
          </w:tcPr>
          <w:p w:rsidR="00326702" w:rsidRDefault="00326702" w:rsidP="00326702">
            <w:pPr>
              <w:numPr>
                <w:ilvl w:val="0"/>
                <w:numId w:val="7"/>
              </w:numPr>
              <w:jc w:val="left"/>
              <w:rPr>
                <w:rFonts w:ascii="Arial" w:hAnsi="Arial" w:cs="Arial"/>
                <w:sz w:val="20"/>
              </w:rPr>
            </w:pPr>
            <w:r>
              <w:rPr>
                <w:rFonts w:ascii="Arial" w:hAnsi="Arial" w:cs="Arial"/>
                <w:sz w:val="20"/>
              </w:rPr>
              <w:t xml:space="preserve">A history of clinically significant  antibodies </w:t>
            </w:r>
            <w:r>
              <w:rPr>
                <w:rFonts w:ascii="Arial" w:hAnsi="Arial" w:cs="Arial"/>
                <w:b/>
                <w:bCs/>
                <w:sz w:val="20"/>
              </w:rPr>
              <w:t xml:space="preserve">AND </w:t>
            </w:r>
            <w:r>
              <w:rPr>
                <w:rFonts w:ascii="Arial" w:hAnsi="Arial" w:cs="Arial"/>
                <w:sz w:val="20"/>
              </w:rPr>
              <w:t xml:space="preserve">antibody identification studies </w:t>
            </w:r>
            <w:r>
              <w:rPr>
                <w:rFonts w:ascii="Arial" w:hAnsi="Arial" w:cs="Arial"/>
                <w:b/>
                <w:bCs/>
                <w:sz w:val="20"/>
              </w:rPr>
              <w:t xml:space="preserve">have NOT been </w:t>
            </w:r>
            <w:r>
              <w:rPr>
                <w:rFonts w:ascii="Arial" w:hAnsi="Arial" w:cs="Arial"/>
                <w:sz w:val="20"/>
              </w:rPr>
              <w:t>performed within the past</w:t>
            </w:r>
            <w:r>
              <w:rPr>
                <w:rFonts w:ascii="Arial" w:hAnsi="Arial" w:cs="Arial"/>
                <w:b/>
                <w:bCs/>
                <w:sz w:val="20"/>
              </w:rPr>
              <w:t xml:space="preserve"> </w:t>
            </w:r>
            <w:r>
              <w:rPr>
                <w:rFonts w:ascii="Arial" w:hAnsi="Arial" w:cs="Arial"/>
                <w:sz w:val="20"/>
              </w:rPr>
              <w:t xml:space="preserve">30 days </w:t>
            </w:r>
            <w:r>
              <w:rPr>
                <w:rFonts w:ascii="Arial" w:hAnsi="Arial" w:cs="Arial"/>
                <w:b/>
                <w:bCs/>
                <w:sz w:val="20"/>
              </w:rPr>
              <w:t>OR</w:t>
            </w:r>
            <w:r>
              <w:rPr>
                <w:rFonts w:ascii="Arial" w:hAnsi="Arial" w:cs="Arial"/>
                <w:sz w:val="20"/>
              </w:rPr>
              <w:t xml:space="preserve"> there is</w:t>
            </w:r>
            <w:r>
              <w:rPr>
                <w:rFonts w:ascii="Arial" w:hAnsi="Arial" w:cs="Arial"/>
                <w:b/>
                <w:bCs/>
                <w:sz w:val="20"/>
              </w:rPr>
              <w:t xml:space="preserve"> </w:t>
            </w:r>
            <w:r>
              <w:rPr>
                <w:rFonts w:ascii="Arial" w:hAnsi="Arial" w:cs="Arial"/>
                <w:sz w:val="20"/>
              </w:rPr>
              <w:t>change in the testing reaction pattern</w:t>
            </w:r>
          </w:p>
          <w:p w:rsidR="00326702" w:rsidRDefault="00326702">
            <w:pPr>
              <w:pStyle w:val="Header"/>
              <w:tabs>
                <w:tab w:val="clear" w:pos="4320"/>
                <w:tab w:val="clear" w:pos="8640"/>
              </w:tabs>
              <w:rPr>
                <w:rFonts w:ascii="Arial" w:hAnsi="Arial" w:cs="Arial"/>
                <w:sz w:val="20"/>
              </w:rPr>
            </w:pPr>
          </w:p>
          <w:p w:rsidR="00326702" w:rsidRDefault="00326702">
            <w:pPr>
              <w:rPr>
                <w:rFonts w:ascii="Arial" w:hAnsi="Arial" w:cs="Arial"/>
                <w:sz w:val="20"/>
              </w:rPr>
            </w:pPr>
          </w:p>
        </w:tc>
        <w:tc>
          <w:tcPr>
            <w:tcW w:w="4708" w:type="dxa"/>
          </w:tcPr>
          <w:p w:rsidR="00326702" w:rsidRDefault="00326702" w:rsidP="00326702">
            <w:pPr>
              <w:numPr>
                <w:ilvl w:val="0"/>
                <w:numId w:val="7"/>
              </w:numPr>
              <w:jc w:val="left"/>
              <w:rPr>
                <w:rFonts w:ascii="Arial" w:hAnsi="Arial" w:cs="Arial"/>
                <w:b/>
                <w:bCs/>
                <w:color w:val="0000FF"/>
                <w:sz w:val="20"/>
              </w:rPr>
            </w:pPr>
            <w:r>
              <w:rPr>
                <w:rFonts w:ascii="Arial" w:hAnsi="Arial" w:cs="Arial"/>
                <w:sz w:val="20"/>
              </w:rPr>
              <w:t xml:space="preserve">Forward to reference lab for antibody identification studies. </w:t>
            </w:r>
            <w:hyperlink r:id="rId17" w:history="1">
              <w:r>
                <w:rPr>
                  <w:rStyle w:val="Hyperlink"/>
                  <w:rFonts w:ascii="Arial" w:hAnsi="Arial" w:cs="Arial"/>
                  <w:sz w:val="20"/>
                </w:rPr>
                <w:t>TS 6.1 Reference lab testing</w:t>
              </w:r>
            </w:hyperlink>
          </w:p>
          <w:p w:rsidR="00326702" w:rsidRDefault="00326702" w:rsidP="00326702">
            <w:pPr>
              <w:numPr>
                <w:ilvl w:val="0"/>
                <w:numId w:val="7"/>
              </w:numPr>
              <w:jc w:val="left"/>
              <w:rPr>
                <w:rFonts w:ascii="Arial" w:hAnsi="Arial" w:cs="Arial"/>
                <w:sz w:val="20"/>
              </w:rPr>
            </w:pPr>
            <w:r>
              <w:rPr>
                <w:rFonts w:ascii="Arial" w:hAnsi="Arial" w:cs="Arial"/>
                <w:sz w:val="20"/>
              </w:rPr>
              <w:t xml:space="preserve">Perform AHG crossmatches with antigen negative </w:t>
            </w:r>
            <w:r>
              <w:rPr>
                <w:rFonts w:ascii="Arial" w:hAnsi="Arial" w:cs="Arial"/>
                <w:color w:val="0000FF"/>
                <w:sz w:val="20"/>
              </w:rPr>
              <w:t xml:space="preserve">units </w:t>
            </w:r>
            <w:hyperlink r:id="rId18" w:history="1">
              <w:r>
                <w:rPr>
                  <w:rStyle w:val="Hyperlink"/>
                  <w:rFonts w:ascii="Arial" w:hAnsi="Arial" w:cs="Arial"/>
                  <w:sz w:val="20"/>
                </w:rPr>
                <w:t>TS 4.24 Compatibility testing - AHG, gel testing</w:t>
              </w:r>
            </w:hyperlink>
          </w:p>
          <w:p w:rsidR="00326702" w:rsidRDefault="00326702" w:rsidP="00326702">
            <w:pPr>
              <w:numPr>
                <w:ilvl w:val="0"/>
                <w:numId w:val="7"/>
              </w:numPr>
              <w:jc w:val="left"/>
              <w:rPr>
                <w:rFonts w:ascii="Arial" w:hAnsi="Arial" w:cs="Arial"/>
                <w:b/>
                <w:bCs/>
                <w:sz w:val="20"/>
              </w:rPr>
            </w:pPr>
            <w:r>
              <w:rPr>
                <w:rFonts w:ascii="Arial" w:hAnsi="Arial" w:cs="Arial"/>
                <w:sz w:val="20"/>
              </w:rPr>
              <w:t>TYAS order: AHG Crossmatch 1 antigen negative unit.</w:t>
            </w:r>
          </w:p>
        </w:tc>
      </w:tr>
      <w:tr w:rsidR="00326702">
        <w:trPr>
          <w:cantSplit/>
          <w:trHeight w:val="548"/>
        </w:trPr>
        <w:tc>
          <w:tcPr>
            <w:tcW w:w="2340" w:type="dxa"/>
            <w:vMerge/>
          </w:tcPr>
          <w:p w:rsidR="00326702" w:rsidRDefault="00326702">
            <w:pPr>
              <w:pStyle w:val="Header"/>
              <w:tabs>
                <w:tab w:val="clear" w:pos="4320"/>
                <w:tab w:val="clear" w:pos="8640"/>
              </w:tabs>
              <w:rPr>
                <w:rFonts w:ascii="Arial" w:hAnsi="Arial" w:cs="Arial"/>
                <w:sz w:val="20"/>
              </w:rPr>
            </w:pPr>
          </w:p>
        </w:tc>
        <w:tc>
          <w:tcPr>
            <w:tcW w:w="4112" w:type="dxa"/>
          </w:tcPr>
          <w:p w:rsidR="00326702" w:rsidRDefault="00326702" w:rsidP="00326702">
            <w:pPr>
              <w:numPr>
                <w:ilvl w:val="0"/>
                <w:numId w:val="8"/>
              </w:numPr>
              <w:rPr>
                <w:rFonts w:ascii="Arial" w:hAnsi="Arial" w:cs="Arial"/>
                <w:sz w:val="20"/>
              </w:rPr>
            </w:pPr>
            <w:r>
              <w:rPr>
                <w:rFonts w:ascii="Arial" w:hAnsi="Arial" w:cs="Arial"/>
                <w:sz w:val="20"/>
              </w:rPr>
              <w:t>Infant less than 4 months old.</w:t>
            </w:r>
          </w:p>
        </w:tc>
        <w:tc>
          <w:tcPr>
            <w:tcW w:w="4708" w:type="dxa"/>
          </w:tcPr>
          <w:p w:rsidR="00326702" w:rsidRDefault="00326702" w:rsidP="00326702">
            <w:pPr>
              <w:numPr>
                <w:ilvl w:val="0"/>
                <w:numId w:val="7"/>
              </w:numPr>
              <w:jc w:val="left"/>
              <w:rPr>
                <w:rFonts w:ascii="Arial" w:hAnsi="Arial" w:cs="Arial"/>
                <w:b/>
                <w:bCs/>
                <w:sz w:val="20"/>
              </w:rPr>
            </w:pPr>
            <w:r>
              <w:rPr>
                <w:rFonts w:ascii="Arial" w:hAnsi="Arial" w:cs="Arial"/>
                <w:sz w:val="20"/>
              </w:rPr>
              <w:t xml:space="preserve">Refer to Appendix A </w:t>
            </w:r>
            <w:r>
              <w:rPr>
                <w:rFonts w:ascii="Arial" w:hAnsi="Arial" w:cs="Arial"/>
                <w:color w:val="0000FF"/>
                <w:sz w:val="20"/>
              </w:rPr>
              <w:t xml:space="preserve">of </w:t>
            </w:r>
            <w:hyperlink r:id="rId19" w:history="1">
              <w:r>
                <w:rPr>
                  <w:rStyle w:val="Hyperlink"/>
                  <w:rFonts w:ascii="Arial" w:hAnsi="Arial" w:cs="Arial"/>
                  <w:sz w:val="20"/>
                </w:rPr>
                <w:t xml:space="preserve">TS 3.1 </w:t>
              </w:r>
              <w:r w:rsidR="00C01406">
                <w:rPr>
                  <w:rStyle w:val="Hyperlink"/>
                  <w:rFonts w:ascii="Arial" w:hAnsi="Arial" w:cs="Arial"/>
                  <w:sz w:val="20"/>
                </w:rPr>
                <w:t>Newborn</w:t>
              </w:r>
              <w:r>
                <w:rPr>
                  <w:rStyle w:val="Hyperlink"/>
                  <w:rFonts w:ascii="Arial" w:hAnsi="Arial" w:cs="Arial"/>
                  <w:sz w:val="20"/>
                </w:rPr>
                <w:t xml:space="preserve"> Workup Process</w:t>
              </w:r>
            </w:hyperlink>
            <w:r>
              <w:rPr>
                <w:rFonts w:ascii="Arial" w:hAnsi="Arial" w:cs="Arial"/>
                <w:sz w:val="20"/>
              </w:rPr>
              <w:t xml:space="preserve"> </w:t>
            </w:r>
          </w:p>
          <w:p w:rsidR="00326702" w:rsidRDefault="00326702">
            <w:pPr>
              <w:ind w:left="360"/>
              <w:jc w:val="left"/>
              <w:rPr>
                <w:rFonts w:ascii="Arial" w:hAnsi="Arial" w:cs="Arial"/>
                <w:sz w:val="20"/>
              </w:rPr>
            </w:pPr>
          </w:p>
        </w:tc>
      </w:tr>
    </w:tbl>
    <w:p w:rsidR="00326702" w:rsidRDefault="00326702">
      <w:pPr>
        <w:rPr>
          <w:rFonts w:ascii="Arial" w:hAnsi="Arial" w:cs="Arial"/>
          <w:b/>
          <w:bCs/>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p w:rsidR="00326702" w:rsidRDefault="00326702">
      <w:pPr>
        <w:pStyle w:val="Header"/>
        <w:tabs>
          <w:tab w:val="clear" w:pos="4320"/>
          <w:tab w:val="clear" w:pos="8640"/>
        </w:tabs>
        <w:rPr>
          <w:rFonts w:ascii="Arial" w:hAnsi="Arial" w:cs="Arial"/>
        </w:rPr>
      </w:pPr>
    </w:p>
    <w:sectPr w:rsidR="00326702">
      <w:headerReference w:type="even" r:id="rId20"/>
      <w:headerReference w:type="default" r:id="rId21"/>
      <w:footerReference w:type="default" r:id="rId22"/>
      <w:headerReference w:type="first" r:id="rId2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02" w:rsidRDefault="00326702">
      <w:r>
        <w:separator/>
      </w:r>
    </w:p>
  </w:endnote>
  <w:endnote w:type="continuationSeparator" w:id="0">
    <w:p w:rsidR="00326702" w:rsidRDefault="0032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2" w:rsidRDefault="00326702">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01406">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C01406">
      <w:rPr>
        <w:rFonts w:ascii="Arial" w:hAnsi="Arial" w:cs="Arial"/>
        <w:noProof/>
        <w:sz w:val="16"/>
      </w:rPr>
      <w:t>5</w:t>
    </w:r>
    <w:r>
      <w:rPr>
        <w:rFonts w:ascii="Arial" w:hAnsi="Arial" w:cs="Arial"/>
        <w:sz w:val="16"/>
      </w:rPr>
      <w:fldChar w:fldCharType="end"/>
    </w:r>
  </w:p>
  <w:p w:rsidR="00326702" w:rsidRDefault="00326702">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02" w:rsidRDefault="00326702">
      <w:r>
        <w:separator/>
      </w:r>
    </w:p>
  </w:footnote>
  <w:footnote w:type="continuationSeparator" w:id="0">
    <w:p w:rsidR="00326702" w:rsidRDefault="0032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2" w:rsidRDefault="00C014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326702">
      <w:trPr>
        <w:cantSplit/>
        <w:trHeight w:val="245"/>
      </w:trPr>
      <w:tc>
        <w:tcPr>
          <w:tcW w:w="5760" w:type="dxa"/>
        </w:tcPr>
        <w:p w:rsidR="00326702" w:rsidRDefault="00326702">
          <w:pPr>
            <w:pStyle w:val="Header"/>
            <w:tabs>
              <w:tab w:val="clear" w:pos="8640"/>
            </w:tabs>
            <w:rPr>
              <w:rFonts w:ascii="Arial" w:hAnsi="Arial" w:cs="Arial"/>
              <w:sz w:val="18"/>
            </w:rPr>
          </w:pPr>
          <w:r>
            <w:rPr>
              <w:rFonts w:ascii="Arial" w:hAnsi="Arial" w:cs="Arial"/>
              <w:sz w:val="18"/>
            </w:rPr>
            <w:t>Procedure: Antibody Screen-Gel</w:t>
          </w:r>
        </w:p>
      </w:tc>
      <w:tc>
        <w:tcPr>
          <w:tcW w:w="5580" w:type="dxa"/>
          <w:vMerge w:val="restart"/>
        </w:tcPr>
        <w:p w:rsidR="00326702" w:rsidRDefault="00326702" w:rsidP="00A50A61">
          <w:pPr>
            <w:pStyle w:val="Header"/>
            <w:tabs>
              <w:tab w:val="clear" w:pos="8640"/>
            </w:tabs>
          </w:pPr>
          <w:r>
            <w:t xml:space="preserve">                     </w:t>
          </w:r>
          <w:r w:rsidR="00A50A61">
            <w:t xml:space="preserve">                                     </w:t>
          </w:r>
          <w:r>
            <w:t xml:space="preserve">     </w:t>
          </w:r>
          <w:r w:rsidR="00A302BE">
            <w:rPr>
              <w:noProof/>
            </w:rPr>
            <w:drawing>
              <wp:inline distT="0" distB="0" distL="0" distR="0">
                <wp:extent cx="1188720" cy="384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4175"/>
                        </a:xfrm>
                        <a:prstGeom prst="rect">
                          <a:avLst/>
                        </a:prstGeom>
                        <a:noFill/>
                      </pic:spPr>
                    </pic:pic>
                  </a:graphicData>
                </a:graphic>
              </wp:inline>
            </w:drawing>
          </w:r>
          <w:r>
            <w:t xml:space="preserve">                                          </w:t>
          </w:r>
        </w:p>
      </w:tc>
    </w:tr>
    <w:tr w:rsidR="00326702">
      <w:trPr>
        <w:cantSplit/>
        <w:trHeight w:val="245"/>
      </w:trPr>
      <w:tc>
        <w:tcPr>
          <w:tcW w:w="5760" w:type="dxa"/>
        </w:tcPr>
        <w:p w:rsidR="00326702" w:rsidRDefault="00A50A61">
          <w:pPr>
            <w:pStyle w:val="Header"/>
            <w:tabs>
              <w:tab w:val="clear" w:pos="8640"/>
            </w:tabs>
            <w:rPr>
              <w:rFonts w:ascii="Arial" w:hAnsi="Arial" w:cs="Arial"/>
              <w:sz w:val="18"/>
            </w:rPr>
          </w:pPr>
          <w:r>
            <w:rPr>
              <w:rFonts w:ascii="Arial" w:hAnsi="Arial" w:cs="Arial"/>
              <w:sz w:val="18"/>
            </w:rPr>
            <w:t>Document: TS 4.19 Version 3</w:t>
          </w:r>
        </w:p>
      </w:tc>
      <w:tc>
        <w:tcPr>
          <w:tcW w:w="5580" w:type="dxa"/>
          <w:vMerge/>
        </w:tcPr>
        <w:p w:rsidR="00326702" w:rsidRDefault="00326702">
          <w:pPr>
            <w:pStyle w:val="Header"/>
            <w:tabs>
              <w:tab w:val="clear" w:pos="8640"/>
            </w:tabs>
          </w:pPr>
        </w:p>
      </w:tc>
    </w:tr>
    <w:tr w:rsidR="00326702">
      <w:trPr>
        <w:cantSplit/>
        <w:trHeight w:val="245"/>
      </w:trPr>
      <w:tc>
        <w:tcPr>
          <w:tcW w:w="5760" w:type="dxa"/>
        </w:tcPr>
        <w:p w:rsidR="00326702" w:rsidRDefault="00326702" w:rsidP="00C01406">
          <w:pPr>
            <w:pStyle w:val="Header"/>
            <w:tabs>
              <w:tab w:val="clear" w:pos="8640"/>
            </w:tabs>
            <w:rPr>
              <w:rFonts w:ascii="Arial" w:hAnsi="Arial" w:cs="Arial"/>
              <w:sz w:val="18"/>
            </w:rPr>
          </w:pPr>
          <w:r>
            <w:rPr>
              <w:rFonts w:ascii="Arial" w:hAnsi="Arial" w:cs="Arial"/>
              <w:sz w:val="18"/>
            </w:rPr>
            <w:t xml:space="preserve">Effective Date: </w:t>
          </w:r>
          <w:r w:rsidR="00C01406">
            <w:rPr>
              <w:rFonts w:ascii="Arial" w:hAnsi="Arial" w:cs="Arial"/>
              <w:sz w:val="18"/>
            </w:rPr>
            <w:t>02/17/2023</w:t>
          </w:r>
        </w:p>
      </w:tc>
      <w:tc>
        <w:tcPr>
          <w:tcW w:w="5580" w:type="dxa"/>
          <w:vMerge/>
        </w:tcPr>
        <w:p w:rsidR="00326702" w:rsidRDefault="00326702">
          <w:pPr>
            <w:pStyle w:val="Header"/>
            <w:tabs>
              <w:tab w:val="clear" w:pos="8640"/>
            </w:tabs>
          </w:pPr>
        </w:p>
      </w:tc>
    </w:tr>
  </w:tbl>
  <w:p w:rsidR="00326702" w:rsidRDefault="00326702">
    <w:pPr>
      <w:pStyle w:val="Header"/>
      <w:rPr>
        <w:rFonts w:ascii="Calibri" w:hAnsi="Calibri"/>
        <w:b/>
        <w:bCs/>
        <w:sz w:val="16"/>
      </w:rPr>
    </w:pPr>
  </w:p>
  <w:p w:rsidR="00326702" w:rsidRDefault="00326702">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2" w:rsidRDefault="00C014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5330A6F"/>
    <w:multiLevelType w:val="hybridMultilevel"/>
    <w:tmpl w:val="E30C0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87997"/>
    <w:multiLevelType w:val="hybridMultilevel"/>
    <w:tmpl w:val="D3A019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16B99"/>
    <w:multiLevelType w:val="hybridMultilevel"/>
    <w:tmpl w:val="95CA07EE"/>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0908A8"/>
    <w:multiLevelType w:val="hybridMultilevel"/>
    <w:tmpl w:val="A8BEF6F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849B4"/>
    <w:multiLevelType w:val="hybridMultilevel"/>
    <w:tmpl w:val="7A128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B12C9D"/>
    <w:multiLevelType w:val="hybridMultilevel"/>
    <w:tmpl w:val="82AEE4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D8170B"/>
    <w:multiLevelType w:val="hybridMultilevel"/>
    <w:tmpl w:val="814E044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4"/>
  </w:num>
  <w:num w:numId="6">
    <w:abstractNumId w:val="1"/>
  </w:num>
  <w:num w:numId="7">
    <w:abstractNumId w:val="5"/>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61"/>
    <w:rsid w:val="00094E67"/>
    <w:rsid w:val="000F0B18"/>
    <w:rsid w:val="00230C05"/>
    <w:rsid w:val="00326702"/>
    <w:rsid w:val="00333184"/>
    <w:rsid w:val="004C7076"/>
    <w:rsid w:val="00A302BE"/>
    <w:rsid w:val="00A50A61"/>
    <w:rsid w:val="00C0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820E6EFD-3C06-4626-80E6-45054E74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Symbol">
    <w:name w:val="Symbol"/>
    <w:rPr>
      <w:rFonts w:ascii="Symbol" w:hAnsi="Symbol"/>
      <w:sz w:val="18"/>
    </w:rPr>
  </w:style>
  <w:style w:type="character" w:customStyle="1" w:styleId="SuperScriptfor">
    <w:name w:val="SuperScript for +"/>
    <w:aliases w:val="-"/>
    <w:rPr>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TransfusionSvc/012709.asp" TargetMode="External"/><Relationship Id="rId13" Type="http://schemas.openxmlformats.org/officeDocument/2006/relationships/hyperlink" Target="file:///\\kidsnet.childrenshc.org\chcdfs\dept\4%20Patient%20Specimen%20Analysis\TS%204.20%20Antibody%20screening-tube%20testing.doc" TargetMode="External"/><Relationship Id="rId18" Type="http://schemas.openxmlformats.org/officeDocument/2006/relationships/hyperlink" Target="file:///\\kidsnet.childrenshc.org\chcdfs\dept\Lab%20Procedures\TS%204.24%20Compatibility%20testing%20-%20AHG,%20gel%20testing.doc"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childrensmn.org/Manuals/Lab/TransfusionSvc/012706.asp" TargetMode="External"/><Relationship Id="rId12" Type="http://schemas.openxmlformats.org/officeDocument/2006/relationships/hyperlink" Target="file:///\\kidsnet.childrenshc.org\chcdfs\dept\Lab%20Procedures\TS%204.38%20Investigation%20of%20a%20Positve%20Antibody%20Screen.DOC" TargetMode="External"/><Relationship Id="rId17" Type="http://schemas.openxmlformats.org/officeDocument/2006/relationships/hyperlink" Target="file:///\\kidsnet.childrenshc.org\chcdfs\dept\6%20Reference%20Lab%20Testing\TS%206.1%20Reference%20lab%20testin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kidsnet.childrenshc.org\chcdfs\dept\Lab%20Procedures\TS%204.24%20Compatibility%20testing%20-%20AHG,%20gel%20testing.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3%20Processing%20Orders\TS%203.4%20Crossmatch%20Process-Red%20Cell%20Orders%20for%20Patients%20over%204%20months%20old.d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kidsnet.childrenshc.org\chcdfs\dept\Lab%20Procedures\TS%204.38%20Investigation%20of%20a%20Positve%20Antibody%20Screen.DOC" TargetMode="External"/><Relationship Id="rId23" Type="http://schemas.openxmlformats.org/officeDocument/2006/relationships/header" Target="header3.xml"/><Relationship Id="rId10" Type="http://schemas.openxmlformats.org/officeDocument/2006/relationships/hyperlink" Target="file:///\\kidsnet.childrenshc.org\chcdfs\dept\Lab%20Procedures\TS%204.9%20Grading%20and%20interpretation%20of%20gel%20card%20reactions.doc" TargetMode="External"/><Relationship Id="rId19" Type="http://schemas.openxmlformats.org/officeDocument/2006/relationships/hyperlink" Target="file:///\\kidsnet.childrenshc.org\chcdfs\dept\3%20Processing%20Orders\TS%203.1%20NewBorn%20Workup%20Process.doc" TargetMode="External"/><Relationship Id="rId4" Type="http://schemas.openxmlformats.org/officeDocument/2006/relationships/webSettings" Target="webSettings.xml"/><Relationship Id="rId9" Type="http://schemas.openxmlformats.org/officeDocument/2006/relationships/hyperlink" Target="file:///\\kidsnet.childrenshc.org\chcdfs\dept\Lab%20Procedures\TS%204.7%20Inspection%20and%20labeling%20of%20gel%20cards.doc" TargetMode="External"/><Relationship Id="rId14" Type="http://schemas.openxmlformats.org/officeDocument/2006/relationships/hyperlink" Target="file:///\\kidsnet.childrenshc.org\chcdfs\dept\Lab%20Procedures\TS%204.24%20Compatibility%20testing%20-%20AHG,%20gel%20testing.do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1732</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13136</CharactersWithSpaces>
  <SharedDoc>false</SharedDoc>
  <HLinks>
    <vt:vector size="90" baseType="variant">
      <vt:variant>
        <vt:i4>7536646</vt:i4>
      </vt:variant>
      <vt:variant>
        <vt:i4>42</vt:i4>
      </vt:variant>
      <vt:variant>
        <vt:i4>0</vt:i4>
      </vt:variant>
      <vt:variant>
        <vt:i4>5</vt:i4>
      </vt:variant>
      <vt:variant>
        <vt:lpwstr>..\..\..\..\3 Processing Orders\TS 3.1 NewBorn Workup Process.doc</vt:lpwstr>
      </vt:variant>
      <vt:variant>
        <vt:lpwstr/>
      </vt:variant>
      <vt:variant>
        <vt:i4>3801111</vt:i4>
      </vt:variant>
      <vt:variant>
        <vt:i4>39</vt:i4>
      </vt:variant>
      <vt:variant>
        <vt:i4>0</vt:i4>
      </vt:variant>
      <vt:variant>
        <vt:i4>5</vt:i4>
      </vt:variant>
      <vt:variant>
        <vt:lpwstr>..\..\..\TS 4.24 Compatibility testing - AHG, gel testing.doc</vt:lpwstr>
      </vt:variant>
      <vt:variant>
        <vt:lpwstr/>
      </vt:variant>
      <vt:variant>
        <vt:i4>8192095</vt:i4>
      </vt:variant>
      <vt:variant>
        <vt:i4>36</vt:i4>
      </vt:variant>
      <vt:variant>
        <vt:i4>0</vt:i4>
      </vt:variant>
      <vt:variant>
        <vt:i4>5</vt:i4>
      </vt:variant>
      <vt:variant>
        <vt:lpwstr>..\..\..\..\6 Reference Lab Testing\TS 6.1 Reference lab testing.doc</vt:lpwstr>
      </vt:variant>
      <vt:variant>
        <vt:lpwstr/>
      </vt:variant>
      <vt:variant>
        <vt:i4>3801111</vt:i4>
      </vt:variant>
      <vt:variant>
        <vt:i4>33</vt:i4>
      </vt:variant>
      <vt:variant>
        <vt:i4>0</vt:i4>
      </vt:variant>
      <vt:variant>
        <vt:i4>5</vt:i4>
      </vt:variant>
      <vt:variant>
        <vt:lpwstr>..\..\..\TS 4.24 Compatibility testing - AHG, gel testing.doc</vt:lpwstr>
      </vt:variant>
      <vt:variant>
        <vt:lpwstr/>
      </vt:variant>
      <vt:variant>
        <vt:i4>5767283</vt:i4>
      </vt:variant>
      <vt:variant>
        <vt:i4>30</vt:i4>
      </vt:variant>
      <vt:variant>
        <vt:i4>0</vt:i4>
      </vt:variant>
      <vt:variant>
        <vt:i4>5</vt:i4>
      </vt:variant>
      <vt:variant>
        <vt:lpwstr>..\..\..\TS 4.38 Investigation of a Positve Antibody Screen.DOC</vt:lpwstr>
      </vt:variant>
      <vt:variant>
        <vt:lpwstr/>
      </vt:variant>
      <vt:variant>
        <vt:i4>3801111</vt:i4>
      </vt:variant>
      <vt:variant>
        <vt:i4>27</vt:i4>
      </vt:variant>
      <vt:variant>
        <vt:i4>0</vt:i4>
      </vt:variant>
      <vt:variant>
        <vt:i4>5</vt:i4>
      </vt:variant>
      <vt:variant>
        <vt:lpwstr>..\..\..\TS 4.24 Compatibility testing - AHG, gel testing.doc</vt:lpwstr>
      </vt:variant>
      <vt:variant>
        <vt:lpwstr/>
      </vt:variant>
      <vt:variant>
        <vt:i4>6815817</vt:i4>
      </vt:variant>
      <vt:variant>
        <vt:i4>24</vt:i4>
      </vt:variant>
      <vt:variant>
        <vt:i4>0</vt:i4>
      </vt:variant>
      <vt:variant>
        <vt:i4>5</vt:i4>
      </vt:variant>
      <vt:variant>
        <vt:lpwstr/>
      </vt:variant>
      <vt:variant>
        <vt:lpwstr>Appendix_A</vt:lpwstr>
      </vt:variant>
      <vt:variant>
        <vt:i4>1835062</vt:i4>
      </vt:variant>
      <vt:variant>
        <vt:i4>21</vt:i4>
      </vt:variant>
      <vt:variant>
        <vt:i4>0</vt:i4>
      </vt:variant>
      <vt:variant>
        <vt:i4>5</vt:i4>
      </vt:variant>
      <vt:variant>
        <vt:lpwstr>..\..\..\..\4 Patient Specimen Analysis\TS 4.20 Antibody screening-tube testing.doc</vt:lpwstr>
      </vt:variant>
      <vt:variant>
        <vt:lpwstr/>
      </vt:variant>
      <vt:variant>
        <vt:i4>5767283</vt:i4>
      </vt:variant>
      <vt:variant>
        <vt:i4>18</vt:i4>
      </vt:variant>
      <vt:variant>
        <vt:i4>0</vt:i4>
      </vt:variant>
      <vt:variant>
        <vt:i4>5</vt:i4>
      </vt:variant>
      <vt:variant>
        <vt:lpwstr>..\..\..\TS 4.38 Investigation of a Positve Antibody Screen.DOC</vt:lpwstr>
      </vt:variant>
      <vt:variant>
        <vt:lpwstr/>
      </vt:variant>
      <vt:variant>
        <vt:i4>3014681</vt:i4>
      </vt:variant>
      <vt:variant>
        <vt:i4>15</vt:i4>
      </vt:variant>
      <vt:variant>
        <vt:i4>0</vt:i4>
      </vt:variant>
      <vt:variant>
        <vt:i4>5</vt:i4>
      </vt:variant>
      <vt:variant>
        <vt:lpwstr>..\..\..\..\3 Processing Orders\TS 3.4 Crossmatch Process-Red Cell Orders for Patients over 4 months old.doc</vt:lpwstr>
      </vt:variant>
      <vt:variant>
        <vt:lpwstr/>
      </vt:variant>
      <vt:variant>
        <vt:i4>3473427</vt:i4>
      </vt:variant>
      <vt:variant>
        <vt:i4>12</vt:i4>
      </vt:variant>
      <vt:variant>
        <vt:i4>0</vt:i4>
      </vt:variant>
      <vt:variant>
        <vt:i4>5</vt:i4>
      </vt:variant>
      <vt:variant>
        <vt:lpwstr>..\..\..\TS 4.9 Grading and interpretation of gel card reactions.doc</vt:lpwstr>
      </vt:variant>
      <vt:variant>
        <vt:lpwstr/>
      </vt:variant>
      <vt:variant>
        <vt:i4>7536656</vt:i4>
      </vt:variant>
      <vt:variant>
        <vt:i4>9</vt:i4>
      </vt:variant>
      <vt:variant>
        <vt:i4>0</vt:i4>
      </vt:variant>
      <vt:variant>
        <vt:i4>5</vt:i4>
      </vt:variant>
      <vt:variant>
        <vt:lpwstr>..\..\..\TS 4.7 Inspection and labeling of gel cards.doc</vt:lpwstr>
      </vt:variant>
      <vt:variant>
        <vt:lpwstr/>
      </vt:variant>
      <vt:variant>
        <vt:i4>1507380</vt:i4>
      </vt:variant>
      <vt:variant>
        <vt:i4>6</vt:i4>
      </vt:variant>
      <vt:variant>
        <vt:i4>0</vt:i4>
      </vt:variant>
      <vt:variant>
        <vt:i4>5</vt:i4>
      </vt:variant>
      <vt:variant>
        <vt:lpwstr>..\..\..\..\18 Operational Control\TS 18.2 Daily reagent quality control.doc</vt:lpwstr>
      </vt:variant>
      <vt:variant>
        <vt:lpwstr/>
      </vt:variant>
      <vt:variant>
        <vt:i4>4784214</vt:i4>
      </vt:variant>
      <vt:variant>
        <vt:i4>3</vt:i4>
      </vt:variant>
      <vt:variant>
        <vt:i4>0</vt:i4>
      </vt:variant>
      <vt:variant>
        <vt:i4>5</vt:i4>
      </vt:variant>
      <vt:variant>
        <vt:lpwstr>http://www.childrensmn.org/Manuals/Lab/TransfusionSvc/012709.asp</vt:lpwstr>
      </vt:variant>
      <vt:variant>
        <vt:lpwstr/>
      </vt:variant>
      <vt:variant>
        <vt:i4>4587606</vt:i4>
      </vt:variant>
      <vt:variant>
        <vt:i4>0</vt:i4>
      </vt:variant>
      <vt:variant>
        <vt:i4>0</vt:i4>
      </vt:variant>
      <vt:variant>
        <vt:i4>5</vt:i4>
      </vt:variant>
      <vt:variant>
        <vt:lpwstr>http://www.childrensmn.org/Manuals/Lab/TransfusionSvc/012706.asp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3</cp:revision>
  <cp:lastPrinted>2011-09-02T15:43:00Z</cp:lastPrinted>
  <dcterms:created xsi:type="dcterms:W3CDTF">2022-11-23T14:24:00Z</dcterms:created>
  <dcterms:modified xsi:type="dcterms:W3CDTF">2023-02-01T15:47:00Z</dcterms:modified>
</cp:coreProperties>
</file>