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1800"/>
        <w:gridCol w:w="900"/>
        <w:gridCol w:w="1620"/>
        <w:gridCol w:w="540"/>
        <w:gridCol w:w="540"/>
        <w:gridCol w:w="2880"/>
      </w:tblGrid>
      <w:tr w:rsidR="001456EA">
        <w:trPr>
          <w:cantSplit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56EA" w:rsidRDefault="00A725DA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Compatibility Testing- AHG Gel Testing </w:t>
            </w:r>
          </w:p>
          <w:p w:rsidR="001456EA" w:rsidRDefault="001456EA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1456EA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456EA" w:rsidRDefault="001456E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1456EA" w:rsidRDefault="00A725D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1456EA" w:rsidRDefault="001456EA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1456EA" w:rsidRDefault="00A725DA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 for </w:t>
            </w:r>
            <w:proofErr w:type="spellStart"/>
            <w:r>
              <w:rPr>
                <w:rFonts w:ascii="Arial" w:hAnsi="Arial" w:cs="Arial"/>
              </w:rPr>
              <w:t>crossmatching</w:t>
            </w:r>
            <w:proofErr w:type="spellEnd"/>
            <w:r>
              <w:rPr>
                <w:rFonts w:ascii="Arial" w:hAnsi="Arial" w:cs="Arial"/>
              </w:rPr>
              <w:t xml:space="preserve"> of patient’s plasma/serum against donor cells using the gel testing methodology. Testing is performed to determine compatibility of red cell products to intended recipient. </w:t>
            </w:r>
          </w:p>
          <w:p w:rsidR="001456EA" w:rsidRDefault="001456EA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1456EA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456EA" w:rsidRDefault="001456E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456EA" w:rsidRDefault="00A725D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1456EA" w:rsidRDefault="001456EA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456EA" w:rsidRDefault="00A725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Refer to </w:t>
            </w:r>
            <w:hyperlink r:id="rId8" w:history="1">
              <w:r>
                <w:rPr>
                  <w:rStyle w:val="Hyperlink"/>
                  <w:rFonts w:ascii="Arial" w:hAnsi="Arial"/>
                  <w:sz w:val="20"/>
                </w:rPr>
                <w:t>TS 3.4 Crossmatch Process-Red Cell Orders for Patients over 4 months old</w:t>
              </w:r>
            </w:hyperlink>
            <w:r>
              <w:rPr>
                <w:rFonts w:ascii="Arial" w:hAnsi="Arial"/>
                <w:sz w:val="20"/>
              </w:rPr>
              <w:t xml:space="preserve"> for general policy statements related to compatibility testing, selection of compatibility testing method, and red blood cell selection.</w:t>
            </w:r>
          </w:p>
          <w:p w:rsidR="001456EA" w:rsidRDefault="00A725DA" w:rsidP="00FA67CD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</w:t>
            </w:r>
            <w:proofErr w:type="spellStart"/>
            <w:r>
              <w:rPr>
                <w:rFonts w:ascii="Arial" w:hAnsi="Arial" w:cs="Arial"/>
                <w:sz w:val="20"/>
              </w:rPr>
              <w:t>antiglobulin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crossmatch is required for all red cell transfusions in patients who currently demonstrate or have a history of clinically significant antibodies.</w:t>
            </w:r>
          </w:p>
          <w:p w:rsidR="001456EA" w:rsidRDefault="00A725DA" w:rsidP="00FA67CD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Donor units that are antigen negative to the clinically significant antibody(s) shall be selected for compatibility testing.</w:t>
            </w:r>
          </w:p>
          <w:p w:rsidR="001456EA" w:rsidRDefault="00A725DA" w:rsidP="00FA67CD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An Immediate Spin Tube Crossmatch (TS 4.21) must be performed in conjunction with an AHG Gel Crossmatch during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Sunquest</w:t>
            </w:r>
            <w:proofErr w:type="spellEnd"/>
            <w:r>
              <w:rPr>
                <w:rFonts w:ascii="Arial" w:hAnsi="Arial" w:cs="Arial"/>
                <w:color w:val="FF0000"/>
                <w:sz w:val="20"/>
              </w:rPr>
              <w:t xml:space="preserve"> system downtimes to verify patient/donor ABO compatibility.</w:t>
            </w:r>
          </w:p>
          <w:p w:rsidR="001456EA" w:rsidRDefault="00A725DA" w:rsidP="00FA67CD">
            <w:pPr>
              <w:numPr>
                <w:ilvl w:val="0"/>
                <w:numId w:val="5"/>
              </w:numPr>
              <w:tabs>
                <w:tab w:val="left" w:pos="-1440"/>
              </w:tabs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Crossmatching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performed by MBC does NOT need to be repeated at Children’s.</w:t>
            </w:r>
          </w:p>
          <w:p w:rsidR="001456EA" w:rsidRDefault="001456EA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1456EA">
        <w:trPr>
          <w:cantSplit/>
          <w:trHeight w:val="79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456EA" w:rsidRDefault="001456E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456EA" w:rsidRDefault="00A725D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Test Codes</w:t>
            </w:r>
          </w:p>
          <w:p w:rsidR="001456EA" w:rsidRDefault="001456EA">
            <w:pPr>
              <w:ind w:right="308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1456EA" w:rsidRDefault="001456E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456EA" w:rsidRDefault="00A725DA">
            <w:pPr>
              <w:tabs>
                <w:tab w:val="num" w:pos="540"/>
                <w:tab w:val="num" w:pos="21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%XM is a test that is automatically added to a pre-transfusion testing battery (TYAS, HOLD, DCAS) when red cell products are allocated under the associated accession number.</w:t>
            </w:r>
          </w:p>
          <w:p w:rsidR="001456EA" w:rsidRDefault="001456E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456EA">
        <w:trPr>
          <w:cantSplit/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456EA" w:rsidRDefault="001456E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456EA" w:rsidRDefault="00A725D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</w:t>
            </w:r>
          </w:p>
          <w:p w:rsidR="001456EA" w:rsidRDefault="00A725D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1456EA" w:rsidRDefault="001456E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456EA" w:rsidRDefault="00A725DA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847468">
              <w:rPr>
                <w:rFonts w:ascii="Arial" w:hAnsi="Arial" w:cs="Arial"/>
                <w:sz w:val="20"/>
              </w:rPr>
              <w:t>TS 7.14 Making a 0.8% Donor Unit Cell Suspension</w:t>
            </w:r>
          </w:p>
          <w:p w:rsidR="001456EA" w:rsidRDefault="00A725D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TS 4.9  Grading and Interpretation of Gel Card Reactions</w:t>
            </w:r>
          </w:p>
          <w:p w:rsidR="001456EA" w:rsidRDefault="00847468">
            <w:pPr>
              <w:jc w:val="left"/>
              <w:rPr>
                <w:rFonts w:ascii="Arial" w:hAnsi="Arial"/>
                <w:sz w:val="20"/>
              </w:rPr>
            </w:pPr>
            <w:hyperlink r:id="rId9" w:history="1">
              <w:r w:rsidR="00A725DA">
                <w:rPr>
                  <w:rStyle w:val="Hyperlink"/>
                  <w:rFonts w:ascii="Arial" w:hAnsi="Arial"/>
                  <w:sz w:val="20"/>
                </w:rPr>
                <w:t>TS 5.2 Blood Order Processing</w:t>
              </w:r>
            </w:hyperlink>
          </w:p>
          <w:p w:rsidR="001456EA" w:rsidRDefault="00A725D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/>
                <w:sz w:val="20"/>
              </w:rPr>
              <w:t>TS 4.34 Investigating an Incompatible Crossmatch</w:t>
            </w:r>
          </w:p>
          <w:p w:rsidR="001456EA" w:rsidRDefault="001456E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456EA">
        <w:trPr>
          <w:cantSplit/>
          <w:trHeight w:val="19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456EA" w:rsidRDefault="001456EA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1456EA" w:rsidRDefault="001456EA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1456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 w:val="restart"/>
            <w:tcBorders>
              <w:left w:val="nil"/>
              <w:right w:val="single" w:sz="6" w:space="0" w:color="auto"/>
            </w:tcBorders>
          </w:tcPr>
          <w:p w:rsidR="001456EA" w:rsidRDefault="00A725DA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Materials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1456EA" w:rsidRDefault="00A725DA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1456EA" w:rsidRDefault="00A725DA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1456EA" w:rsidRDefault="00A725DA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1456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5"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</w:tcPr>
          <w:p w:rsidR="001456EA" w:rsidRDefault="001456EA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0F12" w:rsidRDefault="00370F12" w:rsidP="00FA67CD">
            <w:pPr>
              <w:numPr>
                <w:ilvl w:val="0"/>
                <w:numId w:val="6"/>
              </w:numPr>
              <w:tabs>
                <w:tab w:val="clear" w:pos="777"/>
                <w:tab w:val="num" w:pos="432"/>
              </w:tabs>
              <w:ind w:hanging="7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IH-Incubator L</w:t>
            </w:r>
          </w:p>
          <w:p w:rsidR="00370F12" w:rsidRDefault="00370F12" w:rsidP="00FA67CD">
            <w:pPr>
              <w:numPr>
                <w:ilvl w:val="0"/>
                <w:numId w:val="6"/>
              </w:numPr>
              <w:tabs>
                <w:tab w:val="clear" w:pos="777"/>
                <w:tab w:val="num" w:pos="432"/>
              </w:tabs>
              <w:ind w:hanging="7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IH-Centrifuge L</w:t>
            </w:r>
          </w:p>
          <w:p w:rsidR="00370F12" w:rsidRDefault="00370F12" w:rsidP="00FA67CD">
            <w:pPr>
              <w:numPr>
                <w:ilvl w:val="0"/>
                <w:numId w:val="6"/>
              </w:numPr>
              <w:tabs>
                <w:tab w:val="clear" w:pos="777"/>
                <w:tab w:val="num" w:pos="432"/>
              </w:tabs>
              <w:ind w:hanging="7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IH-Reader 24</w:t>
            </w:r>
            <w:r w:rsidR="00847468">
              <w:rPr>
                <w:rFonts w:ascii="Arial" w:hAnsi="Arial" w:cs="Arial"/>
                <w:sz w:val="20"/>
              </w:rPr>
              <w:t>-Stp only</w:t>
            </w:r>
          </w:p>
          <w:p w:rsidR="001456EA" w:rsidRPr="00370F12" w:rsidRDefault="00370F12" w:rsidP="00370F12">
            <w:pPr>
              <w:tabs>
                <w:tab w:val="num" w:pos="432"/>
              </w:tabs>
              <w:ind w:left="57" w:hanging="70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Biohi</w:t>
            </w:r>
            <w:proofErr w:type="spellEnd"/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6EA" w:rsidRDefault="00370F12" w:rsidP="00FA67CD">
            <w:pPr>
              <w:numPr>
                <w:ilvl w:val="0"/>
                <w:numId w:val="3"/>
              </w:numPr>
              <w:tabs>
                <w:tab w:val="num" w:pos="360"/>
              </w:tabs>
              <w:ind w:left="237" w:hanging="1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IH-Card AHG Anti-IgG</w:t>
            </w:r>
          </w:p>
          <w:p w:rsidR="001456EA" w:rsidRDefault="001456EA">
            <w:pPr>
              <w:ind w:left="57"/>
              <w:rPr>
                <w:rFonts w:ascii="Arial" w:hAnsi="Arial" w:cs="Arial"/>
                <w:b/>
                <w:bCs/>
                <w:sz w:val="20"/>
              </w:rPr>
            </w:pPr>
          </w:p>
          <w:p w:rsidR="001456EA" w:rsidRDefault="001456EA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456EA" w:rsidRDefault="001456E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6EA" w:rsidRDefault="00A725DA" w:rsidP="00847468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MLA pipette tips</w:t>
            </w:r>
          </w:p>
          <w:p w:rsidR="001456EA" w:rsidRDefault="00A725DA" w:rsidP="00847468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Donor unit segments/ </w:t>
            </w:r>
          </w:p>
          <w:p w:rsidR="001456EA" w:rsidRDefault="00A725DA">
            <w:pPr>
              <w:ind w:left="5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pilot tube</w:t>
            </w:r>
          </w:p>
          <w:p w:rsidR="00370F12" w:rsidRDefault="00370F12" w:rsidP="00847468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x 75 mm test tubes</w:t>
            </w:r>
          </w:p>
          <w:p w:rsidR="00847468" w:rsidRDefault="00847468" w:rsidP="0084746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  <w:r>
              <w:rPr>
                <w:rFonts w:ascii="Arial" w:hAnsi="Arial" w:cs="Arial"/>
                <w:sz w:val="20"/>
              </w:rPr>
              <w:sym w:font="Symbol" w:char="F06D"/>
            </w:r>
            <w:r>
              <w:rPr>
                <w:rFonts w:ascii="Arial" w:hAnsi="Arial" w:cs="Arial"/>
                <w:sz w:val="20"/>
              </w:rPr>
              <w:t>l MLA pipette</w:t>
            </w:r>
          </w:p>
          <w:p w:rsidR="00847468" w:rsidRDefault="00847468" w:rsidP="0084746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25 </w:t>
            </w:r>
            <w:r>
              <w:rPr>
                <w:rFonts w:ascii="Arial" w:hAnsi="Arial" w:cs="Arial"/>
                <w:sz w:val="20"/>
              </w:rPr>
              <w:sym w:font="Symbol" w:char="F06D"/>
            </w:r>
            <w:r>
              <w:rPr>
                <w:rFonts w:ascii="Arial" w:hAnsi="Arial" w:cs="Arial"/>
                <w:sz w:val="20"/>
              </w:rPr>
              <w:t>l MLA pipette</w:t>
            </w:r>
          </w:p>
          <w:p w:rsidR="00847468" w:rsidRDefault="00847468" w:rsidP="0084746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 </w:t>
            </w:r>
            <w:r>
              <w:rPr>
                <w:rFonts w:ascii="Arial" w:hAnsi="Arial" w:cs="Arial"/>
                <w:sz w:val="20"/>
              </w:rPr>
              <w:sym w:font="Symbol" w:char="F06D"/>
            </w:r>
            <w:r>
              <w:rPr>
                <w:rFonts w:ascii="Arial" w:hAnsi="Arial" w:cs="Arial"/>
                <w:sz w:val="20"/>
              </w:rPr>
              <w:t>l MLA pipette</w:t>
            </w:r>
          </w:p>
          <w:p w:rsidR="00847468" w:rsidRDefault="00847468" w:rsidP="0084746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1000 </w:t>
            </w:r>
            <w:r>
              <w:rPr>
                <w:rFonts w:ascii="Arial" w:hAnsi="Arial" w:cs="Arial"/>
                <w:sz w:val="20"/>
              </w:rPr>
              <w:sym w:font="Symbol" w:char="F06D"/>
            </w:r>
            <w:r>
              <w:rPr>
                <w:rFonts w:ascii="Arial" w:hAnsi="Arial" w:cs="Arial"/>
                <w:sz w:val="20"/>
              </w:rPr>
              <w:t>l MLA pipette</w:t>
            </w:r>
          </w:p>
          <w:p w:rsidR="00847468" w:rsidRPr="00370F12" w:rsidRDefault="00847468" w:rsidP="00847468">
            <w:pPr>
              <w:pStyle w:val="ListParagraph"/>
              <w:ind w:left="417"/>
              <w:jc w:val="left"/>
              <w:rPr>
                <w:rFonts w:ascii="Arial" w:hAnsi="Arial" w:cs="Arial"/>
                <w:sz w:val="20"/>
              </w:rPr>
            </w:pPr>
          </w:p>
          <w:p w:rsidR="00370F12" w:rsidRDefault="00370F12" w:rsidP="00370F1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456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:rsidR="001456EA" w:rsidRDefault="001456EA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1456EA" w:rsidRDefault="001456E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1456EA" w:rsidRDefault="001456EA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456EA" w:rsidRDefault="00A725DA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Sample</w:t>
            </w:r>
          </w:p>
          <w:p w:rsidR="001456EA" w:rsidRDefault="001456EA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1456EA" w:rsidRDefault="001456EA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  <w:p w:rsidR="001456EA" w:rsidRDefault="00A725DA">
            <w:pPr>
              <w:pStyle w:val="Body"/>
              <w:ind w:left="1440" w:hanging="1440"/>
              <w:rPr>
                <w:rFonts w:cs="Arial"/>
                <w:color w:val="auto"/>
                <w:sz w:val="20"/>
                <w:szCs w:val="24"/>
              </w:rPr>
            </w:pPr>
            <w:r>
              <w:rPr>
                <w:rFonts w:cs="Arial"/>
                <w:color w:val="auto"/>
                <w:sz w:val="20"/>
                <w:szCs w:val="24"/>
              </w:rPr>
              <w:t>No special preparation of the patient is required prior to specimen collection. Blood should be collected</w:t>
            </w:r>
          </w:p>
          <w:p w:rsidR="001456EA" w:rsidRDefault="00A725DA">
            <w:pPr>
              <w:pStyle w:val="Body"/>
              <w:ind w:left="1440" w:hanging="1440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color w:val="auto"/>
                <w:sz w:val="20"/>
                <w:szCs w:val="24"/>
              </w:rPr>
              <w:t>and</w:t>
            </w:r>
            <w:proofErr w:type="gramEnd"/>
            <w:r>
              <w:rPr>
                <w:rFonts w:cs="Arial"/>
                <w:color w:val="auto"/>
                <w:sz w:val="20"/>
                <w:szCs w:val="24"/>
              </w:rPr>
              <w:t xml:space="preserve"> labeled according to approved policies and procedures. </w:t>
            </w:r>
            <w:hyperlink r:id="rId10" w:history="1">
              <w:r>
                <w:rPr>
                  <w:rStyle w:val="Hyperlink"/>
                  <w:rFonts w:cs="Arial"/>
                  <w:sz w:val="20"/>
                  <w:szCs w:val="24"/>
                </w:rPr>
                <w:t>Collection of Patient Specimens</w:t>
              </w:r>
            </w:hyperlink>
          </w:p>
          <w:p w:rsidR="001456EA" w:rsidRDefault="001456EA">
            <w:pPr>
              <w:pStyle w:val="Header"/>
              <w:tabs>
                <w:tab w:val="clear" w:pos="4320"/>
                <w:tab w:val="clear" w:pos="8640"/>
              </w:tabs>
            </w:pPr>
          </w:p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Fresh serum or plasma collected with anticoagulant (EDTA) may be used in </w:t>
            </w:r>
            <w:proofErr w:type="spellStart"/>
            <w:r>
              <w:rPr>
                <w:rFonts w:ascii="Arial" w:hAnsi="Arial" w:cs="Arial"/>
                <w:sz w:val="20"/>
              </w:rPr>
              <w:t>crossmatching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Testing should be performed as soon as possible. Samples that cannot be tested immediately should be stored at 2-8</w:t>
            </w:r>
            <w:r>
              <w:rPr>
                <w:rFonts w:ascii="Arial" w:hAnsi="Arial" w:cs="Arial"/>
                <w:sz w:val="20"/>
              </w:rPr>
              <w:sym w:font="Symbol" w:char="F0B0"/>
            </w:r>
            <w:r>
              <w:rPr>
                <w:rFonts w:ascii="Arial" w:hAnsi="Arial" w:cs="Arial"/>
                <w:sz w:val="20"/>
              </w:rPr>
              <w:t xml:space="preserve">C. </w:t>
            </w:r>
          </w:p>
          <w:p w:rsidR="001456EA" w:rsidRDefault="00A725DA">
            <w:r>
              <w:rPr>
                <w:rFonts w:ascii="Arial" w:hAnsi="Arial" w:cs="Arial"/>
                <w:sz w:val="20"/>
              </w:rPr>
              <w:t xml:space="preserve">In the case of potential recipients of blood transfusion, specimens must be tested within 3 days of collection if the patient has been transfused pregnant in the preceding 3 months, or if the history is uncertain or unavailable. </w:t>
            </w:r>
          </w:p>
          <w:p w:rsidR="001456EA" w:rsidRDefault="00A725D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grossly icteric blood samples may cause difficulty in interpretation, and test results should be used with caution. </w:t>
            </w:r>
          </w:p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Grossly </w:t>
            </w:r>
            <w:proofErr w:type="spellStart"/>
            <w:r>
              <w:rPr>
                <w:rFonts w:ascii="Arial" w:hAnsi="Arial" w:cs="Arial"/>
                <w:sz w:val="20"/>
              </w:rPr>
              <w:t>lipemic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samples containing particulates that clog the gel, as indicated by diffuse blotches of red blood cells in the </w:t>
            </w:r>
            <w:proofErr w:type="spellStart"/>
            <w:r>
              <w:rPr>
                <w:rFonts w:ascii="Arial" w:hAnsi="Arial" w:cs="Arial"/>
                <w:sz w:val="20"/>
              </w:rPr>
              <w:t>microtube</w:t>
            </w:r>
            <w:proofErr w:type="spellEnd"/>
            <w:r>
              <w:rPr>
                <w:rFonts w:ascii="Arial" w:hAnsi="Arial" w:cs="Arial"/>
                <w:sz w:val="20"/>
              </w:rPr>
              <w:t>, may be clarified by centrifugation or filtration and retested.</w:t>
            </w:r>
          </w:p>
          <w:p w:rsidR="001456EA" w:rsidRDefault="00A725D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Rouleaux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may cause false positive results.</w:t>
            </w:r>
          </w:p>
          <w:p w:rsidR="001456EA" w:rsidRDefault="00A725DA">
            <w:pPr>
              <w:pStyle w:val="TableText"/>
              <w:autoSpaceDE/>
              <w:autoSpaceDN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</w:rPr>
              <w:t xml:space="preserve">Donor red blood cells may be used within the dating period of the unit. Red blood cells that are direct </w:t>
            </w:r>
            <w:proofErr w:type="spellStart"/>
            <w:r>
              <w:rPr>
                <w:rFonts w:ascii="Arial" w:hAnsi="Arial" w:cs="Arial"/>
              </w:rPr>
              <w:t>antiglobulin</w:t>
            </w:r>
            <w:proofErr w:type="spellEnd"/>
            <w:r>
              <w:rPr>
                <w:rFonts w:ascii="Arial" w:hAnsi="Arial" w:cs="Arial"/>
              </w:rPr>
              <w:t xml:space="preserve"> positive should not be used.</w:t>
            </w:r>
          </w:p>
          <w:p w:rsidR="001456EA" w:rsidRDefault="001456EA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</w:tc>
      </w:tr>
      <w:tr w:rsidR="001456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1456EA" w:rsidRDefault="001456E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456EA" w:rsidRDefault="00A725DA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Quality Control</w:t>
            </w:r>
          </w:p>
          <w:p w:rsidR="001456EA" w:rsidRDefault="001456EA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1456EA" w:rsidRDefault="001456EA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456EA" w:rsidRDefault="00A725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Refer to TS </w:t>
            </w:r>
            <w:r w:rsidR="00847468">
              <w:rPr>
                <w:rFonts w:ascii="Arial" w:hAnsi="Arial" w:cs="Arial"/>
                <w:sz w:val="20"/>
              </w:rPr>
              <w:t>18.14</w:t>
            </w:r>
            <w:r>
              <w:rPr>
                <w:rFonts w:ascii="Arial" w:hAnsi="Arial" w:cs="Arial"/>
                <w:sz w:val="20"/>
              </w:rPr>
              <w:t xml:space="preserve"> Performing </w:t>
            </w:r>
            <w:r w:rsidR="00847468">
              <w:rPr>
                <w:rFonts w:ascii="Arial" w:hAnsi="Arial" w:cs="Arial"/>
                <w:sz w:val="20"/>
              </w:rPr>
              <w:t>Quality Control IH-Reader 24 or Manual System</w:t>
            </w:r>
          </w:p>
          <w:p w:rsidR="001456EA" w:rsidRDefault="00A725DA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Reagents must be evaluated each day of use with appropriate controls.</w:t>
            </w:r>
          </w:p>
        </w:tc>
      </w:tr>
      <w:tr w:rsidR="001456EA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456EA" w:rsidRDefault="001456EA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1456EA" w:rsidRDefault="00A725D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 xml:space="preserve">Before </w:t>
            </w:r>
          </w:p>
          <w:p w:rsidR="001456EA" w:rsidRDefault="00A725DA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You Begin</w:t>
            </w:r>
          </w:p>
          <w:p w:rsidR="001456EA" w:rsidRDefault="001456EA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1456EA" w:rsidRDefault="001456EA">
            <w:pPr>
              <w:jc w:val="left"/>
              <w:rPr>
                <w:rFonts w:ascii="Arial" w:hAnsi="Arial" w:cs="Arial"/>
                <w:sz w:val="20"/>
              </w:rPr>
            </w:pPr>
          </w:p>
          <w:p w:rsidR="001456EA" w:rsidRDefault="00A725DA" w:rsidP="00FA67CD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sample acceptability and review patient history per procedure.</w:t>
            </w:r>
          </w:p>
          <w:p w:rsidR="001456EA" w:rsidRDefault="00A725DA" w:rsidP="00FA67CD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 and label Gel Card per TS 4.7 Inspection and Labeling of Gel Cards.</w:t>
            </w:r>
          </w:p>
          <w:p w:rsidR="001456EA" w:rsidRDefault="00A725DA" w:rsidP="00FA67CD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Bring samples and reagents to room temperature (18-25</w:t>
            </w:r>
            <w:r>
              <w:rPr>
                <w:rFonts w:ascii="Arial" w:hAnsi="Arial" w:cs="Arial"/>
                <w:sz w:val="20"/>
              </w:rPr>
              <w:sym w:font="Symbol" w:char="F0B0"/>
            </w:r>
            <w:r>
              <w:rPr>
                <w:rFonts w:ascii="Arial" w:hAnsi="Arial" w:cs="Arial"/>
                <w:sz w:val="20"/>
              </w:rPr>
              <w:t>C)</w:t>
            </w:r>
          </w:p>
          <w:p w:rsidR="001456EA" w:rsidRDefault="001456EA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56EA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456EA" w:rsidRDefault="001456EA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1456EA" w:rsidRDefault="00A725DA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1456EA" w:rsidRDefault="001456EA">
            <w:pPr>
              <w:jc w:val="left"/>
              <w:rPr>
                <w:rFonts w:ascii="Arial" w:hAnsi="Arial" w:cs="Arial"/>
                <w:sz w:val="20"/>
              </w:rPr>
            </w:pPr>
          </w:p>
          <w:p w:rsidR="001456EA" w:rsidRDefault="001456E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56EA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6EA" w:rsidRDefault="001456E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456EA" w:rsidRDefault="00A725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456EA" w:rsidRDefault="00A725DA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1456EA">
        <w:trPr>
          <w:cantSplit/>
          <w:trHeight w:val="27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6EA" w:rsidRDefault="00A725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7"/>
            <w:tcBorders>
              <w:top w:val="single" w:sz="4" w:space="0" w:color="auto"/>
              <w:left w:val="single" w:sz="6" w:space="0" w:color="auto"/>
            </w:tcBorders>
          </w:tcPr>
          <w:p w:rsidR="001456EA" w:rsidRDefault="00A725DA">
            <w:pPr>
              <w:tabs>
                <w:tab w:val="left" w:pos="-14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Obtain patient sample.</w:t>
            </w:r>
          </w:p>
        </w:tc>
      </w:tr>
      <w:tr w:rsidR="001456EA">
        <w:trPr>
          <w:cantSplit/>
          <w:trHeight w:val="27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6EA" w:rsidRDefault="00A725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7"/>
            <w:tcBorders>
              <w:top w:val="single" w:sz="4" w:space="0" w:color="auto"/>
              <w:left w:val="single" w:sz="6" w:space="0" w:color="auto"/>
            </w:tcBorders>
          </w:tcPr>
          <w:p w:rsidR="003E353F" w:rsidRDefault="00A725DA">
            <w:pPr>
              <w:tabs>
                <w:tab w:val="left" w:pos="-14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Select the appropriate donor units for the patient with regard to ABO, Rh, component type, age of unit, and transfusion request specifications. </w:t>
            </w:r>
            <w:r>
              <w:rPr>
                <w:rFonts w:ascii="Arial" w:hAnsi="Arial"/>
                <w:sz w:val="20"/>
              </w:rPr>
              <w:t xml:space="preserve">Refer to </w:t>
            </w:r>
            <w:hyperlink r:id="rId11" w:history="1">
              <w:r>
                <w:rPr>
                  <w:rStyle w:val="Hyperlink"/>
                  <w:rFonts w:ascii="Arial" w:hAnsi="Arial"/>
                  <w:sz w:val="20"/>
                </w:rPr>
                <w:t>TS 3.4 Crossmatch Process-Red Cell Orders for Patients over 4 months old</w:t>
              </w:r>
            </w:hyperlink>
            <w:r>
              <w:rPr>
                <w:rFonts w:ascii="Arial" w:hAnsi="Arial"/>
                <w:sz w:val="20"/>
              </w:rPr>
              <w:t xml:space="preserve">  </w:t>
            </w:r>
          </w:p>
          <w:p w:rsidR="001456EA" w:rsidRPr="003E353F" w:rsidRDefault="00A725DA">
            <w:pPr>
              <w:tabs>
                <w:tab w:val="left" w:pos="-1440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3E353F">
              <w:rPr>
                <w:rFonts w:ascii="Arial" w:hAnsi="Arial" w:cs="Arial"/>
                <w:b/>
                <w:sz w:val="20"/>
              </w:rPr>
              <w:t xml:space="preserve">Note: Units must be prepared/modified to meet patient attributes prior to allocation in </w:t>
            </w:r>
            <w:proofErr w:type="spellStart"/>
            <w:r w:rsidRPr="003E353F">
              <w:rPr>
                <w:rFonts w:ascii="Arial" w:hAnsi="Arial" w:cs="Arial"/>
                <w:b/>
                <w:sz w:val="20"/>
              </w:rPr>
              <w:t>Sunquest</w:t>
            </w:r>
            <w:proofErr w:type="spellEnd"/>
            <w:r w:rsidRPr="003E353F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456EA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6EA" w:rsidRDefault="00A725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7"/>
            <w:tcBorders>
              <w:left w:val="single" w:sz="6" w:space="0" w:color="auto"/>
              <w:bottom w:val="nil"/>
            </w:tcBorders>
          </w:tcPr>
          <w:p w:rsidR="001456EA" w:rsidRDefault="00A725DA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patient information and unit selection in function Blood Order Processing or on Downtime worksheet</w:t>
            </w:r>
            <w:r w:rsidRPr="003E353F">
              <w:rPr>
                <w:rFonts w:ascii="Arial" w:hAnsi="Arial"/>
                <w:b/>
                <w:sz w:val="20"/>
              </w:rPr>
              <w:t>. Refer to Result Reporting section.</w:t>
            </w:r>
          </w:p>
        </w:tc>
      </w:tr>
      <w:tr w:rsidR="001456EA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6EA" w:rsidRDefault="00A725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1456EA" w:rsidRDefault="003E35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Allow reagents and samples to reach room temperature (18-25°C) before use.</w:t>
            </w:r>
          </w:p>
        </w:tc>
      </w:tr>
      <w:tr w:rsidR="001456EA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6EA" w:rsidRDefault="00A725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1456EA" w:rsidRPr="003E353F" w:rsidRDefault="003E353F">
            <w:pPr>
              <w:pStyle w:val="Heading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003E353F">
              <w:rPr>
                <w:rFonts w:ascii="Arial" w:hAnsi="Arial"/>
                <w:b w:val="0"/>
                <w:bCs w:val="0"/>
                <w:sz w:val="20"/>
                <w:szCs w:val="20"/>
              </w:rPr>
              <w:t>Prepare cell suspension as follows:</w:t>
            </w:r>
          </w:p>
          <w:p w:rsidR="003E353F" w:rsidRDefault="003E353F" w:rsidP="003E35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E353F">
              <w:rPr>
                <w:rFonts w:ascii="Arial" w:hAnsi="Arial" w:cs="Arial"/>
                <w:sz w:val="20"/>
                <w:szCs w:val="20"/>
              </w:rPr>
              <w:t>Pi</w:t>
            </w:r>
            <w:r>
              <w:rPr>
                <w:rFonts w:ascii="Arial" w:hAnsi="Arial" w:cs="Arial"/>
                <w:sz w:val="20"/>
                <w:szCs w:val="20"/>
              </w:rPr>
              <w:t>pette 1 mL IH-LISS into an appropriately labeled test tube.</w:t>
            </w:r>
          </w:p>
          <w:p w:rsidR="003E353F" w:rsidRDefault="003E353F" w:rsidP="003E35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donor packed red cells to the IH-LISS.</w:t>
            </w:r>
          </w:p>
          <w:p w:rsidR="003E353F" w:rsidRPr="003E353F" w:rsidRDefault="003E353F" w:rsidP="003E35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</w:t>
            </w:r>
          </w:p>
        </w:tc>
      </w:tr>
      <w:tr w:rsidR="001456EA">
        <w:trPr>
          <w:cantSplit/>
          <w:trHeight w:val="345"/>
        </w:trPr>
        <w:tc>
          <w:tcPr>
            <w:tcW w:w="1620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56EA" w:rsidRDefault="00A725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1456EA" w:rsidRDefault="003E353F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Inspect the IH-Card for evidence of damage to the foil or drying of the gel. Do not use if such evidence is observed. IH-Cards with splashes of gel in the reaction chamber may be centrifuged prior to use.</w:t>
            </w:r>
          </w:p>
        </w:tc>
      </w:tr>
      <w:tr w:rsidR="001456EA" w:rsidTr="003E353F">
        <w:trPr>
          <w:cantSplit/>
          <w:trHeight w:val="435"/>
        </w:trPr>
        <w:tc>
          <w:tcPr>
            <w:tcW w:w="1620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56EA" w:rsidRDefault="00A725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1456EA" w:rsidRDefault="003E353F" w:rsidP="00847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Label the IH-Card according to procedure </w:t>
            </w:r>
            <w:r w:rsidR="00847468">
              <w:rPr>
                <w:rFonts w:ascii="Arial" w:hAnsi="Arial" w:cs="Arial"/>
                <w:sz w:val="20"/>
              </w:rPr>
              <w:t>TS 4.07 Inspection and Labeling of Gel Cards.</w:t>
            </w:r>
          </w:p>
        </w:tc>
      </w:tr>
      <w:tr w:rsidR="001456EA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6EA" w:rsidRDefault="00A725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1456EA" w:rsidRDefault="003E35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Carefully peel back the foil seal from the individual </w:t>
            </w:r>
            <w:proofErr w:type="spellStart"/>
            <w:r>
              <w:rPr>
                <w:rFonts w:ascii="Arial" w:hAnsi="Arial" w:cs="Arial"/>
                <w:sz w:val="20"/>
              </w:rPr>
              <w:t>microtubes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the IH-Card being used for the testing leaving the seal in place for </w:t>
            </w:r>
            <w:proofErr w:type="spellStart"/>
            <w:r>
              <w:rPr>
                <w:rFonts w:ascii="Arial" w:hAnsi="Arial" w:cs="Arial"/>
                <w:sz w:val="20"/>
              </w:rPr>
              <w:t>microtubes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not being used.</w:t>
            </w:r>
          </w:p>
          <w:p w:rsidR="003E353F" w:rsidRPr="003E353F" w:rsidRDefault="003E353F">
            <w:pPr>
              <w:rPr>
                <w:rFonts w:ascii="Arial" w:hAnsi="Arial" w:cs="Arial"/>
                <w:b/>
                <w:sz w:val="20"/>
              </w:rPr>
            </w:pPr>
            <w:r w:rsidRPr="003E353F">
              <w:rPr>
                <w:rFonts w:ascii="Arial" w:hAnsi="Arial" w:cs="Arial"/>
                <w:b/>
                <w:sz w:val="20"/>
              </w:rPr>
              <w:t xml:space="preserve">Note: Once the foil has been removed from the </w:t>
            </w:r>
            <w:proofErr w:type="spellStart"/>
            <w:r w:rsidRPr="003E353F">
              <w:rPr>
                <w:rFonts w:ascii="Arial" w:hAnsi="Arial" w:cs="Arial"/>
                <w:b/>
                <w:sz w:val="20"/>
              </w:rPr>
              <w:t>microtubes</w:t>
            </w:r>
            <w:proofErr w:type="spellEnd"/>
            <w:r w:rsidRPr="003E353F">
              <w:rPr>
                <w:rFonts w:ascii="Arial" w:hAnsi="Arial" w:cs="Arial"/>
                <w:b/>
                <w:sz w:val="20"/>
              </w:rPr>
              <w:t xml:space="preserve">, testing must be initiated as soon as possible (recommended within 20 minutes) to prevent drying o the </w:t>
            </w:r>
            <w:proofErr w:type="spellStart"/>
            <w:r w:rsidRPr="003E353F">
              <w:rPr>
                <w:rFonts w:ascii="Arial" w:hAnsi="Arial" w:cs="Arial"/>
                <w:b/>
                <w:sz w:val="20"/>
              </w:rPr>
              <w:t>microtubes</w:t>
            </w:r>
            <w:proofErr w:type="spellEnd"/>
            <w:r w:rsidRPr="003E353F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1456EA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6EA" w:rsidRDefault="00A725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1456EA" w:rsidRDefault="003E35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50 </w:t>
            </w:r>
            <w:proofErr w:type="spellStart"/>
            <w:r>
              <w:rPr>
                <w:rFonts w:ascii="Arial" w:hAnsi="Arial" w:cs="Arial"/>
                <w:sz w:val="20"/>
              </w:rPr>
              <w:t>μL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the donor red cell suspension to the correspondingly labeled </w:t>
            </w:r>
            <w:proofErr w:type="spellStart"/>
            <w:r>
              <w:rPr>
                <w:rFonts w:ascii="Arial" w:hAnsi="Arial" w:cs="Arial"/>
                <w:sz w:val="20"/>
              </w:rPr>
              <w:t>microtube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reaction chamber on the IH-Card taking care to maintain the air gap between the cells in the upper reaction chamber and the AHG reagent in the column of the </w:t>
            </w:r>
            <w:proofErr w:type="spellStart"/>
            <w:r>
              <w:rPr>
                <w:rFonts w:ascii="Arial" w:hAnsi="Arial" w:cs="Arial"/>
                <w:sz w:val="20"/>
              </w:rPr>
              <w:t>microtube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1456EA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6EA" w:rsidRDefault="00A725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1456EA" w:rsidRDefault="003E35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25 </w:t>
            </w:r>
            <w:proofErr w:type="spellStart"/>
            <w:r>
              <w:rPr>
                <w:rFonts w:ascii="Arial" w:hAnsi="Arial" w:cs="Arial"/>
                <w:sz w:val="20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patient plasma/serum to the reaction chamber of the </w:t>
            </w:r>
            <w:proofErr w:type="spellStart"/>
            <w:r>
              <w:rPr>
                <w:rFonts w:ascii="Arial" w:hAnsi="Arial" w:cs="Arial"/>
                <w:sz w:val="20"/>
              </w:rPr>
              <w:t>microtube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containing the donor cells.</w:t>
            </w:r>
          </w:p>
        </w:tc>
      </w:tr>
      <w:tr w:rsidR="001456EA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6EA" w:rsidRDefault="00A725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88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1456EA" w:rsidRDefault="009A0241" w:rsidP="009A02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the IH-Card(s) in a card rack or the 24-card centrifuge head.  Place in the IH-Incubator L and incubate 15-20 minutes at pre-set temperature of 37 ±1°C.</w:t>
            </w:r>
          </w:p>
        </w:tc>
      </w:tr>
      <w:tr w:rsidR="001456EA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6EA" w:rsidRDefault="00A725D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88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1456EA" w:rsidRDefault="009A02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 incubation, centrifuge the IH Cards using the 24-card head in the IH-Reader 24 or IH-Centrifuge L at the pre-set time and speed of 10 minutes at 85 x G (910 RPM).</w:t>
            </w:r>
          </w:p>
        </w:tc>
      </w:tr>
      <w:tr w:rsidR="009A0241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A0241" w:rsidRDefault="009A0241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41" w:rsidRDefault="009A02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88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9A0241" w:rsidRDefault="009A0241" w:rsidP="00847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the centrifugation cycle is complete the IH-Reader 24 will read the card(s) or remove the IH-Card(s) and read the reactions according to procedure </w:t>
            </w:r>
            <w:r w:rsidR="00847468">
              <w:rPr>
                <w:rFonts w:ascii="Arial" w:hAnsi="Arial" w:cs="Arial"/>
                <w:sz w:val="20"/>
              </w:rPr>
              <w:t>TS 4.09 Grading and Interpretation of Gel Card Reactions</w:t>
            </w:r>
          </w:p>
        </w:tc>
      </w:tr>
      <w:tr w:rsidR="001456EA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6EA" w:rsidRDefault="009A02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88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1456EA" w:rsidRPr="00847468" w:rsidRDefault="009A0241">
            <w:pPr>
              <w:rPr>
                <w:rFonts w:ascii="Arial" w:hAnsi="Arial" w:cs="Arial"/>
                <w:sz w:val="20"/>
              </w:rPr>
            </w:pPr>
            <w:r w:rsidRPr="00847468">
              <w:rPr>
                <w:rFonts w:ascii="Arial" w:hAnsi="Arial" w:cs="Arial"/>
                <w:sz w:val="20"/>
              </w:rPr>
              <w:t>Review reactions in the IH-Com or r</w:t>
            </w:r>
            <w:r w:rsidR="00A725DA" w:rsidRPr="00847468">
              <w:rPr>
                <w:rFonts w:ascii="Arial" w:hAnsi="Arial" w:cs="Arial"/>
                <w:sz w:val="20"/>
              </w:rPr>
              <w:t>ecord reactions and interpretations per procedure. Refer to Interpretation section below.</w:t>
            </w:r>
          </w:p>
        </w:tc>
      </w:tr>
      <w:tr w:rsidR="001456EA">
        <w:trPr>
          <w:gridBefore w:val="1"/>
          <w:wBefore w:w="1620" w:type="dxa"/>
          <w:cantSplit/>
          <w:trHeight w:val="225"/>
        </w:trPr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56EA" w:rsidRDefault="009A02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88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the following table to determine the next appropriate action.</w:t>
            </w:r>
          </w:p>
        </w:tc>
      </w:tr>
      <w:tr w:rsidR="001456EA">
        <w:trPr>
          <w:gridBefore w:val="1"/>
          <w:wBefore w:w="1620" w:type="dxa"/>
          <w:cantSplit/>
          <w:trHeight w:val="180"/>
        </w:trPr>
        <w:tc>
          <w:tcPr>
            <w:tcW w:w="7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6EA" w:rsidRDefault="001456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If the crossmatch result is: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56EA" w:rsidRDefault="00A725DA">
            <w:pPr>
              <w:pStyle w:val="Heading1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And red cells are 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Then proceed to</w:t>
            </w:r>
          </w:p>
        </w:tc>
      </w:tr>
      <w:tr w:rsidR="001456EA">
        <w:trPr>
          <w:gridBefore w:val="1"/>
          <w:wBefore w:w="1620" w:type="dxa"/>
          <w:cantSplit/>
          <w:trHeight w:val="180"/>
        </w:trPr>
        <w:tc>
          <w:tcPr>
            <w:tcW w:w="7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6EA" w:rsidRDefault="001456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Compatible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56EA" w:rsidRDefault="001456EA">
            <w:pPr>
              <w:pStyle w:val="BodyText2"/>
              <w:tabs>
                <w:tab w:val="left" w:pos="-1440"/>
                <w:tab w:val="left" w:pos="0"/>
              </w:tabs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56EA" w:rsidRDefault="00A725D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Allocation and tagging of Red Cell unit(s) </w:t>
            </w:r>
          </w:p>
        </w:tc>
      </w:tr>
      <w:tr w:rsidR="001456EA">
        <w:trPr>
          <w:gridBefore w:val="1"/>
          <w:wBefore w:w="1620" w:type="dxa"/>
          <w:cantSplit/>
          <w:trHeight w:val="395"/>
        </w:trPr>
        <w:tc>
          <w:tcPr>
            <w:tcW w:w="7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6EA" w:rsidRDefault="001456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Incompatible</w:t>
            </w:r>
          </w:p>
          <w:p w:rsidR="001456EA" w:rsidRDefault="001456EA">
            <w:pPr>
              <w:jc w:val="left"/>
              <w:rPr>
                <w:rFonts w:ascii="Arial" w:hAnsi="Arial"/>
                <w:sz w:val="20"/>
              </w:rPr>
            </w:pPr>
          </w:p>
          <w:p w:rsidR="001456EA" w:rsidRDefault="001456EA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needed urgently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56EA" w:rsidRDefault="00A725DA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Investigation of Incompatible Crossmatch</w:t>
            </w:r>
          </w:p>
        </w:tc>
      </w:tr>
      <w:tr w:rsidR="001456EA">
        <w:trPr>
          <w:gridBefore w:val="1"/>
          <w:wBefore w:w="1620" w:type="dxa"/>
          <w:cantSplit/>
          <w:trHeight w:val="575"/>
        </w:trPr>
        <w:tc>
          <w:tcPr>
            <w:tcW w:w="77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456EA" w:rsidRDefault="001456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6EA" w:rsidRDefault="001456EA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Urgently required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Consult with ordering provider</w:t>
            </w:r>
          </w:p>
          <w:p w:rsidR="001456EA" w:rsidRDefault="00A725D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Consult with Pathologist</w:t>
            </w:r>
          </w:p>
        </w:tc>
      </w:tr>
      <w:tr w:rsidR="001456EA">
        <w:trPr>
          <w:cantSplit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6EA" w:rsidRDefault="009A02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588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1456EA" w:rsidRDefault="00A725DA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 w:cs="Arial"/>
                <w:spacing w:val="-3"/>
                <w:sz w:val="20"/>
                <w:lang w:val="en-GB"/>
              </w:rPr>
              <w:t>Review the computer record or worksheet result entry including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lang w:val="en-GB"/>
              </w:rPr>
              <w:t xml:space="preserve">final clerical check of sample, label, and request. </w:t>
            </w:r>
          </w:p>
        </w:tc>
      </w:tr>
      <w:tr w:rsidR="001456EA">
        <w:trPr>
          <w:cantSplit/>
          <w:trHeight w:val="22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6EA" w:rsidRDefault="009A02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588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1456EA" w:rsidRDefault="00A725DA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 w:cs="Arial"/>
                <w:spacing w:val="-3"/>
                <w:sz w:val="20"/>
                <w:lang w:val="en-GB"/>
              </w:rPr>
              <w:t>Dispose of all supplies used for the examinations in a biohazard waste container.</w:t>
            </w:r>
          </w:p>
        </w:tc>
      </w:tr>
      <w:tr w:rsidR="001456EA">
        <w:trPr>
          <w:cantSplit/>
          <w:trHeight w:val="27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6EA" w:rsidRDefault="009A024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588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1456EA" w:rsidRDefault="00A725DA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Store the patient sample.</w:t>
            </w:r>
          </w:p>
        </w:tc>
      </w:tr>
      <w:tr w:rsidR="001456EA">
        <w:trPr>
          <w:cantSplit/>
          <w:trHeight w:val="1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456EA" w:rsidRDefault="001456E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1456EA" w:rsidRDefault="001456E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456EA" w:rsidTr="004638F8">
        <w:trPr>
          <w:trHeight w:val="155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456EA" w:rsidRDefault="00A725DA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color w:val="3366FF"/>
                <w:sz w:val="20"/>
              </w:rPr>
              <w:br w:type="page"/>
            </w:r>
          </w:p>
          <w:p w:rsidR="001456EA" w:rsidRDefault="00A725DA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Interpretation</w:t>
            </w:r>
          </w:p>
          <w:p w:rsidR="001456EA" w:rsidRDefault="001456EA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1456EA" w:rsidRDefault="001456EA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1456EA" w:rsidRDefault="001456EA">
            <w:pPr>
              <w:tabs>
                <w:tab w:val="left" w:pos="-1440"/>
              </w:tabs>
              <w:ind w:left="2160" w:hanging="2160"/>
              <w:rPr>
                <w:rFonts w:ascii="Arial" w:hAnsi="Arial" w:cs="Arial"/>
                <w:sz w:val="20"/>
              </w:rPr>
            </w:pPr>
          </w:p>
          <w:p w:rsidR="008E5F89" w:rsidRDefault="008E5F89" w:rsidP="008E5F89">
            <w:pPr>
              <w:ind w:left="2160" w:hanging="2160"/>
              <w:jc w:val="left"/>
              <w:rPr>
                <w:rFonts w:ascii="Arial" w:hAnsi="Arial" w:cs="Arial"/>
                <w:sz w:val="20"/>
              </w:rPr>
            </w:pPr>
          </w:p>
          <w:p w:rsidR="008E5F89" w:rsidRDefault="008E5F89" w:rsidP="008E5F89">
            <w:pPr>
              <w:ind w:left="2160" w:hanging="2160"/>
              <w:jc w:val="left"/>
              <w:rPr>
                <w:rFonts w:ascii="Arial" w:hAnsi="Arial" w:cs="Arial"/>
                <w:sz w:val="20"/>
              </w:rPr>
            </w:pPr>
          </w:p>
          <w:p w:rsidR="009A0241" w:rsidRDefault="009A0241" w:rsidP="004638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Agglutination of the red blood cells as seen by clumps of cells caught </w:t>
            </w:r>
            <w:r w:rsidR="008E5F89">
              <w:rPr>
                <w:rFonts w:ascii="Arial" w:hAnsi="Arial" w:cs="Arial"/>
                <w:sz w:val="20"/>
              </w:rPr>
              <w:t>within</w:t>
            </w:r>
            <w:r>
              <w:rPr>
                <w:rFonts w:ascii="Arial" w:hAnsi="Arial" w:cs="Arial"/>
                <w:sz w:val="20"/>
              </w:rPr>
              <w:t xml:space="preserve"> the gel column is a positive test and indicates the presence of antibody(</w:t>
            </w:r>
            <w:proofErr w:type="spellStart"/>
            <w:r>
              <w:rPr>
                <w:rFonts w:ascii="Arial" w:hAnsi="Arial" w:cs="Arial"/>
                <w:sz w:val="20"/>
              </w:rPr>
              <w:t>ies</w:t>
            </w:r>
            <w:proofErr w:type="spellEnd"/>
            <w:r>
              <w:rPr>
                <w:rFonts w:ascii="Arial" w:hAnsi="Arial" w:cs="Arial"/>
                <w:sz w:val="20"/>
              </w:rPr>
              <w:t>) directed against antigens on the donor red cells and hence an incompatible crossmatch.</w:t>
            </w:r>
            <w:r w:rsidR="004638F8">
              <w:t xml:space="preserve"> </w:t>
            </w:r>
            <w:r w:rsidR="004638F8" w:rsidRPr="004638F8">
              <w:rPr>
                <w:rFonts w:ascii="Arial" w:hAnsi="Arial" w:cs="Arial"/>
                <w:sz w:val="20"/>
              </w:rPr>
              <w:t xml:space="preserve">Hemolysis indicates incompatibility and reflects the </w:t>
            </w:r>
            <w:r w:rsidR="004638F8">
              <w:rPr>
                <w:rFonts w:ascii="Arial" w:hAnsi="Arial" w:cs="Arial"/>
                <w:sz w:val="20"/>
              </w:rPr>
              <w:t>presence of an antibody/antigen reaction.</w:t>
            </w:r>
            <w:r w:rsidR="0084746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To grade the reaction follow procedure </w:t>
            </w:r>
            <w:r w:rsidR="00847468">
              <w:rPr>
                <w:rFonts w:ascii="Arial" w:hAnsi="Arial" w:cs="Arial"/>
                <w:sz w:val="20"/>
              </w:rPr>
              <w:t xml:space="preserve">TS 4.09 Grading and Interpretations of Gel Card </w:t>
            </w:r>
            <w:proofErr w:type="spellStart"/>
            <w:r w:rsidR="00847468">
              <w:rPr>
                <w:rFonts w:ascii="Arial" w:hAnsi="Arial" w:cs="Arial"/>
                <w:sz w:val="20"/>
              </w:rPr>
              <w:t>Reations</w:t>
            </w:r>
            <w:proofErr w:type="spellEnd"/>
            <w:r>
              <w:rPr>
                <w:rFonts w:ascii="Arial" w:hAnsi="Arial" w:cs="Arial"/>
                <w:sz w:val="20"/>
              </w:rPr>
              <w:t>. No agglutination is observed as a smooth surface button at the bottom of the gel column. This is a negative reaction and indicated that no antibody against donor red cell antigens was detected.</w:t>
            </w:r>
          </w:p>
          <w:p w:rsidR="004638F8" w:rsidRDefault="004638F8" w:rsidP="004638F8">
            <w:pPr>
              <w:jc w:val="left"/>
              <w:rPr>
                <w:rFonts w:ascii="Arial" w:hAnsi="Arial" w:cs="Arial"/>
                <w:sz w:val="20"/>
              </w:rPr>
            </w:pPr>
          </w:p>
          <w:p w:rsidR="004638F8" w:rsidRDefault="004638F8" w:rsidP="004638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Following centrifugation, IH-Cards should be read as soon as possible and results interpreted within 6 hours of processing. If unable to read with in that time period, the IH-card can be sealed with tap and stored at 2-8°for up to 24 hours. Further delays in reading and interpretation can lead to drying of the gel which will interfere with accurate reading of results.</w:t>
            </w:r>
          </w:p>
          <w:p w:rsidR="008E5F89" w:rsidRDefault="008E5F89" w:rsidP="008E5F89">
            <w:pPr>
              <w:jc w:val="left"/>
              <w:rPr>
                <w:rFonts w:ascii="Arial" w:hAnsi="Arial" w:cs="Arial"/>
                <w:sz w:val="20"/>
              </w:rPr>
            </w:pPr>
          </w:p>
          <w:p w:rsidR="001456EA" w:rsidRDefault="001456EA">
            <w:pPr>
              <w:tabs>
                <w:tab w:val="left" w:pos="-1440"/>
              </w:tabs>
              <w:ind w:left="2880" w:hanging="2880"/>
              <w:rPr>
                <w:rFonts w:ascii="Arial" w:hAnsi="Arial" w:cs="Arial"/>
                <w:sz w:val="20"/>
              </w:rPr>
            </w:pPr>
          </w:p>
          <w:p w:rsidR="001456EA" w:rsidRDefault="00A725DA">
            <w:pPr>
              <w:ind w:left="14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>XIS</w:t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  <w:t>XINC</w:t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  <w:t>XAHG</w:t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  <w:t>XCC</w:t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  <w:t>XGEL</w:t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  <w:t>Interpretation</w:t>
            </w:r>
          </w:p>
          <w:p w:rsidR="001456EA" w:rsidRDefault="00A725DA">
            <w:pPr>
              <w:ind w:left="14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NT        </w:t>
            </w:r>
            <w:proofErr w:type="spellStart"/>
            <w:r>
              <w:rPr>
                <w:rFonts w:ascii="Arial" w:hAnsi="Arial" w:cs="Arial"/>
                <w:sz w:val="20"/>
              </w:rPr>
              <w:t>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0"/>
              </w:rPr>
              <w:t>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0"/>
              </w:rPr>
              <w:t>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      0</w:t>
            </w:r>
            <w:r>
              <w:rPr>
                <w:rFonts w:ascii="Arial" w:hAnsi="Arial" w:cs="Arial"/>
                <w:sz w:val="20"/>
              </w:rPr>
              <w:tab/>
              <w:t xml:space="preserve">CMP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1456EA" w:rsidRDefault="00A725DA">
            <w:pPr>
              <w:ind w:left="21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  <w:r>
              <w:rPr>
                <w:rFonts w:ascii="Arial" w:hAnsi="Arial" w:cs="Arial"/>
                <w:sz w:val="20"/>
              </w:rPr>
              <w:tab/>
              <w:t>NT</w:t>
            </w:r>
            <w:r>
              <w:rPr>
                <w:rFonts w:ascii="Arial" w:hAnsi="Arial" w:cs="Arial"/>
                <w:sz w:val="20"/>
              </w:rPr>
              <w:tab/>
              <w:t>NT</w:t>
            </w:r>
            <w:r>
              <w:rPr>
                <w:rFonts w:ascii="Arial" w:hAnsi="Arial" w:cs="Arial"/>
                <w:sz w:val="20"/>
              </w:rPr>
              <w:tab/>
              <w:t>NT</w:t>
            </w:r>
            <w:r>
              <w:rPr>
                <w:rFonts w:ascii="Arial" w:hAnsi="Arial" w:cs="Arial"/>
                <w:sz w:val="20"/>
              </w:rPr>
              <w:tab/>
              <w:t>+</w:t>
            </w:r>
            <w:r>
              <w:rPr>
                <w:rFonts w:ascii="Arial" w:hAnsi="Arial" w:cs="Arial"/>
                <w:sz w:val="20"/>
              </w:rPr>
              <w:tab/>
              <w:t>ICMP</w:t>
            </w:r>
            <w:r>
              <w:rPr>
                <w:rFonts w:ascii="Arial" w:hAnsi="Arial" w:cs="Arial"/>
                <w:color w:val="FF0000"/>
                <w:sz w:val="20"/>
              </w:rPr>
              <w:t xml:space="preserve">* </w:t>
            </w:r>
            <w:r>
              <w:rPr>
                <w:rFonts w:ascii="Arial" w:hAnsi="Arial" w:cs="Arial"/>
                <w:sz w:val="20"/>
              </w:rPr>
              <w:t>or LCMP</w:t>
            </w:r>
          </w:p>
          <w:p w:rsidR="001456EA" w:rsidRDefault="00A725DA">
            <w:pPr>
              <w:ind w:left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NT        </w:t>
            </w:r>
            <w:proofErr w:type="spellStart"/>
            <w:r>
              <w:rPr>
                <w:rFonts w:ascii="Arial" w:hAnsi="Arial" w:cs="Arial"/>
                <w:sz w:val="20"/>
              </w:rPr>
              <w:t>NT</w:t>
            </w:r>
            <w:proofErr w:type="spellEnd"/>
            <w:r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NT</w:t>
            </w:r>
            <w:proofErr w:type="spellEnd"/>
            <w:r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NT</w:t>
            </w:r>
            <w:proofErr w:type="spellEnd"/>
            <w:r>
              <w:rPr>
                <w:rFonts w:ascii="Arial" w:hAnsi="Arial" w:cs="Arial"/>
                <w:sz w:val="20"/>
              </w:rPr>
              <w:tab/>
              <w:t xml:space="preserve">ICLR     </w:t>
            </w:r>
            <w:proofErr w:type="spellStart"/>
            <w:r>
              <w:rPr>
                <w:rFonts w:ascii="Arial" w:hAnsi="Arial" w:cs="Arial"/>
                <w:sz w:val="20"/>
              </w:rPr>
              <w:t>ICLR</w:t>
            </w:r>
            <w:proofErr w:type="spellEnd"/>
            <w:r>
              <w:rPr>
                <w:rFonts w:ascii="Arial" w:hAnsi="Arial" w:cs="Arial"/>
                <w:sz w:val="20"/>
              </w:rPr>
              <w:tab/>
              <w:t xml:space="preserve">                                                             </w:t>
            </w:r>
          </w:p>
          <w:p w:rsidR="001456EA" w:rsidRDefault="00A725DA">
            <w:pPr>
              <w:ind w:left="14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NT        </w:t>
            </w:r>
            <w:proofErr w:type="spellStart"/>
            <w:r>
              <w:rPr>
                <w:rFonts w:ascii="Arial" w:hAnsi="Arial" w:cs="Arial"/>
                <w:sz w:val="20"/>
              </w:rPr>
              <w:t>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0"/>
              </w:rPr>
              <w:t>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0"/>
              </w:rPr>
              <w:t>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0"/>
              </w:rPr>
              <w:t>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     NRQ</w:t>
            </w:r>
          </w:p>
          <w:p w:rsidR="001456EA" w:rsidRDefault="001456EA">
            <w:pPr>
              <w:ind w:left="1440"/>
              <w:rPr>
                <w:rFonts w:ascii="Arial" w:hAnsi="Arial" w:cs="Arial"/>
                <w:sz w:val="20"/>
              </w:rPr>
            </w:pPr>
          </w:p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t>.</w:t>
            </w:r>
          </w:p>
          <w:p w:rsidR="001456EA" w:rsidRDefault="001456EA">
            <w:pPr>
              <w:rPr>
                <w:rFonts w:ascii="Arial" w:hAnsi="Arial" w:cs="Arial"/>
                <w:sz w:val="20"/>
              </w:rPr>
            </w:pPr>
          </w:p>
          <w:p w:rsidR="001456EA" w:rsidRDefault="00A725DA">
            <w:pPr>
              <w:ind w:left="21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Key to testing results:</w:t>
            </w:r>
          </w:p>
          <w:p w:rsidR="001456EA" w:rsidRDefault="00A725DA">
            <w:pPr>
              <w:ind w:left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   </w:t>
            </w:r>
            <w:r>
              <w:rPr>
                <w:rFonts w:ascii="Arial" w:hAnsi="Arial" w:cs="Arial"/>
                <w:sz w:val="20"/>
              </w:rPr>
              <w:tab/>
              <w:t xml:space="preserve">= no agglutination </w:t>
            </w:r>
          </w:p>
          <w:p w:rsidR="001456EA" w:rsidRDefault="00A725DA">
            <w:pPr>
              <w:ind w:left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+   </w:t>
            </w:r>
            <w:r>
              <w:rPr>
                <w:rFonts w:ascii="Arial" w:hAnsi="Arial" w:cs="Arial"/>
                <w:sz w:val="20"/>
              </w:rPr>
              <w:tab/>
              <w:t>= agglutination</w:t>
            </w:r>
          </w:p>
          <w:p w:rsidR="001456EA" w:rsidRDefault="00A725DA">
            <w:pPr>
              <w:ind w:left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ICLR </w:t>
            </w:r>
            <w:r>
              <w:rPr>
                <w:rFonts w:ascii="Arial" w:hAnsi="Arial" w:cs="Arial"/>
                <w:sz w:val="20"/>
              </w:rPr>
              <w:tab/>
              <w:t xml:space="preserve">= </w:t>
            </w:r>
            <w:proofErr w:type="spellStart"/>
            <w:r>
              <w:rPr>
                <w:rFonts w:ascii="Arial" w:hAnsi="Arial" w:cs="Arial"/>
                <w:sz w:val="20"/>
              </w:rPr>
              <w:t>Inconclusive,repeat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testing (;ICLR)</w:t>
            </w:r>
          </w:p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NT </w:t>
            </w:r>
            <w:r>
              <w:rPr>
                <w:rFonts w:ascii="Arial" w:hAnsi="Arial" w:cs="Arial"/>
                <w:sz w:val="20"/>
              </w:rPr>
              <w:tab/>
              <w:t>= not tested</w:t>
            </w:r>
          </w:p>
          <w:p w:rsidR="001456EA" w:rsidRDefault="001456EA">
            <w:pPr>
              <w:rPr>
                <w:rFonts w:ascii="Arial" w:hAnsi="Arial" w:cs="Arial"/>
                <w:sz w:val="20"/>
              </w:rPr>
            </w:pPr>
          </w:p>
          <w:p w:rsidR="001456EA" w:rsidRDefault="00A725D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</w:t>
            </w:r>
            <w:r>
              <w:rPr>
                <w:rFonts w:ascii="Arial" w:hAnsi="Arial" w:cs="Arial"/>
                <w:sz w:val="20"/>
                <w:u w:val="single"/>
              </w:rPr>
              <w:t>Key to Interpretation:</w:t>
            </w:r>
          </w:p>
          <w:p w:rsidR="001456EA" w:rsidRDefault="00A725DA">
            <w:pPr>
              <w:ind w:left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CMP</w:t>
            </w:r>
            <w:r>
              <w:rPr>
                <w:rFonts w:ascii="Arial" w:hAnsi="Arial" w:cs="Arial"/>
                <w:sz w:val="20"/>
              </w:rPr>
              <w:tab/>
              <w:t xml:space="preserve">= compatible (key </w:t>
            </w:r>
            <w:r>
              <w:rPr>
                <w:rFonts w:ascii="Arial" w:hAnsi="Arial" w:cs="Arial"/>
                <w:b/>
                <w:sz w:val="20"/>
              </w:rPr>
              <w:t xml:space="preserve">[ 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1456EA" w:rsidRDefault="00A725DA">
            <w:pPr>
              <w:ind w:left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ICMP</w:t>
            </w:r>
            <w:r>
              <w:rPr>
                <w:rFonts w:ascii="Arial" w:hAnsi="Arial" w:cs="Arial"/>
                <w:sz w:val="20"/>
              </w:rPr>
              <w:tab/>
              <w:t xml:space="preserve">= incompatible (key 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  <w:p w:rsidR="001456EA" w:rsidRDefault="00A725DA">
            <w:pPr>
              <w:pStyle w:val="BodyText2"/>
              <w:ind w:left="2160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ICLR 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ab/>
              <w:t xml:space="preserve">=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Inconclusive,repeat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 testing (;ICLR)</w:t>
            </w:r>
          </w:p>
          <w:p w:rsidR="001456EA" w:rsidRDefault="00A725DA" w:rsidP="009A0241">
            <w:pPr>
              <w:ind w:left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LCMP</w:t>
            </w:r>
            <w:r>
              <w:rPr>
                <w:rFonts w:ascii="Arial" w:hAnsi="Arial" w:cs="Arial"/>
                <w:sz w:val="20"/>
              </w:rPr>
              <w:tab/>
              <w:t>= Least incompatible (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key 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)                             </w:t>
            </w:r>
          </w:p>
          <w:p w:rsidR="001456EA" w:rsidRDefault="00A725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NRQ     = Not required (key @)</w:t>
            </w:r>
          </w:p>
        </w:tc>
      </w:tr>
      <w:tr w:rsidR="004638F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8F8" w:rsidRDefault="004638F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lastRenderedPageBreak/>
              <w:t>Limitations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4638F8" w:rsidRPr="004638F8" w:rsidRDefault="004638F8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pPr>
            <w:r w:rsidRPr="004638F8"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  <w:t>Erroneous and abnormal results may be caused by:</w:t>
            </w:r>
          </w:p>
          <w:p w:rsidR="004638F8" w:rsidRPr="004638F8" w:rsidRDefault="004638F8" w:rsidP="004638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638F8">
              <w:rPr>
                <w:rFonts w:ascii="Arial" w:hAnsi="Arial" w:cs="Arial"/>
                <w:sz w:val="20"/>
                <w:szCs w:val="20"/>
              </w:rPr>
              <w:t>Bacterial or chemical contamination of the blood specimens, reagents, supplementary materials and/or equipment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38F8" w:rsidRPr="004638F8" w:rsidRDefault="004638F8" w:rsidP="004638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638F8">
              <w:rPr>
                <w:rFonts w:ascii="Arial" w:hAnsi="Arial" w:cs="Arial"/>
                <w:sz w:val="20"/>
                <w:szCs w:val="20"/>
              </w:rPr>
              <w:t>Patient medication or disease yielding a cross-reaction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38F8" w:rsidRDefault="004638F8" w:rsidP="004638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638F8">
              <w:rPr>
                <w:rFonts w:ascii="Arial" w:hAnsi="Arial" w:cs="Arial"/>
                <w:sz w:val="20"/>
                <w:szCs w:val="20"/>
              </w:rPr>
              <w:t>Sample hemolysis prior to testing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38F8" w:rsidRDefault="004638F8" w:rsidP="004638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Contamination between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microtubes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through pipetting errors.</w:t>
            </w:r>
          </w:p>
          <w:p w:rsidR="004638F8" w:rsidRDefault="004638F8" w:rsidP="004638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Grossly icteric blood samples, blood samples with abnormally high concentration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sof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protein or blood samples from patients who have received plasma expanders of high molecular weight may give false positive results.</w:t>
            </w:r>
          </w:p>
          <w:p w:rsidR="004638F8" w:rsidRDefault="004638F8" w:rsidP="004638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Fibrin, clots, particulates or other artifacts may cause some red blood cells to be trapped at the top of the gel and cause and anomalous result. They may appear as a pinkish layer. In a negative reaction the false appearance of a mixed field could lead to misinterpretation.</w:t>
            </w:r>
          </w:p>
          <w:p w:rsidR="004638F8" w:rsidRDefault="004638F8" w:rsidP="004638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red blood cells (pellet at the bottom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microtube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are too low in concentration, they become difficult is visualize, and a weak positive reaction may fail to be detected.</w:t>
            </w:r>
          </w:p>
          <w:p w:rsidR="004638F8" w:rsidRPr="004638F8" w:rsidRDefault="004638F8" w:rsidP="004638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Incorrect pipetting into the reaction chamber causing the air gap to be eliminated.</w:t>
            </w:r>
          </w:p>
          <w:p w:rsidR="004638F8" w:rsidRPr="004638F8" w:rsidRDefault="004638F8" w:rsidP="004638F8">
            <w:pPr>
              <w:pStyle w:val="ListParagraph"/>
              <w:ind w:left="4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EA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6EA" w:rsidRDefault="001456E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456EA" w:rsidRDefault="00A725D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Alternate Procedure</w:t>
            </w:r>
          </w:p>
          <w:p w:rsidR="001456EA" w:rsidRDefault="001456E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1456EA" w:rsidRDefault="001456EA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4.22 Compatibility Testing-AHG Tube Testing</w:t>
            </w:r>
          </w:p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4.24 5% Albumin, Antibody Screening or Compatibility Testing</w:t>
            </w:r>
          </w:p>
        </w:tc>
      </w:tr>
      <w:tr w:rsidR="001456EA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456EA" w:rsidRDefault="001456E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456EA" w:rsidRDefault="00A725DA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Result Reporting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1456EA" w:rsidRDefault="001456EA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5.11 Entering Results of Compatibility Testing-Tube or Gel or Ref Lab</w:t>
            </w:r>
          </w:p>
        </w:tc>
      </w:tr>
      <w:tr w:rsidR="001456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1456EA" w:rsidRDefault="001456EA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456EA" w:rsidRDefault="00A725DA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1456EA" w:rsidRDefault="001456E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456EA" w:rsidRDefault="00A725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AABB Standards for Blood Banks and Transfusion Services, current edition</w:t>
            </w:r>
          </w:p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Package insert: IH-Card AHG Anti-IgG, Bio-Rad Medical Diagnostics GmbH, current version</w:t>
            </w:r>
          </w:p>
          <w:p w:rsidR="001456EA" w:rsidRDefault="00A72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Package insert: IH-Card Anti-IgG,-C3d, Bio-Rad Medical Diagnostics GmbH, current version</w:t>
            </w:r>
          </w:p>
          <w:p w:rsidR="001456EA" w:rsidRDefault="00A725D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Package insert: IH LISS Solution, Bio-Rad Medical Diagnostics GmbH, current version.</w:t>
            </w:r>
          </w:p>
          <w:p w:rsidR="001456EA" w:rsidRDefault="001456E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456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1456EA" w:rsidRDefault="001456E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1456EA" w:rsidRDefault="00A725D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1456EA" w:rsidRDefault="00A725DA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1456EA" w:rsidRDefault="001456E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456EA" w:rsidRDefault="00A725D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Service/Laboratory Director</w:t>
            </w:r>
          </w:p>
          <w:p w:rsidR="001456EA" w:rsidRDefault="001456E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456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1456EA" w:rsidRDefault="001456EA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1456EA" w:rsidRDefault="001456EA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1456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1456EA" w:rsidRDefault="00A725DA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456EA" w:rsidRDefault="00A725DA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A" w:rsidRDefault="00A725DA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A" w:rsidRDefault="00A725DA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A" w:rsidRDefault="00A725DA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1456E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1456EA" w:rsidRDefault="001456E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456EA" w:rsidRDefault="0084746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A" w:rsidRDefault="00A725D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A" w:rsidRDefault="008474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02/17/2023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A" w:rsidRDefault="0084746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procedure for new reagents and updated format from PDF</w:t>
            </w:r>
            <w:bookmarkStart w:id="0" w:name="_GoBack"/>
            <w:bookmarkEnd w:id="0"/>
          </w:p>
        </w:tc>
      </w:tr>
    </w:tbl>
    <w:p w:rsidR="001456EA" w:rsidRDefault="001456E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1" w:name="Appendix_A"/>
      <w:bookmarkEnd w:id="1"/>
    </w:p>
    <w:sectPr w:rsidR="001456E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6EA" w:rsidRDefault="00A725DA">
      <w:r>
        <w:separator/>
      </w:r>
    </w:p>
  </w:endnote>
  <w:endnote w:type="continuationSeparator" w:id="0">
    <w:p w:rsidR="001456EA" w:rsidRDefault="00A7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6EA" w:rsidRDefault="00A725DA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847468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847468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  <w:p w:rsidR="001456EA" w:rsidRDefault="00A725DA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6EA" w:rsidRDefault="00A725DA">
      <w:r>
        <w:separator/>
      </w:r>
    </w:p>
  </w:footnote>
  <w:footnote w:type="continuationSeparator" w:id="0">
    <w:p w:rsidR="001456EA" w:rsidRDefault="00A72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6EA" w:rsidRDefault="008474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1456EA">
      <w:trPr>
        <w:cantSplit/>
        <w:trHeight w:val="245"/>
      </w:trPr>
      <w:tc>
        <w:tcPr>
          <w:tcW w:w="5760" w:type="dxa"/>
        </w:tcPr>
        <w:p w:rsidR="001456EA" w:rsidRDefault="00A725DA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Compatibility Testing-AHG, Gel Testing</w:t>
          </w:r>
        </w:p>
      </w:tc>
      <w:tc>
        <w:tcPr>
          <w:tcW w:w="5580" w:type="dxa"/>
          <w:vMerge w:val="restart"/>
        </w:tcPr>
        <w:p w:rsidR="001456EA" w:rsidRDefault="00A725DA" w:rsidP="00370F12">
          <w:pPr>
            <w:pStyle w:val="Header"/>
            <w:tabs>
              <w:tab w:val="clear" w:pos="8640"/>
            </w:tabs>
          </w:pPr>
          <w:r>
            <w:t xml:space="preserve">                           </w:t>
          </w:r>
          <w:r w:rsidR="00370F12">
            <w:t xml:space="preserve">                             </w:t>
          </w:r>
          <w:r>
            <w:t xml:space="preserve">   </w:t>
          </w:r>
          <w:r w:rsidR="00370F12">
            <w:rPr>
              <w:noProof/>
            </w:rPr>
            <w:drawing>
              <wp:inline distT="0" distB="0" distL="0" distR="0" wp14:anchorId="46A16115" wp14:editId="38162CCF">
                <wp:extent cx="1188720" cy="384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</w:t>
          </w:r>
        </w:p>
      </w:tc>
    </w:tr>
    <w:tr w:rsidR="001456EA">
      <w:trPr>
        <w:cantSplit/>
        <w:trHeight w:val="245"/>
      </w:trPr>
      <w:tc>
        <w:tcPr>
          <w:tcW w:w="5760" w:type="dxa"/>
        </w:tcPr>
        <w:p w:rsidR="001456EA" w:rsidRDefault="00370F12" w:rsidP="00847468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4.23 Version </w:t>
          </w:r>
          <w:r w:rsidR="00847468">
            <w:rPr>
              <w:rFonts w:ascii="Arial" w:hAnsi="Arial" w:cs="Arial"/>
              <w:sz w:val="18"/>
            </w:rPr>
            <w:t>3</w:t>
          </w:r>
        </w:p>
      </w:tc>
      <w:tc>
        <w:tcPr>
          <w:tcW w:w="5580" w:type="dxa"/>
          <w:vMerge/>
        </w:tcPr>
        <w:p w:rsidR="001456EA" w:rsidRDefault="001456EA">
          <w:pPr>
            <w:pStyle w:val="Header"/>
            <w:tabs>
              <w:tab w:val="clear" w:pos="8640"/>
            </w:tabs>
          </w:pPr>
        </w:p>
      </w:tc>
    </w:tr>
    <w:tr w:rsidR="001456EA">
      <w:trPr>
        <w:cantSplit/>
        <w:trHeight w:val="245"/>
      </w:trPr>
      <w:tc>
        <w:tcPr>
          <w:tcW w:w="5760" w:type="dxa"/>
        </w:tcPr>
        <w:p w:rsidR="001456EA" w:rsidRDefault="00A725DA" w:rsidP="00847468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847468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1456EA" w:rsidRDefault="001456EA">
          <w:pPr>
            <w:pStyle w:val="Header"/>
            <w:tabs>
              <w:tab w:val="clear" w:pos="8640"/>
            </w:tabs>
          </w:pPr>
        </w:p>
      </w:tc>
    </w:tr>
  </w:tbl>
  <w:p w:rsidR="001456EA" w:rsidRDefault="001456EA">
    <w:pPr>
      <w:pStyle w:val="Header"/>
      <w:rPr>
        <w:rFonts w:ascii="Calibri" w:hAnsi="Calibri"/>
        <w:b/>
        <w:bCs/>
        <w:sz w:val="16"/>
      </w:rPr>
    </w:pPr>
  </w:p>
  <w:p w:rsidR="001456EA" w:rsidRDefault="001456EA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6EA" w:rsidRDefault="008474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4C561B"/>
    <w:multiLevelType w:val="hybridMultilevel"/>
    <w:tmpl w:val="07743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57790"/>
    <w:multiLevelType w:val="hybridMultilevel"/>
    <w:tmpl w:val="429E12C4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E723C91"/>
    <w:multiLevelType w:val="hybridMultilevel"/>
    <w:tmpl w:val="8F6A5BD4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25C82A7E"/>
    <w:multiLevelType w:val="hybridMultilevel"/>
    <w:tmpl w:val="D598A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718DF"/>
    <w:multiLevelType w:val="hybridMultilevel"/>
    <w:tmpl w:val="D4F66E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5893"/>
    <w:multiLevelType w:val="hybridMultilevel"/>
    <w:tmpl w:val="95CA0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F1E9F"/>
    <w:multiLevelType w:val="hybridMultilevel"/>
    <w:tmpl w:val="C79434AC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2EE719F5"/>
    <w:multiLevelType w:val="hybridMultilevel"/>
    <w:tmpl w:val="21D2D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D185E"/>
    <w:multiLevelType w:val="hybridMultilevel"/>
    <w:tmpl w:val="BB46F5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CD"/>
    <w:rsid w:val="001456EA"/>
    <w:rsid w:val="00370F12"/>
    <w:rsid w:val="003E353F"/>
    <w:rsid w:val="004638F8"/>
    <w:rsid w:val="00847468"/>
    <w:rsid w:val="008E5F89"/>
    <w:rsid w:val="009A0241"/>
    <w:rsid w:val="00A725DA"/>
    <w:rsid w:val="00FA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9AA9879C-B54B-42A1-8901-5FD45A5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ody">
    <w:name w:val="Body"/>
    <w:basedOn w:val="Header"/>
    <w:pPr>
      <w:keepLines/>
      <w:tabs>
        <w:tab w:val="clear" w:pos="4320"/>
        <w:tab w:val="clear" w:pos="8640"/>
      </w:tabs>
      <w:spacing w:before="20" w:after="20" w:line="180" w:lineRule="exact"/>
      <w:ind w:left="1080"/>
      <w:jc w:val="left"/>
    </w:pPr>
    <w:rPr>
      <w:rFonts w:ascii="Arial" w:hAnsi="Arial"/>
      <w:color w:val="000000"/>
      <w:sz w:val="16"/>
      <w:szCs w:val="20"/>
    </w:rPr>
  </w:style>
  <w:style w:type="character" w:customStyle="1" w:styleId="Symbol">
    <w:name w:val="Symbol"/>
    <w:rPr>
      <w:rFonts w:ascii="Symbol" w:hAnsi="Symbol"/>
      <w:sz w:val="18"/>
    </w:rPr>
  </w:style>
  <w:style w:type="character" w:customStyle="1" w:styleId="SuperScriptfor">
    <w:name w:val="SuperScript for +"/>
    <w:aliases w:val="-"/>
    <w:basedOn w:val="DefaultParagraphFont"/>
    <w:rPr>
      <w:sz w:val="15"/>
      <w:vertAlign w:val="superscript"/>
    </w:rPr>
  </w:style>
  <w:style w:type="paragraph" w:styleId="ListParagraph">
    <w:name w:val="List Paragraph"/>
    <w:basedOn w:val="Normal"/>
    <w:uiPriority w:val="34"/>
    <w:qFormat/>
    <w:rsid w:val="0037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idsnet.childrenshc.org\..\Laboratory%20Policy%20and%20Procedure%20Manual\Transfusion%20Services\3%20Processing%20Orders\TS%203.4%20Crossm%2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kidsnet.childrenshc.org\chcdfs\dept\Lab%20Procedures\Transfusion%20Services\2011%20Revsions%20working%20area\3%20Processing%20Orders\TS%203.4%20Crossmatch%20Process-Red%20Cell%20Orders%20for%20Patients%20over%204%20months%20old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xpedio02.childrensmn.org/stellent/groups/Public/@XCP/@Manuals/@Lab/@TransfusionSvc/documents/PolicyReferenceProcedure/web012709.as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kidsnet.childrenshc.org\chcdfs\dept\Lab%20Procedures\Transfusion%20Services\2011%20Revsions%20working%20area\5%20Specimen%20Result%20Reporting\TS%205.2%20Blood%20Order%20Processing-Entry,%20Single%20Order.doc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8F69-3994-4B54-96A2-99AEEF1E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1506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10853</CharactersWithSpaces>
  <SharedDoc>false</SharedDoc>
  <HLinks>
    <vt:vector size="24" baseType="variant">
      <vt:variant>
        <vt:i4>3604543</vt:i4>
      </vt:variant>
      <vt:variant>
        <vt:i4>9</vt:i4>
      </vt:variant>
      <vt:variant>
        <vt:i4>0</vt:i4>
      </vt:variant>
      <vt:variant>
        <vt:i4>5</vt:i4>
      </vt:variant>
      <vt:variant>
        <vt:lpwstr>..\3 Processing Orders\TS 3.4 Crossmatch Process-Red Cell Orders for Patients over 4 months old.doc</vt:lpwstr>
      </vt:variant>
      <vt:variant>
        <vt:lpwstr/>
      </vt:variant>
      <vt:variant>
        <vt:i4>3211301</vt:i4>
      </vt:variant>
      <vt:variant>
        <vt:i4>6</vt:i4>
      </vt:variant>
      <vt:variant>
        <vt:i4>0</vt:i4>
      </vt:variant>
      <vt:variant>
        <vt:i4>5</vt:i4>
      </vt:variant>
      <vt:variant>
        <vt:lpwstr>http://xpedio02.childrensmn.org/stellent/groups/Public/@XCP/@Manuals/@Lab/@TransfusionSvc/documents/PolicyReferenceProcedure/web012709.asp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..\5 Specimen Result Reporting\TS 5.2 Blood Order Processing-Entry, Single Order.doc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\vcpdfs1datadeptLABLaboratory Policy and Procedure ManualTransfusion Services2011 Revsions working area\..\..\Laboratory Policy and Procedure Manual\Transfusion Services\3 Processing Orders\TS 3.4 Crossm 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4</cp:revision>
  <cp:lastPrinted>2011-07-13T19:16:00Z</cp:lastPrinted>
  <dcterms:created xsi:type="dcterms:W3CDTF">2022-11-22T18:16:00Z</dcterms:created>
  <dcterms:modified xsi:type="dcterms:W3CDTF">2023-02-01T15:52:00Z</dcterms:modified>
</cp:coreProperties>
</file>