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1052" w:type="dxa"/>
        <w:tblInd w:w="-1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20"/>
        <w:gridCol w:w="772"/>
        <w:gridCol w:w="308"/>
        <w:gridCol w:w="2700"/>
        <w:gridCol w:w="1620"/>
        <w:gridCol w:w="4032"/>
      </w:tblGrid>
      <w:tr w:rsidR="000B2C18" w:rsidTr="00511BDB">
        <w:trPr>
          <w:cantSplit/>
        </w:trPr>
        <w:tc>
          <w:tcPr>
            <w:tcW w:w="11052" w:type="dxa"/>
            <w:gridSpan w:val="6"/>
            <w:tcBorders>
              <w:top w:val="nil"/>
              <w:left w:val="nil"/>
              <w:bottom w:val="nil"/>
              <w:right w:val="nil"/>
            </w:tcBorders>
          </w:tcPr>
          <w:p w:rsidR="000B2C18" w:rsidRDefault="00545890">
            <w:pPr>
              <w:rPr>
                <w:rFonts w:ascii="Arial" w:hAnsi="Arial" w:cs="Arial"/>
                <w:b/>
                <w:bCs/>
                <w:color w:val="3366FF"/>
                <w:sz w:val="36"/>
              </w:rPr>
            </w:pPr>
            <w:r>
              <w:rPr>
                <w:rFonts w:ascii="Arial" w:hAnsi="Arial" w:cs="Arial"/>
                <w:b/>
                <w:bCs/>
                <w:color w:val="3366FF"/>
                <w:sz w:val="36"/>
              </w:rPr>
              <w:t>Managing Reagents IH-500</w:t>
            </w:r>
            <w:r w:rsidR="000B2C18">
              <w:rPr>
                <w:rFonts w:ascii="Arial" w:hAnsi="Arial" w:cs="Arial"/>
                <w:b/>
                <w:bCs/>
                <w:color w:val="3366FF"/>
                <w:sz w:val="36"/>
              </w:rPr>
              <w:t xml:space="preserve"> </w:t>
            </w:r>
          </w:p>
          <w:p w:rsidR="000B2C18" w:rsidRDefault="000B2C18">
            <w:pPr>
              <w:pStyle w:val="BodyText"/>
              <w:rPr>
                <w:rFonts w:ascii="Arial" w:hAnsi="Arial" w:cs="Arial"/>
                <w:sz w:val="24"/>
              </w:rPr>
            </w:pPr>
          </w:p>
        </w:tc>
      </w:tr>
      <w:tr w:rsidR="000B2C18" w:rsidTr="00511BDB">
        <w:trPr>
          <w:cantSplit/>
          <w:trHeight w:val="780"/>
        </w:trPr>
        <w:tc>
          <w:tcPr>
            <w:tcW w:w="1620" w:type="dxa"/>
            <w:tcBorders>
              <w:top w:val="nil"/>
              <w:left w:val="nil"/>
              <w:bottom w:val="nil"/>
              <w:right w:val="nil"/>
            </w:tcBorders>
          </w:tcPr>
          <w:p w:rsidR="000B2C18" w:rsidRDefault="000B2C18">
            <w:pPr>
              <w:pStyle w:val="Header"/>
              <w:tabs>
                <w:tab w:val="clear" w:pos="4320"/>
                <w:tab w:val="clear" w:pos="8640"/>
              </w:tabs>
              <w:rPr>
                <w:rFonts w:ascii="Arial" w:hAnsi="Arial" w:cs="Arial"/>
                <w:b/>
                <w:sz w:val="20"/>
              </w:rPr>
            </w:pPr>
          </w:p>
          <w:p w:rsidR="000B2C18" w:rsidRDefault="000B2C18">
            <w:pPr>
              <w:rPr>
                <w:rFonts w:ascii="Arial" w:hAnsi="Arial" w:cs="Arial"/>
                <w:b/>
                <w:bCs/>
                <w:color w:val="3366FF"/>
                <w:sz w:val="20"/>
              </w:rPr>
            </w:pPr>
            <w:r>
              <w:rPr>
                <w:rFonts w:ascii="Arial" w:hAnsi="Arial" w:cs="Arial"/>
                <w:b/>
                <w:bCs/>
                <w:color w:val="3366FF"/>
                <w:sz w:val="20"/>
              </w:rPr>
              <w:t>Purpose</w:t>
            </w:r>
          </w:p>
        </w:tc>
        <w:tc>
          <w:tcPr>
            <w:tcW w:w="9432" w:type="dxa"/>
            <w:gridSpan w:val="5"/>
            <w:tcBorders>
              <w:top w:val="single" w:sz="12" w:space="0" w:color="C0C0C0"/>
              <w:left w:val="nil"/>
              <w:bottom w:val="single" w:sz="12" w:space="0" w:color="C0C0C0"/>
              <w:right w:val="nil"/>
            </w:tcBorders>
          </w:tcPr>
          <w:p w:rsidR="000B2C18" w:rsidRDefault="000B2C18">
            <w:pPr>
              <w:pStyle w:val="BodyText"/>
              <w:jc w:val="left"/>
              <w:rPr>
                <w:rFonts w:ascii="Arial" w:hAnsi="Arial" w:cs="Arial"/>
              </w:rPr>
            </w:pPr>
          </w:p>
          <w:p w:rsidR="000B2C18" w:rsidRDefault="000B2C18" w:rsidP="00545890">
            <w:pPr>
              <w:pStyle w:val="TableText"/>
              <w:autoSpaceDE/>
              <w:autoSpaceDN/>
              <w:rPr>
                <w:rFonts w:ascii="Arial" w:hAnsi="Arial" w:cs="Arial"/>
              </w:rPr>
            </w:pPr>
            <w:r>
              <w:rPr>
                <w:rFonts w:ascii="Arial" w:hAnsi="Arial" w:cs="Arial"/>
              </w:rPr>
              <w:t>This proc</w:t>
            </w:r>
            <w:r w:rsidR="00545890">
              <w:rPr>
                <w:rFonts w:ascii="Arial" w:hAnsi="Arial" w:cs="Arial"/>
              </w:rPr>
              <w:t>edure provides instructions to e</w:t>
            </w:r>
            <w:r w:rsidR="000F432D">
              <w:rPr>
                <w:rFonts w:ascii="Arial" w:hAnsi="Arial" w:cs="Arial"/>
              </w:rPr>
              <w:t xml:space="preserve">nsure proper handling, loading, and unloading </w:t>
            </w:r>
            <w:r w:rsidR="00545890">
              <w:rPr>
                <w:rFonts w:ascii="Arial" w:hAnsi="Arial" w:cs="Arial"/>
              </w:rPr>
              <w:t xml:space="preserve">of reagents used for testing. </w:t>
            </w:r>
          </w:p>
        </w:tc>
      </w:tr>
      <w:tr w:rsidR="000B2C18" w:rsidTr="00511BDB">
        <w:trPr>
          <w:cantSplit/>
          <w:trHeight w:val="627"/>
        </w:trPr>
        <w:tc>
          <w:tcPr>
            <w:tcW w:w="1620" w:type="dxa"/>
            <w:tcBorders>
              <w:top w:val="nil"/>
              <w:left w:val="nil"/>
              <w:bottom w:val="nil"/>
              <w:right w:val="nil"/>
            </w:tcBorders>
          </w:tcPr>
          <w:p w:rsidR="000B2C18" w:rsidRDefault="000B2C18">
            <w:pPr>
              <w:rPr>
                <w:rFonts w:ascii="Arial" w:hAnsi="Arial" w:cs="Arial"/>
                <w:b/>
                <w:bCs/>
                <w:color w:val="3366FF"/>
                <w:sz w:val="20"/>
              </w:rPr>
            </w:pPr>
          </w:p>
          <w:p w:rsidR="000B2C18" w:rsidRDefault="000B2C18">
            <w:pPr>
              <w:rPr>
                <w:rFonts w:ascii="Arial" w:hAnsi="Arial" w:cs="Arial"/>
                <w:b/>
                <w:bCs/>
                <w:color w:val="3366FF"/>
                <w:sz w:val="20"/>
              </w:rPr>
            </w:pPr>
            <w:r>
              <w:rPr>
                <w:rFonts w:ascii="Arial" w:hAnsi="Arial" w:cs="Arial"/>
                <w:b/>
                <w:bCs/>
                <w:color w:val="3366FF"/>
                <w:sz w:val="20"/>
              </w:rPr>
              <w:t>Policy Statements</w:t>
            </w:r>
          </w:p>
        </w:tc>
        <w:tc>
          <w:tcPr>
            <w:tcW w:w="9432" w:type="dxa"/>
            <w:gridSpan w:val="5"/>
            <w:tcBorders>
              <w:top w:val="single" w:sz="12" w:space="0" w:color="C0C0C0"/>
              <w:left w:val="nil"/>
              <w:bottom w:val="single" w:sz="12" w:space="0" w:color="C0C0C0"/>
              <w:right w:val="nil"/>
            </w:tcBorders>
          </w:tcPr>
          <w:p w:rsidR="000B2C18" w:rsidRDefault="000B2C18">
            <w:pPr>
              <w:ind w:left="360"/>
              <w:jc w:val="left"/>
              <w:rPr>
                <w:rFonts w:ascii="Arial" w:hAnsi="Arial" w:cs="Arial"/>
                <w:iCs/>
                <w:sz w:val="20"/>
              </w:rPr>
            </w:pPr>
          </w:p>
          <w:p w:rsidR="000B2C18" w:rsidRDefault="00545890" w:rsidP="000B2C18">
            <w:pPr>
              <w:numPr>
                <w:ilvl w:val="0"/>
                <w:numId w:val="2"/>
              </w:numPr>
              <w:tabs>
                <w:tab w:val="left" w:pos="432"/>
              </w:tabs>
              <w:ind w:hanging="648"/>
              <w:jc w:val="left"/>
              <w:rPr>
                <w:rFonts w:ascii="Arial" w:hAnsi="Arial" w:cs="Arial"/>
                <w:iCs/>
                <w:sz w:val="20"/>
              </w:rPr>
            </w:pPr>
            <w:r>
              <w:rPr>
                <w:rFonts w:ascii="Arial" w:hAnsi="Arial" w:cs="Arial"/>
                <w:iCs/>
                <w:sz w:val="20"/>
              </w:rPr>
              <w:t>This procedure applies whenever the analyzer is in use.</w:t>
            </w:r>
          </w:p>
          <w:p w:rsidR="000B2C18" w:rsidRDefault="000B2C18">
            <w:pPr>
              <w:jc w:val="left"/>
              <w:rPr>
                <w:rFonts w:ascii="Arial" w:hAnsi="Arial" w:cs="Arial"/>
                <w:iCs/>
                <w:sz w:val="20"/>
              </w:rPr>
            </w:pPr>
          </w:p>
        </w:tc>
      </w:tr>
      <w:tr w:rsidR="000B2C18" w:rsidTr="00511BDB">
        <w:trPr>
          <w:cantSplit/>
          <w:trHeight w:val="150"/>
        </w:trPr>
        <w:tc>
          <w:tcPr>
            <w:tcW w:w="1620" w:type="dxa"/>
            <w:tcBorders>
              <w:top w:val="nil"/>
              <w:left w:val="nil"/>
              <w:bottom w:val="nil"/>
              <w:right w:val="nil"/>
            </w:tcBorders>
          </w:tcPr>
          <w:p w:rsidR="000B2C18" w:rsidRDefault="000B2C18">
            <w:pPr>
              <w:rPr>
                <w:rFonts w:ascii="Arial" w:hAnsi="Arial" w:cs="Arial"/>
                <w:b/>
                <w:bCs/>
                <w:color w:val="3366FF"/>
                <w:sz w:val="20"/>
              </w:rPr>
            </w:pPr>
          </w:p>
          <w:p w:rsidR="00545890" w:rsidRDefault="00545890">
            <w:pPr>
              <w:rPr>
                <w:rFonts w:ascii="Arial" w:hAnsi="Arial" w:cs="Arial"/>
                <w:b/>
                <w:bCs/>
                <w:color w:val="3366FF"/>
                <w:sz w:val="20"/>
              </w:rPr>
            </w:pPr>
            <w:r>
              <w:rPr>
                <w:rFonts w:ascii="Arial" w:hAnsi="Arial" w:cs="Arial"/>
                <w:b/>
                <w:bCs/>
                <w:color w:val="3366FF"/>
                <w:sz w:val="20"/>
              </w:rPr>
              <w:t>Stability</w:t>
            </w:r>
          </w:p>
        </w:tc>
        <w:tc>
          <w:tcPr>
            <w:tcW w:w="9432" w:type="dxa"/>
            <w:gridSpan w:val="5"/>
            <w:tcBorders>
              <w:top w:val="single" w:sz="12" w:space="0" w:color="C0C0C0"/>
              <w:left w:val="nil"/>
              <w:bottom w:val="single" w:sz="6" w:space="0" w:color="auto"/>
              <w:right w:val="nil"/>
            </w:tcBorders>
          </w:tcPr>
          <w:p w:rsidR="00015D4B" w:rsidRDefault="00015D4B">
            <w:pPr>
              <w:jc w:val="left"/>
              <w:rPr>
                <w:rFonts w:ascii="Arial" w:hAnsi="Arial" w:cs="Arial"/>
                <w:iCs/>
                <w:sz w:val="20"/>
              </w:rPr>
            </w:pPr>
          </w:p>
          <w:p w:rsidR="000B2C18" w:rsidRDefault="00545890">
            <w:pPr>
              <w:jc w:val="left"/>
              <w:rPr>
                <w:rFonts w:ascii="Arial" w:hAnsi="Arial" w:cs="Arial"/>
                <w:iCs/>
                <w:sz w:val="20"/>
              </w:rPr>
            </w:pPr>
            <w:r>
              <w:rPr>
                <w:rFonts w:ascii="Arial" w:hAnsi="Arial" w:cs="Arial"/>
                <w:iCs/>
                <w:sz w:val="20"/>
              </w:rPr>
              <w:t>On board stability of diluent racks is 30 days.</w:t>
            </w:r>
          </w:p>
          <w:p w:rsidR="000F432D" w:rsidRDefault="000F432D">
            <w:pPr>
              <w:jc w:val="left"/>
              <w:rPr>
                <w:rFonts w:ascii="Arial" w:hAnsi="Arial" w:cs="Arial"/>
                <w:iCs/>
                <w:sz w:val="20"/>
              </w:rPr>
            </w:pPr>
            <w:r>
              <w:rPr>
                <w:rFonts w:ascii="Arial" w:hAnsi="Arial" w:cs="Arial"/>
                <w:iCs/>
                <w:sz w:val="20"/>
              </w:rPr>
              <w:t>On board stability of reagents is 7 days.</w:t>
            </w:r>
          </w:p>
          <w:p w:rsidR="00015D4B" w:rsidRDefault="00015D4B">
            <w:pPr>
              <w:jc w:val="left"/>
              <w:rPr>
                <w:rFonts w:ascii="Arial" w:hAnsi="Arial" w:cs="Arial"/>
                <w:iCs/>
                <w:sz w:val="20"/>
              </w:rPr>
            </w:pPr>
          </w:p>
        </w:tc>
      </w:tr>
      <w:tr w:rsidR="000B2C18" w:rsidTr="00511BDB">
        <w:tc>
          <w:tcPr>
            <w:tcW w:w="1620" w:type="dxa"/>
            <w:tcBorders>
              <w:top w:val="nil"/>
              <w:left w:val="nil"/>
              <w:bottom w:val="nil"/>
              <w:right w:val="nil"/>
            </w:tcBorders>
          </w:tcPr>
          <w:p w:rsidR="000B2C18" w:rsidRDefault="000B2C18">
            <w:pPr>
              <w:rPr>
                <w:rFonts w:ascii="Arial" w:hAnsi="Arial" w:cs="Arial"/>
                <w:b/>
                <w:color w:val="3366FF"/>
                <w:sz w:val="20"/>
              </w:rPr>
            </w:pPr>
          </w:p>
          <w:p w:rsidR="000B2C18" w:rsidRDefault="000B2C18">
            <w:pPr>
              <w:jc w:val="left"/>
              <w:rPr>
                <w:rFonts w:ascii="Arial" w:hAnsi="Arial" w:cs="Arial"/>
                <w:color w:val="3366FF"/>
                <w:sz w:val="20"/>
              </w:rPr>
            </w:pPr>
            <w:r>
              <w:rPr>
                <w:rFonts w:ascii="Arial" w:hAnsi="Arial" w:cs="Arial"/>
                <w:b/>
                <w:color w:val="3366FF"/>
                <w:sz w:val="20"/>
              </w:rPr>
              <w:t>Procedure</w:t>
            </w:r>
          </w:p>
        </w:tc>
        <w:tc>
          <w:tcPr>
            <w:tcW w:w="9432" w:type="dxa"/>
            <w:gridSpan w:val="5"/>
            <w:tcBorders>
              <w:top w:val="single" w:sz="12" w:space="0" w:color="C0C0C0"/>
              <w:left w:val="nil"/>
              <w:bottom w:val="single" w:sz="4" w:space="0" w:color="auto"/>
              <w:right w:val="nil"/>
            </w:tcBorders>
          </w:tcPr>
          <w:p w:rsidR="000B2C18" w:rsidRDefault="000B2C18">
            <w:pPr>
              <w:jc w:val="left"/>
              <w:rPr>
                <w:rFonts w:ascii="Arial" w:hAnsi="Arial" w:cs="Arial"/>
                <w:sz w:val="20"/>
              </w:rPr>
            </w:pPr>
          </w:p>
          <w:p w:rsidR="000B2C18" w:rsidRDefault="000B2C18">
            <w:pPr>
              <w:jc w:val="left"/>
              <w:rPr>
                <w:rFonts w:ascii="Arial" w:hAnsi="Arial" w:cs="Arial"/>
                <w:sz w:val="20"/>
              </w:rPr>
            </w:pPr>
          </w:p>
        </w:tc>
      </w:tr>
      <w:tr w:rsidR="000B2C18" w:rsidTr="00511BDB">
        <w:trPr>
          <w:cantSplit/>
        </w:trPr>
        <w:tc>
          <w:tcPr>
            <w:tcW w:w="1620" w:type="dxa"/>
            <w:tcBorders>
              <w:top w:val="nil"/>
              <w:left w:val="nil"/>
              <w:bottom w:val="nil"/>
              <w:right w:val="single" w:sz="4" w:space="0" w:color="auto"/>
            </w:tcBorders>
          </w:tcPr>
          <w:p w:rsidR="000B2C18" w:rsidRDefault="000B2C18">
            <w:pPr>
              <w:rPr>
                <w:rFonts w:ascii="Arial" w:hAnsi="Arial" w:cs="Arial"/>
                <w:b/>
                <w:sz w:val="20"/>
              </w:rPr>
            </w:pPr>
          </w:p>
        </w:tc>
        <w:tc>
          <w:tcPr>
            <w:tcW w:w="772" w:type="dxa"/>
            <w:tcBorders>
              <w:top w:val="single" w:sz="4" w:space="0" w:color="auto"/>
              <w:left w:val="single" w:sz="4" w:space="0" w:color="auto"/>
              <w:bottom w:val="single" w:sz="4" w:space="0" w:color="auto"/>
              <w:right w:val="single" w:sz="4" w:space="0" w:color="auto"/>
            </w:tcBorders>
            <w:shd w:val="clear" w:color="auto" w:fill="F3F3F3"/>
          </w:tcPr>
          <w:p w:rsidR="000B2C18" w:rsidRDefault="000B2C18">
            <w:pPr>
              <w:jc w:val="center"/>
              <w:rPr>
                <w:rFonts w:ascii="Arial" w:hAnsi="Arial" w:cs="Arial"/>
              </w:rPr>
            </w:pPr>
            <w:r>
              <w:rPr>
                <w:rFonts w:ascii="Arial" w:hAnsi="Arial" w:cs="Arial"/>
                <w:b/>
                <w:bCs/>
                <w:sz w:val="20"/>
              </w:rPr>
              <w:t>Step</w:t>
            </w:r>
          </w:p>
        </w:tc>
        <w:tc>
          <w:tcPr>
            <w:tcW w:w="8660" w:type="dxa"/>
            <w:gridSpan w:val="4"/>
            <w:tcBorders>
              <w:top w:val="single" w:sz="4" w:space="0" w:color="auto"/>
              <w:left w:val="single" w:sz="4" w:space="0" w:color="auto"/>
              <w:bottom w:val="single" w:sz="4" w:space="0" w:color="auto"/>
            </w:tcBorders>
            <w:shd w:val="clear" w:color="auto" w:fill="F3F3F3"/>
          </w:tcPr>
          <w:p w:rsidR="000B2C18" w:rsidRDefault="000B2C18">
            <w:pPr>
              <w:pStyle w:val="TableHeaderText"/>
              <w:autoSpaceDE/>
              <w:autoSpaceDN/>
              <w:rPr>
                <w:rFonts w:ascii="Arial" w:hAnsi="Arial" w:cs="Arial"/>
              </w:rPr>
            </w:pPr>
            <w:r>
              <w:rPr>
                <w:rFonts w:ascii="Arial" w:hAnsi="Arial" w:cs="Arial"/>
              </w:rPr>
              <w:t>Action</w:t>
            </w:r>
          </w:p>
        </w:tc>
      </w:tr>
      <w:tr w:rsidR="000B2C18" w:rsidTr="00511BDB">
        <w:trPr>
          <w:cantSplit/>
        </w:trPr>
        <w:tc>
          <w:tcPr>
            <w:tcW w:w="1620" w:type="dxa"/>
            <w:tcBorders>
              <w:top w:val="nil"/>
              <w:left w:val="nil"/>
              <w:bottom w:val="nil"/>
              <w:right w:val="single" w:sz="6" w:space="0" w:color="auto"/>
            </w:tcBorders>
            <w:vAlign w:val="center"/>
          </w:tcPr>
          <w:p w:rsidR="000B2C18" w:rsidRDefault="00545890">
            <w:pPr>
              <w:rPr>
                <w:rFonts w:ascii="Arial" w:hAnsi="Arial" w:cs="Arial"/>
                <w:bCs/>
                <w:color w:val="3366FF"/>
                <w:sz w:val="20"/>
              </w:rPr>
            </w:pPr>
            <w:r>
              <w:rPr>
                <w:rFonts w:ascii="Arial" w:hAnsi="Arial" w:cs="Arial"/>
                <w:bCs/>
                <w:color w:val="3366FF"/>
                <w:sz w:val="20"/>
              </w:rPr>
              <w:t>Diluent Racks</w:t>
            </w:r>
          </w:p>
        </w:tc>
        <w:tc>
          <w:tcPr>
            <w:tcW w:w="772" w:type="dxa"/>
            <w:tcBorders>
              <w:top w:val="single" w:sz="4" w:space="0" w:color="auto"/>
              <w:left w:val="single" w:sz="6" w:space="0" w:color="auto"/>
              <w:bottom w:val="single" w:sz="6" w:space="0" w:color="auto"/>
              <w:right w:val="single" w:sz="6" w:space="0" w:color="auto"/>
            </w:tcBorders>
          </w:tcPr>
          <w:p w:rsidR="000B2C18" w:rsidRDefault="000B2C18">
            <w:pPr>
              <w:jc w:val="center"/>
              <w:rPr>
                <w:rFonts w:ascii="Arial" w:hAnsi="Arial" w:cs="Arial"/>
                <w:sz w:val="20"/>
              </w:rPr>
            </w:pPr>
            <w:r>
              <w:rPr>
                <w:rFonts w:ascii="Arial" w:hAnsi="Arial" w:cs="Arial"/>
                <w:sz w:val="20"/>
              </w:rPr>
              <w:t>1</w:t>
            </w:r>
          </w:p>
        </w:tc>
        <w:tc>
          <w:tcPr>
            <w:tcW w:w="8660" w:type="dxa"/>
            <w:gridSpan w:val="4"/>
            <w:tcBorders>
              <w:top w:val="single" w:sz="4" w:space="0" w:color="auto"/>
              <w:left w:val="single" w:sz="6" w:space="0" w:color="auto"/>
            </w:tcBorders>
          </w:tcPr>
          <w:p w:rsidR="00545890" w:rsidRDefault="00545890">
            <w:pPr>
              <w:jc w:val="left"/>
              <w:rPr>
                <w:rFonts w:ascii="Arial" w:hAnsi="Arial" w:cs="Arial"/>
                <w:sz w:val="20"/>
              </w:rPr>
            </w:pPr>
            <w:r>
              <w:rPr>
                <w:rFonts w:ascii="Arial" w:hAnsi="Arial" w:cs="Arial"/>
                <w:sz w:val="20"/>
              </w:rPr>
              <w:t>NOTE:</w:t>
            </w:r>
          </w:p>
          <w:p w:rsidR="000B2C18" w:rsidRDefault="00545890" w:rsidP="00545890">
            <w:pPr>
              <w:pStyle w:val="ListParagraph"/>
              <w:numPr>
                <w:ilvl w:val="0"/>
                <w:numId w:val="2"/>
              </w:numPr>
              <w:jc w:val="left"/>
              <w:rPr>
                <w:rFonts w:ascii="Arial" w:hAnsi="Arial" w:cs="Arial"/>
                <w:sz w:val="20"/>
              </w:rPr>
            </w:pPr>
            <w:r w:rsidRPr="00545890">
              <w:rPr>
                <w:rFonts w:ascii="Arial" w:hAnsi="Arial" w:cs="Arial"/>
                <w:sz w:val="20"/>
              </w:rPr>
              <w:t>only non-pierced (unused) diluent racks can be loaded</w:t>
            </w:r>
          </w:p>
          <w:p w:rsidR="00545890" w:rsidRDefault="00545890" w:rsidP="00545890">
            <w:pPr>
              <w:pStyle w:val="ListParagraph"/>
              <w:numPr>
                <w:ilvl w:val="0"/>
                <w:numId w:val="2"/>
              </w:numPr>
              <w:jc w:val="left"/>
              <w:rPr>
                <w:rFonts w:ascii="Arial" w:hAnsi="Arial" w:cs="Arial"/>
                <w:sz w:val="20"/>
              </w:rPr>
            </w:pPr>
            <w:r>
              <w:rPr>
                <w:rFonts w:ascii="Arial" w:hAnsi="Arial" w:cs="Arial"/>
                <w:sz w:val="20"/>
              </w:rPr>
              <w:t>diluent racks MUST be loaded in the left drawer only</w:t>
            </w:r>
          </w:p>
          <w:p w:rsidR="00545890" w:rsidRPr="00545890" w:rsidRDefault="00545890" w:rsidP="00545890">
            <w:pPr>
              <w:pStyle w:val="ListParagraph"/>
              <w:numPr>
                <w:ilvl w:val="0"/>
                <w:numId w:val="2"/>
              </w:numPr>
              <w:jc w:val="left"/>
              <w:rPr>
                <w:rFonts w:ascii="Arial" w:hAnsi="Arial" w:cs="Arial"/>
                <w:sz w:val="20"/>
              </w:rPr>
            </w:pPr>
            <w:r>
              <w:rPr>
                <w:rFonts w:ascii="Arial" w:hAnsi="Arial" w:cs="Arial"/>
                <w:sz w:val="20"/>
              </w:rPr>
              <w:t xml:space="preserve">4 diluent racks can be stored on the instrument at one time, but only 2 of the same type of diluent rack may be on board </w:t>
            </w:r>
          </w:p>
          <w:p w:rsidR="000B2C18" w:rsidRDefault="000B2C18">
            <w:pPr>
              <w:jc w:val="left"/>
              <w:rPr>
                <w:rFonts w:ascii="Arial" w:hAnsi="Arial" w:cs="Arial"/>
                <w:sz w:val="20"/>
              </w:rPr>
            </w:pPr>
          </w:p>
        </w:tc>
      </w:tr>
      <w:tr w:rsidR="000B2C18" w:rsidTr="00511BDB">
        <w:trPr>
          <w:cantSplit/>
          <w:trHeight w:val="65"/>
        </w:trPr>
        <w:tc>
          <w:tcPr>
            <w:tcW w:w="1620" w:type="dxa"/>
            <w:tcBorders>
              <w:top w:val="nil"/>
              <w:left w:val="nil"/>
              <w:bottom w:val="nil"/>
              <w:right w:val="single" w:sz="6" w:space="0" w:color="auto"/>
            </w:tcBorders>
            <w:vAlign w:val="center"/>
          </w:tcPr>
          <w:p w:rsidR="000B2C18" w:rsidRDefault="000B2C18">
            <w:pPr>
              <w:rPr>
                <w:rFonts w:ascii="Arial" w:hAnsi="Arial" w:cs="Arial"/>
                <w:bCs/>
                <w:color w:val="3366FF"/>
                <w:sz w:val="20"/>
              </w:rPr>
            </w:pPr>
          </w:p>
        </w:tc>
        <w:tc>
          <w:tcPr>
            <w:tcW w:w="772" w:type="dxa"/>
            <w:tcBorders>
              <w:top w:val="single" w:sz="6" w:space="0" w:color="auto"/>
              <w:left w:val="single" w:sz="6" w:space="0" w:color="auto"/>
              <w:bottom w:val="single" w:sz="6" w:space="0" w:color="auto"/>
              <w:right w:val="single" w:sz="6" w:space="0" w:color="auto"/>
            </w:tcBorders>
          </w:tcPr>
          <w:p w:rsidR="000B2C18" w:rsidRDefault="000B2C18">
            <w:pPr>
              <w:jc w:val="center"/>
              <w:rPr>
                <w:rFonts w:ascii="Arial" w:hAnsi="Arial" w:cs="Arial"/>
                <w:sz w:val="20"/>
              </w:rPr>
            </w:pPr>
            <w:r>
              <w:rPr>
                <w:rFonts w:ascii="Arial" w:hAnsi="Arial" w:cs="Arial"/>
                <w:sz w:val="20"/>
              </w:rPr>
              <w:t>2</w:t>
            </w:r>
          </w:p>
        </w:tc>
        <w:tc>
          <w:tcPr>
            <w:tcW w:w="8660" w:type="dxa"/>
            <w:gridSpan w:val="4"/>
            <w:tcBorders>
              <w:left w:val="single" w:sz="6" w:space="0" w:color="auto"/>
              <w:bottom w:val="nil"/>
            </w:tcBorders>
          </w:tcPr>
          <w:p w:rsidR="000B2C18" w:rsidRDefault="00545890">
            <w:pPr>
              <w:jc w:val="left"/>
              <w:rPr>
                <w:rFonts w:ascii="Arial" w:hAnsi="Arial" w:cs="Arial"/>
                <w:sz w:val="20"/>
              </w:rPr>
            </w:pPr>
            <w:r>
              <w:rPr>
                <w:rFonts w:ascii="Arial" w:hAnsi="Arial" w:cs="Arial"/>
                <w:sz w:val="20"/>
              </w:rPr>
              <w:t>Open the left drawer by pushing the ‘open left drawer button’</w:t>
            </w:r>
          </w:p>
          <w:p w:rsidR="000B2C18" w:rsidRDefault="000B2C18">
            <w:pPr>
              <w:jc w:val="left"/>
              <w:rPr>
                <w:rFonts w:ascii="Arial" w:hAnsi="Arial" w:cs="Arial"/>
                <w:sz w:val="20"/>
              </w:rPr>
            </w:pPr>
          </w:p>
        </w:tc>
      </w:tr>
      <w:tr w:rsidR="000B2C18" w:rsidTr="00511BDB">
        <w:trPr>
          <w:cantSplit/>
          <w:trHeight w:val="1848"/>
        </w:trPr>
        <w:tc>
          <w:tcPr>
            <w:tcW w:w="1620" w:type="dxa"/>
            <w:tcBorders>
              <w:top w:val="nil"/>
              <w:left w:val="nil"/>
              <w:bottom w:val="nil"/>
              <w:right w:val="single" w:sz="6" w:space="0" w:color="auto"/>
            </w:tcBorders>
            <w:vAlign w:val="center"/>
          </w:tcPr>
          <w:p w:rsidR="000B2C18" w:rsidRDefault="000B2C18">
            <w:pPr>
              <w:rPr>
                <w:rFonts w:ascii="Arial" w:hAnsi="Arial" w:cs="Arial"/>
                <w:bCs/>
                <w:color w:val="3366FF"/>
                <w:sz w:val="20"/>
              </w:rPr>
            </w:pPr>
          </w:p>
        </w:tc>
        <w:tc>
          <w:tcPr>
            <w:tcW w:w="772" w:type="dxa"/>
            <w:tcBorders>
              <w:top w:val="single" w:sz="6" w:space="0" w:color="auto"/>
              <w:left w:val="single" w:sz="6" w:space="0" w:color="auto"/>
              <w:bottom w:val="single" w:sz="6" w:space="0" w:color="auto"/>
              <w:right w:val="single" w:sz="6" w:space="0" w:color="auto"/>
            </w:tcBorders>
          </w:tcPr>
          <w:p w:rsidR="000B2C18" w:rsidRDefault="000B2C18">
            <w:pPr>
              <w:jc w:val="center"/>
              <w:rPr>
                <w:rFonts w:ascii="Arial" w:hAnsi="Arial" w:cs="Arial"/>
                <w:sz w:val="20"/>
              </w:rPr>
            </w:pPr>
            <w:r>
              <w:rPr>
                <w:rFonts w:ascii="Arial" w:hAnsi="Arial" w:cs="Arial"/>
                <w:sz w:val="20"/>
              </w:rPr>
              <w:t>3</w:t>
            </w:r>
          </w:p>
        </w:tc>
        <w:tc>
          <w:tcPr>
            <w:tcW w:w="8660" w:type="dxa"/>
            <w:gridSpan w:val="4"/>
            <w:tcBorders>
              <w:left w:val="single" w:sz="6" w:space="0" w:color="auto"/>
              <w:right w:val="single" w:sz="4" w:space="0" w:color="auto"/>
            </w:tcBorders>
          </w:tcPr>
          <w:p w:rsidR="00545890" w:rsidRDefault="00545890" w:rsidP="00545890">
            <w:pPr>
              <w:ind w:left="360" w:hanging="360"/>
              <w:rPr>
                <w:rFonts w:ascii="Arial" w:hAnsi="Arial" w:cs="Arial"/>
                <w:sz w:val="20"/>
              </w:rPr>
            </w:pPr>
            <w:r>
              <w:rPr>
                <w:rFonts w:ascii="Arial" w:hAnsi="Arial" w:cs="Arial"/>
                <w:sz w:val="20"/>
              </w:rPr>
              <w:t>Place the diluent rack(s) in the appropriate position(s) on the right side of the left drawer with the barcode facing to the right as shown in image below.</w:t>
            </w:r>
          </w:p>
          <w:p w:rsidR="000B2C18" w:rsidRDefault="00545890">
            <w:pPr>
              <w:ind w:left="360" w:hanging="360"/>
              <w:rPr>
                <w:rFonts w:ascii="Arial" w:hAnsi="Arial" w:cs="Arial"/>
                <w:sz w:val="20"/>
              </w:rPr>
            </w:pPr>
            <w:r>
              <w:rPr>
                <w:rFonts w:ascii="Arial" w:hAnsi="Arial" w:cs="Arial"/>
                <w:sz w:val="20"/>
              </w:rPr>
              <w:t xml:space="preserve">  </w:t>
            </w:r>
            <w:r>
              <w:rPr>
                <w:rFonts w:ascii="Arial" w:hAnsi="Arial" w:cs="Arial"/>
                <w:noProof/>
                <w:sz w:val="20"/>
              </w:rPr>
              <w:drawing>
                <wp:inline distT="0" distB="0" distL="0" distR="0">
                  <wp:extent cx="4706007" cy="343900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ft drawer.png"/>
                          <pic:cNvPicPr/>
                        </pic:nvPicPr>
                        <pic:blipFill>
                          <a:blip r:embed="rId7">
                            <a:extLst>
                              <a:ext uri="{28A0092B-C50C-407E-A947-70E740481C1C}">
                                <a14:useLocalDpi xmlns:a14="http://schemas.microsoft.com/office/drawing/2010/main" val="0"/>
                              </a:ext>
                            </a:extLst>
                          </a:blip>
                          <a:stretch>
                            <a:fillRect/>
                          </a:stretch>
                        </pic:blipFill>
                        <pic:spPr>
                          <a:xfrm>
                            <a:off x="0" y="0"/>
                            <a:ext cx="4706007" cy="3439005"/>
                          </a:xfrm>
                          <a:prstGeom prst="rect">
                            <a:avLst/>
                          </a:prstGeom>
                        </pic:spPr>
                      </pic:pic>
                    </a:graphicData>
                  </a:graphic>
                </wp:inline>
              </w:drawing>
            </w:r>
          </w:p>
          <w:p w:rsidR="00545890" w:rsidRDefault="00545890">
            <w:pPr>
              <w:ind w:left="360" w:hanging="360"/>
              <w:rPr>
                <w:rFonts w:ascii="Arial" w:hAnsi="Arial" w:cs="Arial"/>
                <w:sz w:val="20"/>
              </w:rPr>
            </w:pPr>
            <w:r>
              <w:rPr>
                <w:rFonts w:ascii="Arial" w:hAnsi="Arial" w:cs="Arial"/>
                <w:sz w:val="20"/>
              </w:rPr>
              <w:t>5= diluent pack   6=barcode on diluent pack   7=reagent loading zone</w:t>
            </w:r>
          </w:p>
        </w:tc>
      </w:tr>
      <w:tr w:rsidR="000B2C18" w:rsidTr="00511BDB">
        <w:trPr>
          <w:cantSplit/>
        </w:trPr>
        <w:tc>
          <w:tcPr>
            <w:tcW w:w="1620" w:type="dxa"/>
            <w:tcBorders>
              <w:top w:val="nil"/>
              <w:left w:val="nil"/>
              <w:bottom w:val="nil"/>
              <w:right w:val="single" w:sz="6" w:space="0" w:color="auto"/>
            </w:tcBorders>
            <w:vAlign w:val="center"/>
          </w:tcPr>
          <w:p w:rsidR="000B2C18" w:rsidRDefault="000B2C18">
            <w:pPr>
              <w:rPr>
                <w:rFonts w:ascii="Arial" w:hAnsi="Arial" w:cs="Arial"/>
                <w:bCs/>
                <w:color w:val="3366FF"/>
                <w:sz w:val="20"/>
              </w:rPr>
            </w:pPr>
          </w:p>
        </w:tc>
        <w:tc>
          <w:tcPr>
            <w:tcW w:w="772" w:type="dxa"/>
            <w:tcBorders>
              <w:top w:val="single" w:sz="6" w:space="0" w:color="auto"/>
              <w:left w:val="single" w:sz="6" w:space="0" w:color="auto"/>
              <w:bottom w:val="single" w:sz="6" w:space="0" w:color="auto"/>
              <w:right w:val="single" w:sz="6" w:space="0" w:color="auto"/>
            </w:tcBorders>
          </w:tcPr>
          <w:p w:rsidR="000B2C18" w:rsidRDefault="000B2C18">
            <w:pPr>
              <w:jc w:val="center"/>
              <w:rPr>
                <w:rFonts w:ascii="Arial" w:hAnsi="Arial" w:cs="Arial"/>
                <w:sz w:val="20"/>
              </w:rPr>
            </w:pPr>
            <w:r>
              <w:rPr>
                <w:rFonts w:ascii="Arial" w:hAnsi="Arial" w:cs="Arial"/>
                <w:sz w:val="20"/>
              </w:rPr>
              <w:t>4</w:t>
            </w:r>
          </w:p>
        </w:tc>
        <w:tc>
          <w:tcPr>
            <w:tcW w:w="8660" w:type="dxa"/>
            <w:gridSpan w:val="4"/>
            <w:tcBorders>
              <w:left w:val="single" w:sz="6" w:space="0" w:color="auto"/>
              <w:bottom w:val="single" w:sz="4" w:space="0" w:color="auto"/>
            </w:tcBorders>
          </w:tcPr>
          <w:p w:rsidR="000B2C18" w:rsidRDefault="00545890">
            <w:pPr>
              <w:pStyle w:val="TableText"/>
              <w:autoSpaceDE/>
              <w:autoSpaceDN/>
              <w:rPr>
                <w:rFonts w:ascii="Arial" w:hAnsi="Arial" w:cs="Arial"/>
              </w:rPr>
            </w:pPr>
            <w:r>
              <w:rPr>
                <w:rFonts w:ascii="Arial" w:hAnsi="Arial" w:cs="Arial"/>
              </w:rPr>
              <w:t xml:space="preserve">Close the drawer, the transport arm will scan the drawer and identify reagents. </w:t>
            </w:r>
          </w:p>
        </w:tc>
      </w:tr>
      <w:tr w:rsidR="00811CD0" w:rsidTr="00511BDB">
        <w:trPr>
          <w:cantSplit/>
        </w:trPr>
        <w:tc>
          <w:tcPr>
            <w:tcW w:w="1620" w:type="dxa"/>
            <w:tcBorders>
              <w:top w:val="nil"/>
              <w:left w:val="nil"/>
              <w:bottom w:val="nil"/>
              <w:right w:val="single" w:sz="6" w:space="0" w:color="auto"/>
            </w:tcBorders>
            <w:vAlign w:val="center"/>
          </w:tcPr>
          <w:p w:rsidR="00811CD0" w:rsidRDefault="00811CD0">
            <w:pPr>
              <w:rPr>
                <w:rFonts w:ascii="Arial" w:hAnsi="Arial" w:cs="Arial"/>
                <w:bCs/>
                <w:color w:val="3366FF"/>
                <w:sz w:val="20"/>
              </w:rPr>
            </w:pPr>
          </w:p>
        </w:tc>
        <w:tc>
          <w:tcPr>
            <w:tcW w:w="772" w:type="dxa"/>
            <w:tcBorders>
              <w:top w:val="single" w:sz="6" w:space="0" w:color="auto"/>
              <w:left w:val="single" w:sz="6" w:space="0" w:color="auto"/>
              <w:bottom w:val="single" w:sz="6" w:space="0" w:color="auto"/>
              <w:right w:val="single" w:sz="6" w:space="0" w:color="auto"/>
            </w:tcBorders>
          </w:tcPr>
          <w:p w:rsidR="00811CD0" w:rsidRDefault="00811CD0">
            <w:pPr>
              <w:jc w:val="center"/>
              <w:rPr>
                <w:rFonts w:ascii="Arial" w:hAnsi="Arial" w:cs="Arial"/>
                <w:sz w:val="20"/>
              </w:rPr>
            </w:pPr>
            <w:r>
              <w:rPr>
                <w:rFonts w:ascii="Arial" w:hAnsi="Arial" w:cs="Arial"/>
                <w:sz w:val="20"/>
              </w:rPr>
              <w:t>5</w:t>
            </w:r>
          </w:p>
        </w:tc>
        <w:tc>
          <w:tcPr>
            <w:tcW w:w="8660" w:type="dxa"/>
            <w:gridSpan w:val="4"/>
            <w:tcBorders>
              <w:left w:val="single" w:sz="6" w:space="0" w:color="auto"/>
              <w:bottom w:val="single" w:sz="4" w:space="0" w:color="auto"/>
            </w:tcBorders>
          </w:tcPr>
          <w:p w:rsidR="00811CD0" w:rsidRDefault="00811CD0">
            <w:pPr>
              <w:pStyle w:val="TableText"/>
              <w:autoSpaceDE/>
              <w:autoSpaceDN/>
              <w:rPr>
                <w:rFonts w:ascii="Arial" w:hAnsi="Arial" w:cs="Arial"/>
              </w:rPr>
            </w:pPr>
            <w:r>
              <w:rPr>
                <w:rFonts w:ascii="Arial" w:hAnsi="Arial" w:cs="Arial"/>
              </w:rPr>
              <w:t>The loaded rack will be displayed in the ‘Diluent Details’ screen. This screen provides information on the rack type, lot, expiration, and number of free wells.</w:t>
            </w:r>
            <w:r w:rsidRPr="00811CD0">
              <w:rPr>
                <w:rFonts w:ascii="Arial" w:hAnsi="Arial" w:cs="Arial"/>
                <w:noProof/>
              </w:rPr>
              <w:drawing>
                <wp:inline distT="0" distB="0" distL="0" distR="0" wp14:anchorId="51D3994A" wp14:editId="3CECC7F5">
                  <wp:extent cx="5316220" cy="30384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316220" cy="3038475"/>
                          </a:xfrm>
                          <a:prstGeom prst="rect">
                            <a:avLst/>
                          </a:prstGeom>
                        </pic:spPr>
                      </pic:pic>
                    </a:graphicData>
                  </a:graphic>
                </wp:inline>
              </w:drawing>
            </w:r>
          </w:p>
          <w:p w:rsidR="00511BDB" w:rsidRDefault="00511BDB">
            <w:pPr>
              <w:pStyle w:val="TableText"/>
              <w:autoSpaceDE/>
              <w:autoSpaceDN/>
              <w:rPr>
                <w:rFonts w:ascii="Arial" w:hAnsi="Arial" w:cs="Arial"/>
              </w:rPr>
            </w:pPr>
            <w:r>
              <w:rPr>
                <w:rFonts w:ascii="Arial" w:hAnsi="Arial" w:cs="Arial"/>
              </w:rPr>
              <w:t xml:space="preserve">1= status of diluent rack 2=detailed info of the rack 3=remove selected diluents 4=open left drawer  5=resources on board </w:t>
            </w:r>
          </w:p>
        </w:tc>
      </w:tr>
      <w:tr w:rsidR="00811CD0" w:rsidTr="00511BDB">
        <w:trPr>
          <w:cantSplit/>
        </w:trPr>
        <w:tc>
          <w:tcPr>
            <w:tcW w:w="1620" w:type="dxa"/>
            <w:tcBorders>
              <w:top w:val="nil"/>
              <w:left w:val="nil"/>
              <w:bottom w:val="nil"/>
              <w:right w:val="single" w:sz="6" w:space="0" w:color="auto"/>
            </w:tcBorders>
            <w:vAlign w:val="center"/>
          </w:tcPr>
          <w:p w:rsidR="00811CD0" w:rsidRDefault="00811CD0">
            <w:pPr>
              <w:rPr>
                <w:rFonts w:ascii="Arial" w:hAnsi="Arial" w:cs="Arial"/>
                <w:bCs/>
                <w:color w:val="3366FF"/>
                <w:sz w:val="20"/>
              </w:rPr>
            </w:pPr>
          </w:p>
        </w:tc>
        <w:tc>
          <w:tcPr>
            <w:tcW w:w="772" w:type="dxa"/>
            <w:tcBorders>
              <w:top w:val="single" w:sz="6" w:space="0" w:color="auto"/>
              <w:left w:val="single" w:sz="6" w:space="0" w:color="auto"/>
              <w:bottom w:val="single" w:sz="6" w:space="0" w:color="auto"/>
              <w:right w:val="single" w:sz="6" w:space="0" w:color="auto"/>
            </w:tcBorders>
          </w:tcPr>
          <w:p w:rsidR="00811CD0" w:rsidRDefault="00811CD0">
            <w:pPr>
              <w:jc w:val="center"/>
              <w:rPr>
                <w:rFonts w:ascii="Arial" w:hAnsi="Arial" w:cs="Arial"/>
                <w:sz w:val="20"/>
              </w:rPr>
            </w:pPr>
            <w:r>
              <w:rPr>
                <w:rFonts w:ascii="Arial" w:hAnsi="Arial" w:cs="Arial"/>
                <w:sz w:val="20"/>
              </w:rPr>
              <w:t>5</w:t>
            </w:r>
          </w:p>
        </w:tc>
        <w:tc>
          <w:tcPr>
            <w:tcW w:w="8660" w:type="dxa"/>
            <w:gridSpan w:val="4"/>
            <w:tcBorders>
              <w:left w:val="single" w:sz="6" w:space="0" w:color="auto"/>
              <w:bottom w:val="single" w:sz="4" w:space="0" w:color="auto"/>
            </w:tcBorders>
          </w:tcPr>
          <w:p w:rsidR="00811CD0" w:rsidRDefault="00811CD0">
            <w:pPr>
              <w:pStyle w:val="TableText"/>
              <w:autoSpaceDE/>
              <w:autoSpaceDN/>
              <w:rPr>
                <w:rFonts w:ascii="Arial" w:hAnsi="Arial" w:cs="Arial"/>
              </w:rPr>
            </w:pPr>
            <w:r>
              <w:rPr>
                <w:rFonts w:ascii="Arial" w:hAnsi="Arial" w:cs="Arial"/>
              </w:rPr>
              <w:t xml:space="preserve">To unload diluent racks, select the rack you wish to remove and select ‘Remove Selected Diluents’, this will discard the diluent rack if the rack was used at all. If the rack was not used at all, it will be returned to the left drawer for removal. </w:t>
            </w:r>
          </w:p>
        </w:tc>
      </w:tr>
      <w:tr w:rsidR="000B2C18" w:rsidTr="00511BDB">
        <w:trPr>
          <w:cantSplit/>
        </w:trPr>
        <w:tc>
          <w:tcPr>
            <w:tcW w:w="1620" w:type="dxa"/>
            <w:tcBorders>
              <w:top w:val="nil"/>
              <w:left w:val="nil"/>
              <w:bottom w:val="nil"/>
              <w:right w:val="nil"/>
            </w:tcBorders>
          </w:tcPr>
          <w:p w:rsidR="000B2C18" w:rsidRDefault="000B2C18">
            <w:pPr>
              <w:jc w:val="left"/>
              <w:rPr>
                <w:rFonts w:ascii="Arial" w:hAnsi="Arial" w:cs="Arial"/>
                <w:sz w:val="20"/>
              </w:rPr>
            </w:pPr>
          </w:p>
        </w:tc>
        <w:tc>
          <w:tcPr>
            <w:tcW w:w="9432" w:type="dxa"/>
            <w:gridSpan w:val="5"/>
            <w:tcBorders>
              <w:top w:val="nil"/>
              <w:left w:val="nil"/>
              <w:bottom w:val="nil"/>
            </w:tcBorders>
          </w:tcPr>
          <w:p w:rsidR="000B2C18" w:rsidRDefault="000B2C18">
            <w:pPr>
              <w:jc w:val="left"/>
              <w:rPr>
                <w:rFonts w:ascii="Arial" w:hAnsi="Arial" w:cs="Arial"/>
                <w:sz w:val="20"/>
              </w:rPr>
            </w:pPr>
          </w:p>
        </w:tc>
      </w:tr>
      <w:tr w:rsidR="000B2C18" w:rsidTr="00511BDB">
        <w:trPr>
          <w:cantSplit/>
        </w:trPr>
        <w:tc>
          <w:tcPr>
            <w:tcW w:w="1620" w:type="dxa"/>
            <w:tcBorders>
              <w:top w:val="nil"/>
              <w:left w:val="nil"/>
              <w:bottom w:val="nil"/>
              <w:right w:val="single" w:sz="6" w:space="0" w:color="auto"/>
            </w:tcBorders>
          </w:tcPr>
          <w:p w:rsidR="000B2C18" w:rsidRDefault="000B2C18">
            <w:pPr>
              <w:rPr>
                <w:rFonts w:ascii="Arial" w:hAnsi="Arial" w:cs="Arial"/>
                <w:bCs/>
                <w:color w:val="0000FF"/>
                <w:sz w:val="20"/>
              </w:rPr>
            </w:pPr>
          </w:p>
        </w:tc>
        <w:tc>
          <w:tcPr>
            <w:tcW w:w="772" w:type="dxa"/>
            <w:tcBorders>
              <w:top w:val="single" w:sz="6" w:space="0" w:color="auto"/>
              <w:left w:val="single" w:sz="6" w:space="0" w:color="auto"/>
              <w:bottom w:val="single" w:sz="6" w:space="0" w:color="auto"/>
              <w:right w:val="single" w:sz="6" w:space="0" w:color="auto"/>
            </w:tcBorders>
            <w:shd w:val="clear" w:color="auto" w:fill="F3F3F3"/>
          </w:tcPr>
          <w:p w:rsidR="000B2C18" w:rsidRDefault="000B2C18">
            <w:pPr>
              <w:jc w:val="center"/>
              <w:rPr>
                <w:rFonts w:ascii="Arial" w:hAnsi="Arial" w:cs="Arial"/>
              </w:rPr>
            </w:pPr>
            <w:r>
              <w:rPr>
                <w:rFonts w:ascii="Arial" w:hAnsi="Arial" w:cs="Arial"/>
                <w:b/>
                <w:bCs/>
                <w:sz w:val="20"/>
              </w:rPr>
              <w:t>Step</w:t>
            </w:r>
          </w:p>
        </w:tc>
        <w:tc>
          <w:tcPr>
            <w:tcW w:w="8660" w:type="dxa"/>
            <w:gridSpan w:val="4"/>
            <w:tcBorders>
              <w:left w:val="single" w:sz="6" w:space="0" w:color="auto"/>
              <w:bottom w:val="single" w:sz="4" w:space="0" w:color="auto"/>
            </w:tcBorders>
            <w:shd w:val="clear" w:color="auto" w:fill="F3F3F3"/>
          </w:tcPr>
          <w:p w:rsidR="000B2C18" w:rsidRDefault="000B2C18">
            <w:pPr>
              <w:pStyle w:val="TableHeaderText"/>
              <w:autoSpaceDE/>
              <w:autoSpaceDN/>
              <w:rPr>
                <w:rFonts w:ascii="Arial" w:hAnsi="Arial" w:cs="Arial"/>
              </w:rPr>
            </w:pPr>
            <w:r>
              <w:rPr>
                <w:rFonts w:ascii="Arial" w:hAnsi="Arial" w:cs="Arial"/>
              </w:rPr>
              <w:t>Action</w:t>
            </w:r>
          </w:p>
        </w:tc>
      </w:tr>
      <w:tr w:rsidR="000B2C18" w:rsidTr="00511BDB">
        <w:trPr>
          <w:cantSplit/>
        </w:trPr>
        <w:tc>
          <w:tcPr>
            <w:tcW w:w="1620" w:type="dxa"/>
            <w:tcBorders>
              <w:top w:val="nil"/>
              <w:left w:val="nil"/>
              <w:bottom w:val="nil"/>
              <w:right w:val="single" w:sz="6" w:space="0" w:color="auto"/>
            </w:tcBorders>
            <w:vAlign w:val="center"/>
          </w:tcPr>
          <w:p w:rsidR="000B2C18" w:rsidRDefault="000F432D">
            <w:pPr>
              <w:rPr>
                <w:rFonts w:ascii="Arial" w:hAnsi="Arial" w:cs="Arial"/>
                <w:bCs/>
                <w:color w:val="3366FF"/>
                <w:sz w:val="20"/>
              </w:rPr>
            </w:pPr>
            <w:r>
              <w:rPr>
                <w:rFonts w:ascii="Arial" w:hAnsi="Arial" w:cs="Arial"/>
                <w:bCs/>
                <w:color w:val="3366FF"/>
                <w:sz w:val="20"/>
              </w:rPr>
              <w:t xml:space="preserve">Reagents </w:t>
            </w:r>
          </w:p>
        </w:tc>
        <w:tc>
          <w:tcPr>
            <w:tcW w:w="772" w:type="dxa"/>
            <w:tcBorders>
              <w:top w:val="single" w:sz="6" w:space="0" w:color="auto"/>
              <w:left w:val="single" w:sz="6" w:space="0" w:color="auto"/>
              <w:bottom w:val="single" w:sz="6" w:space="0" w:color="auto"/>
              <w:right w:val="single" w:sz="6" w:space="0" w:color="auto"/>
            </w:tcBorders>
          </w:tcPr>
          <w:p w:rsidR="000B2C18" w:rsidRDefault="000B2C18">
            <w:pPr>
              <w:jc w:val="center"/>
              <w:rPr>
                <w:rFonts w:ascii="Arial" w:hAnsi="Arial" w:cs="Arial"/>
                <w:sz w:val="20"/>
              </w:rPr>
            </w:pPr>
            <w:r>
              <w:rPr>
                <w:rFonts w:ascii="Arial" w:hAnsi="Arial" w:cs="Arial"/>
                <w:sz w:val="20"/>
              </w:rPr>
              <w:t>1</w:t>
            </w:r>
          </w:p>
        </w:tc>
        <w:tc>
          <w:tcPr>
            <w:tcW w:w="8660" w:type="dxa"/>
            <w:gridSpan w:val="4"/>
            <w:tcBorders>
              <w:left w:val="single" w:sz="6" w:space="0" w:color="auto"/>
              <w:bottom w:val="single" w:sz="4" w:space="0" w:color="auto"/>
            </w:tcBorders>
          </w:tcPr>
          <w:p w:rsidR="000B2C18" w:rsidRDefault="007E1525">
            <w:pPr>
              <w:jc w:val="left"/>
              <w:rPr>
                <w:rFonts w:ascii="Arial" w:hAnsi="Arial" w:cs="Arial"/>
                <w:sz w:val="20"/>
              </w:rPr>
            </w:pPr>
            <w:r w:rsidRPr="007E1525">
              <w:rPr>
                <w:rFonts w:ascii="Arial" w:hAnsi="Arial" w:cs="Arial"/>
                <w:sz w:val="20"/>
              </w:rPr>
              <w:t xml:space="preserve">Examine reagents for integrity (ex: cloudiness). </w:t>
            </w:r>
            <w:r w:rsidR="000F432D">
              <w:rPr>
                <w:rFonts w:ascii="Arial" w:hAnsi="Arial" w:cs="Arial"/>
                <w:sz w:val="20"/>
              </w:rPr>
              <w:t xml:space="preserve">Gently swirl the vials so that the reagents are in suspension. Allow to sit at room temp for 5-10 minutes. </w:t>
            </w:r>
          </w:p>
          <w:p w:rsidR="000B2C18" w:rsidRDefault="000B2C18">
            <w:pPr>
              <w:jc w:val="left"/>
              <w:rPr>
                <w:rFonts w:ascii="Arial" w:hAnsi="Arial" w:cs="Arial"/>
                <w:sz w:val="20"/>
              </w:rPr>
            </w:pPr>
          </w:p>
        </w:tc>
      </w:tr>
      <w:tr w:rsidR="000B2C18" w:rsidTr="00511BDB">
        <w:trPr>
          <w:cantSplit/>
        </w:trPr>
        <w:tc>
          <w:tcPr>
            <w:tcW w:w="1620" w:type="dxa"/>
            <w:tcBorders>
              <w:top w:val="nil"/>
              <w:left w:val="nil"/>
              <w:bottom w:val="nil"/>
              <w:right w:val="single" w:sz="6" w:space="0" w:color="auto"/>
            </w:tcBorders>
            <w:vAlign w:val="center"/>
          </w:tcPr>
          <w:p w:rsidR="000B2C18" w:rsidRDefault="000B2C18">
            <w:pPr>
              <w:rPr>
                <w:rFonts w:ascii="Arial" w:hAnsi="Arial" w:cs="Arial"/>
                <w:bCs/>
                <w:color w:val="3366FF"/>
                <w:sz w:val="20"/>
              </w:rPr>
            </w:pPr>
          </w:p>
        </w:tc>
        <w:tc>
          <w:tcPr>
            <w:tcW w:w="772" w:type="dxa"/>
            <w:tcBorders>
              <w:top w:val="single" w:sz="6" w:space="0" w:color="auto"/>
              <w:left w:val="single" w:sz="6" w:space="0" w:color="auto"/>
              <w:bottom w:val="single" w:sz="6" w:space="0" w:color="auto"/>
              <w:right w:val="single" w:sz="6" w:space="0" w:color="auto"/>
            </w:tcBorders>
          </w:tcPr>
          <w:p w:rsidR="000B2C18" w:rsidRDefault="000B2C18">
            <w:pPr>
              <w:jc w:val="center"/>
              <w:rPr>
                <w:rFonts w:ascii="Arial" w:hAnsi="Arial" w:cs="Arial"/>
                <w:sz w:val="20"/>
              </w:rPr>
            </w:pPr>
            <w:r>
              <w:rPr>
                <w:rFonts w:ascii="Arial" w:hAnsi="Arial" w:cs="Arial"/>
                <w:sz w:val="20"/>
              </w:rPr>
              <w:t>2</w:t>
            </w:r>
          </w:p>
        </w:tc>
        <w:tc>
          <w:tcPr>
            <w:tcW w:w="8660" w:type="dxa"/>
            <w:gridSpan w:val="4"/>
            <w:tcBorders>
              <w:left w:val="single" w:sz="6" w:space="0" w:color="auto"/>
              <w:bottom w:val="single" w:sz="4" w:space="0" w:color="auto"/>
            </w:tcBorders>
          </w:tcPr>
          <w:p w:rsidR="000B2C18" w:rsidRDefault="007E1525">
            <w:pPr>
              <w:jc w:val="left"/>
              <w:rPr>
                <w:rFonts w:ascii="Arial" w:hAnsi="Arial" w:cs="Arial"/>
                <w:sz w:val="20"/>
              </w:rPr>
            </w:pPr>
            <w:r>
              <w:rPr>
                <w:rFonts w:ascii="Arial" w:hAnsi="Arial" w:cs="Arial"/>
                <w:sz w:val="20"/>
              </w:rPr>
              <w:t>Open the left drawer. Remove the caps and place the vials in the reagent tray so that the barcode is facing the barcode alignment mark (black curved line next to each vial well). Be sure reagents don’t have excess bubbles on surface, if so, remove bubbles before loading.</w:t>
            </w:r>
          </w:p>
          <w:p w:rsidR="000B2C18" w:rsidRDefault="007E1525">
            <w:pPr>
              <w:jc w:val="left"/>
              <w:rPr>
                <w:rFonts w:ascii="Arial" w:hAnsi="Arial" w:cs="Arial"/>
                <w:sz w:val="20"/>
              </w:rPr>
            </w:pPr>
            <w:r>
              <w:rPr>
                <w:rFonts w:ascii="Arial" w:hAnsi="Arial" w:cs="Arial"/>
                <w:noProof/>
                <w:sz w:val="20"/>
              </w:rPr>
              <w:drawing>
                <wp:inline distT="0" distB="0" distL="0" distR="0">
                  <wp:extent cx="2609850" cy="248589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arcode alignment.png"/>
                          <pic:cNvPicPr/>
                        </pic:nvPicPr>
                        <pic:blipFill>
                          <a:blip r:embed="rId9">
                            <a:extLst>
                              <a:ext uri="{28A0092B-C50C-407E-A947-70E740481C1C}">
                                <a14:useLocalDpi xmlns:a14="http://schemas.microsoft.com/office/drawing/2010/main" val="0"/>
                              </a:ext>
                            </a:extLst>
                          </a:blip>
                          <a:stretch>
                            <a:fillRect/>
                          </a:stretch>
                        </pic:blipFill>
                        <pic:spPr>
                          <a:xfrm>
                            <a:off x="0" y="0"/>
                            <a:ext cx="2613822" cy="2489683"/>
                          </a:xfrm>
                          <a:prstGeom prst="rect">
                            <a:avLst/>
                          </a:prstGeom>
                        </pic:spPr>
                      </pic:pic>
                    </a:graphicData>
                  </a:graphic>
                </wp:inline>
              </w:drawing>
            </w:r>
          </w:p>
        </w:tc>
      </w:tr>
      <w:tr w:rsidR="000B2C18" w:rsidTr="00511BDB">
        <w:trPr>
          <w:cantSplit/>
        </w:trPr>
        <w:tc>
          <w:tcPr>
            <w:tcW w:w="1620" w:type="dxa"/>
            <w:tcBorders>
              <w:top w:val="nil"/>
              <w:left w:val="nil"/>
              <w:bottom w:val="nil"/>
              <w:right w:val="single" w:sz="6" w:space="0" w:color="auto"/>
            </w:tcBorders>
            <w:vAlign w:val="center"/>
          </w:tcPr>
          <w:p w:rsidR="000B2C18" w:rsidRDefault="000B2C18">
            <w:pPr>
              <w:rPr>
                <w:rFonts w:ascii="Arial" w:hAnsi="Arial" w:cs="Arial"/>
                <w:bCs/>
                <w:color w:val="3366FF"/>
                <w:sz w:val="20"/>
              </w:rPr>
            </w:pPr>
          </w:p>
        </w:tc>
        <w:tc>
          <w:tcPr>
            <w:tcW w:w="772" w:type="dxa"/>
            <w:tcBorders>
              <w:top w:val="single" w:sz="6" w:space="0" w:color="auto"/>
              <w:left w:val="single" w:sz="6" w:space="0" w:color="auto"/>
              <w:bottom w:val="single" w:sz="6" w:space="0" w:color="auto"/>
              <w:right w:val="single" w:sz="6" w:space="0" w:color="auto"/>
            </w:tcBorders>
          </w:tcPr>
          <w:p w:rsidR="000B2C18" w:rsidRDefault="000B2C18">
            <w:pPr>
              <w:jc w:val="center"/>
              <w:rPr>
                <w:rFonts w:ascii="Arial" w:hAnsi="Arial" w:cs="Arial"/>
                <w:sz w:val="20"/>
              </w:rPr>
            </w:pPr>
            <w:r>
              <w:rPr>
                <w:rFonts w:ascii="Arial" w:hAnsi="Arial" w:cs="Arial"/>
                <w:sz w:val="20"/>
              </w:rPr>
              <w:t>3</w:t>
            </w:r>
          </w:p>
        </w:tc>
        <w:tc>
          <w:tcPr>
            <w:tcW w:w="8660" w:type="dxa"/>
            <w:gridSpan w:val="4"/>
            <w:tcBorders>
              <w:left w:val="single" w:sz="6" w:space="0" w:color="auto"/>
              <w:bottom w:val="single" w:sz="4" w:space="0" w:color="auto"/>
            </w:tcBorders>
          </w:tcPr>
          <w:p w:rsidR="000B2C18" w:rsidRDefault="00015D4B">
            <w:pPr>
              <w:jc w:val="left"/>
              <w:rPr>
                <w:rFonts w:ascii="Arial" w:hAnsi="Arial" w:cs="Arial"/>
                <w:sz w:val="20"/>
              </w:rPr>
            </w:pPr>
            <w:r>
              <w:rPr>
                <w:rFonts w:ascii="Arial" w:hAnsi="Arial" w:cs="Arial"/>
                <w:sz w:val="20"/>
              </w:rPr>
              <w:t>Close the left drawer. The transport arm will scan the drawer and identify reagents loaded.</w:t>
            </w:r>
          </w:p>
          <w:p w:rsidR="000B2C18" w:rsidRDefault="000B2C18">
            <w:pPr>
              <w:jc w:val="left"/>
              <w:rPr>
                <w:rFonts w:ascii="Arial" w:hAnsi="Arial" w:cs="Arial"/>
                <w:sz w:val="20"/>
              </w:rPr>
            </w:pPr>
          </w:p>
        </w:tc>
      </w:tr>
      <w:tr w:rsidR="000B2C18" w:rsidTr="00944818">
        <w:trPr>
          <w:cantSplit/>
          <w:trHeight w:val="480"/>
        </w:trPr>
        <w:tc>
          <w:tcPr>
            <w:tcW w:w="1620" w:type="dxa"/>
            <w:tcBorders>
              <w:top w:val="nil"/>
              <w:left w:val="nil"/>
              <w:bottom w:val="nil"/>
              <w:right w:val="single" w:sz="6" w:space="0" w:color="auto"/>
            </w:tcBorders>
            <w:vAlign w:val="center"/>
          </w:tcPr>
          <w:p w:rsidR="000B2C18" w:rsidRDefault="000B2C18">
            <w:pPr>
              <w:rPr>
                <w:rFonts w:ascii="Arial" w:hAnsi="Arial" w:cs="Arial"/>
                <w:bCs/>
                <w:color w:val="3366FF"/>
                <w:sz w:val="20"/>
              </w:rPr>
            </w:pPr>
          </w:p>
        </w:tc>
        <w:tc>
          <w:tcPr>
            <w:tcW w:w="772" w:type="dxa"/>
            <w:tcBorders>
              <w:top w:val="single" w:sz="6" w:space="0" w:color="auto"/>
              <w:left w:val="single" w:sz="6" w:space="0" w:color="auto"/>
              <w:bottom w:val="single" w:sz="6" w:space="0" w:color="auto"/>
              <w:right w:val="single" w:sz="6" w:space="0" w:color="auto"/>
            </w:tcBorders>
          </w:tcPr>
          <w:p w:rsidR="000B2C18" w:rsidRDefault="000B2C18">
            <w:pPr>
              <w:jc w:val="center"/>
              <w:rPr>
                <w:rFonts w:ascii="Arial" w:hAnsi="Arial" w:cs="Arial"/>
                <w:sz w:val="20"/>
              </w:rPr>
            </w:pPr>
            <w:r>
              <w:rPr>
                <w:rFonts w:ascii="Arial" w:hAnsi="Arial" w:cs="Arial"/>
                <w:sz w:val="20"/>
              </w:rPr>
              <w:t>4</w:t>
            </w:r>
          </w:p>
        </w:tc>
        <w:tc>
          <w:tcPr>
            <w:tcW w:w="8660" w:type="dxa"/>
            <w:gridSpan w:val="4"/>
            <w:tcBorders>
              <w:left w:val="single" w:sz="6" w:space="0" w:color="auto"/>
              <w:bottom w:val="single" w:sz="4" w:space="0" w:color="auto"/>
            </w:tcBorders>
          </w:tcPr>
          <w:p w:rsidR="000B2C18" w:rsidRDefault="00944818">
            <w:pPr>
              <w:jc w:val="left"/>
              <w:rPr>
                <w:rFonts w:ascii="Arial" w:hAnsi="Arial" w:cs="Arial"/>
                <w:sz w:val="20"/>
              </w:rPr>
            </w:pPr>
            <w:r>
              <w:rPr>
                <w:rFonts w:ascii="Arial" w:hAnsi="Arial" w:cs="Arial"/>
                <w:sz w:val="20"/>
              </w:rPr>
              <w:t xml:space="preserve">To remove reagents, select the ‘Resources on Board’ button, then the ‘Reagents’ area. </w:t>
            </w:r>
            <w:r w:rsidR="000D067F">
              <w:rPr>
                <w:rFonts w:ascii="Arial" w:hAnsi="Arial" w:cs="Arial"/>
                <w:noProof/>
                <w:sz w:val="20"/>
              </w:rPr>
              <w:drawing>
                <wp:inline distT="0" distB="0" distL="0" distR="0">
                  <wp:extent cx="5361940" cy="3045460"/>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sources on board screen.png"/>
                          <pic:cNvPicPr/>
                        </pic:nvPicPr>
                        <pic:blipFill>
                          <a:blip r:embed="rId10">
                            <a:extLst>
                              <a:ext uri="{28A0092B-C50C-407E-A947-70E740481C1C}">
                                <a14:useLocalDpi xmlns:a14="http://schemas.microsoft.com/office/drawing/2010/main" val="0"/>
                              </a:ext>
                            </a:extLst>
                          </a:blip>
                          <a:stretch>
                            <a:fillRect/>
                          </a:stretch>
                        </pic:blipFill>
                        <pic:spPr>
                          <a:xfrm>
                            <a:off x="0" y="0"/>
                            <a:ext cx="5361940" cy="3045460"/>
                          </a:xfrm>
                          <a:prstGeom prst="rect">
                            <a:avLst/>
                          </a:prstGeom>
                        </pic:spPr>
                      </pic:pic>
                    </a:graphicData>
                  </a:graphic>
                </wp:inline>
              </w:drawing>
            </w:r>
          </w:p>
        </w:tc>
      </w:tr>
      <w:tr w:rsidR="00944818" w:rsidTr="00944818">
        <w:trPr>
          <w:cantSplit/>
          <w:trHeight w:val="480"/>
        </w:trPr>
        <w:tc>
          <w:tcPr>
            <w:tcW w:w="1620" w:type="dxa"/>
            <w:tcBorders>
              <w:top w:val="nil"/>
              <w:left w:val="nil"/>
              <w:bottom w:val="nil"/>
              <w:right w:val="single" w:sz="6" w:space="0" w:color="auto"/>
            </w:tcBorders>
            <w:vAlign w:val="center"/>
          </w:tcPr>
          <w:p w:rsidR="00944818" w:rsidRDefault="00944818">
            <w:pPr>
              <w:rPr>
                <w:rFonts w:ascii="Arial" w:hAnsi="Arial" w:cs="Arial"/>
                <w:bCs/>
                <w:color w:val="3366FF"/>
                <w:sz w:val="20"/>
              </w:rPr>
            </w:pPr>
          </w:p>
        </w:tc>
        <w:tc>
          <w:tcPr>
            <w:tcW w:w="772" w:type="dxa"/>
            <w:tcBorders>
              <w:top w:val="single" w:sz="6" w:space="0" w:color="auto"/>
              <w:left w:val="single" w:sz="6" w:space="0" w:color="auto"/>
              <w:bottom w:val="single" w:sz="6" w:space="0" w:color="auto"/>
              <w:right w:val="single" w:sz="6" w:space="0" w:color="auto"/>
            </w:tcBorders>
          </w:tcPr>
          <w:p w:rsidR="00944818" w:rsidRDefault="00944818">
            <w:pPr>
              <w:jc w:val="center"/>
              <w:rPr>
                <w:rFonts w:ascii="Arial" w:hAnsi="Arial" w:cs="Arial"/>
                <w:sz w:val="20"/>
              </w:rPr>
            </w:pPr>
            <w:r>
              <w:rPr>
                <w:rFonts w:ascii="Arial" w:hAnsi="Arial" w:cs="Arial"/>
                <w:sz w:val="20"/>
              </w:rPr>
              <w:t>5</w:t>
            </w:r>
          </w:p>
        </w:tc>
        <w:tc>
          <w:tcPr>
            <w:tcW w:w="8660" w:type="dxa"/>
            <w:gridSpan w:val="4"/>
            <w:tcBorders>
              <w:left w:val="single" w:sz="6" w:space="0" w:color="auto"/>
              <w:bottom w:val="single" w:sz="4" w:space="0" w:color="auto"/>
            </w:tcBorders>
          </w:tcPr>
          <w:p w:rsidR="00944818" w:rsidRDefault="000D067F">
            <w:pPr>
              <w:jc w:val="left"/>
              <w:rPr>
                <w:rFonts w:ascii="Arial" w:hAnsi="Arial" w:cs="Arial"/>
                <w:sz w:val="20"/>
              </w:rPr>
            </w:pPr>
            <w:r>
              <w:rPr>
                <w:rFonts w:ascii="Arial" w:hAnsi="Arial" w:cs="Arial"/>
                <w:sz w:val="20"/>
              </w:rPr>
              <w:t>Select the reagent(s) to be removed and then select ‘Remove Selected Reagents’</w:t>
            </w:r>
          </w:p>
        </w:tc>
      </w:tr>
      <w:tr w:rsidR="000D067F" w:rsidTr="00944818">
        <w:trPr>
          <w:cantSplit/>
          <w:trHeight w:val="480"/>
        </w:trPr>
        <w:tc>
          <w:tcPr>
            <w:tcW w:w="1620" w:type="dxa"/>
            <w:tcBorders>
              <w:top w:val="nil"/>
              <w:left w:val="nil"/>
              <w:bottom w:val="nil"/>
              <w:right w:val="single" w:sz="6" w:space="0" w:color="auto"/>
            </w:tcBorders>
            <w:vAlign w:val="center"/>
          </w:tcPr>
          <w:p w:rsidR="000D067F" w:rsidRDefault="000D067F">
            <w:pPr>
              <w:rPr>
                <w:rFonts w:ascii="Arial" w:hAnsi="Arial" w:cs="Arial"/>
                <w:bCs/>
                <w:color w:val="3366FF"/>
                <w:sz w:val="20"/>
              </w:rPr>
            </w:pPr>
            <w:bookmarkStart w:id="0" w:name="_GoBack"/>
          </w:p>
        </w:tc>
        <w:tc>
          <w:tcPr>
            <w:tcW w:w="772" w:type="dxa"/>
            <w:tcBorders>
              <w:top w:val="single" w:sz="6" w:space="0" w:color="auto"/>
              <w:left w:val="single" w:sz="6" w:space="0" w:color="auto"/>
              <w:bottom w:val="single" w:sz="6" w:space="0" w:color="auto"/>
              <w:right w:val="single" w:sz="6" w:space="0" w:color="auto"/>
            </w:tcBorders>
          </w:tcPr>
          <w:p w:rsidR="000D067F" w:rsidRDefault="000D067F">
            <w:pPr>
              <w:jc w:val="center"/>
              <w:rPr>
                <w:rFonts w:ascii="Arial" w:hAnsi="Arial" w:cs="Arial"/>
                <w:sz w:val="20"/>
              </w:rPr>
            </w:pPr>
            <w:r>
              <w:rPr>
                <w:rFonts w:ascii="Arial" w:hAnsi="Arial" w:cs="Arial"/>
                <w:sz w:val="20"/>
              </w:rPr>
              <w:t>6</w:t>
            </w:r>
          </w:p>
        </w:tc>
        <w:tc>
          <w:tcPr>
            <w:tcW w:w="8660" w:type="dxa"/>
            <w:gridSpan w:val="4"/>
            <w:tcBorders>
              <w:left w:val="single" w:sz="6" w:space="0" w:color="auto"/>
              <w:bottom w:val="single" w:sz="4" w:space="0" w:color="auto"/>
            </w:tcBorders>
          </w:tcPr>
          <w:p w:rsidR="000D067F" w:rsidRDefault="000D067F">
            <w:pPr>
              <w:jc w:val="left"/>
              <w:rPr>
                <w:rFonts w:ascii="Arial" w:hAnsi="Arial" w:cs="Arial"/>
                <w:sz w:val="20"/>
              </w:rPr>
            </w:pPr>
            <w:r>
              <w:rPr>
                <w:rFonts w:ascii="Arial" w:hAnsi="Arial" w:cs="Arial"/>
                <w:sz w:val="20"/>
              </w:rPr>
              <w:t xml:space="preserve">Selected reagents will be removed in the left drawer. The drawer will be highlighted red until the unloaded reagents are removed. </w:t>
            </w:r>
            <w:r w:rsidRPr="000D067F">
              <w:rPr>
                <w:rFonts w:ascii="Arial" w:hAnsi="Arial" w:cs="Arial"/>
                <w:color w:val="FF0000"/>
                <w:sz w:val="20"/>
              </w:rPr>
              <w:t xml:space="preserve">DO NOT load reagents back onto the analyzer after they have been unloaded, this will reset the stability time of the reagent and it will no longer be </w:t>
            </w:r>
            <w:proofErr w:type="gramStart"/>
            <w:r w:rsidRPr="000D067F">
              <w:rPr>
                <w:rFonts w:ascii="Arial" w:hAnsi="Arial" w:cs="Arial"/>
                <w:color w:val="FF0000"/>
                <w:sz w:val="20"/>
              </w:rPr>
              <w:t>accurate.</w:t>
            </w:r>
            <w:proofErr w:type="gramEnd"/>
            <w:r w:rsidRPr="000D067F">
              <w:rPr>
                <w:rFonts w:ascii="Arial" w:hAnsi="Arial" w:cs="Arial"/>
                <w:color w:val="FF0000"/>
                <w:sz w:val="20"/>
              </w:rPr>
              <w:t xml:space="preserve"> </w:t>
            </w:r>
          </w:p>
        </w:tc>
      </w:tr>
      <w:bookmarkEnd w:id="0"/>
      <w:tr w:rsidR="000B2C18" w:rsidTr="00511BDB">
        <w:trPr>
          <w:cantSplit/>
          <w:trHeight w:val="386"/>
        </w:trPr>
        <w:tc>
          <w:tcPr>
            <w:tcW w:w="1620" w:type="dxa"/>
            <w:tcBorders>
              <w:top w:val="nil"/>
              <w:left w:val="nil"/>
              <w:bottom w:val="nil"/>
              <w:right w:val="nil"/>
            </w:tcBorders>
          </w:tcPr>
          <w:p w:rsidR="000B2C18" w:rsidRDefault="000B2C18">
            <w:pPr>
              <w:rPr>
                <w:rFonts w:ascii="Arial" w:hAnsi="Arial" w:cs="Arial"/>
                <w:b/>
                <w:sz w:val="20"/>
              </w:rPr>
            </w:pPr>
          </w:p>
        </w:tc>
        <w:tc>
          <w:tcPr>
            <w:tcW w:w="9432" w:type="dxa"/>
            <w:gridSpan w:val="5"/>
            <w:tcBorders>
              <w:top w:val="nil"/>
              <w:left w:val="nil"/>
              <w:bottom w:val="single" w:sz="12" w:space="0" w:color="C0C0C0"/>
              <w:right w:val="nil"/>
            </w:tcBorders>
          </w:tcPr>
          <w:p w:rsidR="000B2C18" w:rsidRDefault="000B2C18">
            <w:pPr>
              <w:jc w:val="left"/>
              <w:rPr>
                <w:rFonts w:ascii="Arial" w:hAnsi="Arial" w:cs="Arial"/>
                <w:iCs/>
                <w:sz w:val="20"/>
              </w:rPr>
            </w:pPr>
          </w:p>
        </w:tc>
      </w:tr>
      <w:tr w:rsidR="000B2C18" w:rsidTr="00511BDB">
        <w:tc>
          <w:tcPr>
            <w:tcW w:w="1620" w:type="dxa"/>
            <w:tcBorders>
              <w:top w:val="nil"/>
              <w:left w:val="nil"/>
              <w:bottom w:val="nil"/>
              <w:right w:val="nil"/>
            </w:tcBorders>
            <w:vAlign w:val="center"/>
          </w:tcPr>
          <w:p w:rsidR="000B2C18" w:rsidRDefault="000B2C18">
            <w:pPr>
              <w:rPr>
                <w:rFonts w:ascii="Arial" w:hAnsi="Arial" w:cs="Arial"/>
                <w:b/>
                <w:bCs/>
                <w:color w:val="3366FF"/>
                <w:sz w:val="20"/>
              </w:rPr>
            </w:pPr>
          </w:p>
          <w:p w:rsidR="000B2C18" w:rsidRDefault="000B2C18">
            <w:pPr>
              <w:rPr>
                <w:rFonts w:ascii="Arial" w:hAnsi="Arial" w:cs="Arial"/>
                <w:b/>
                <w:bCs/>
                <w:color w:val="3366FF"/>
                <w:sz w:val="20"/>
              </w:rPr>
            </w:pPr>
            <w:r>
              <w:rPr>
                <w:rFonts w:ascii="Arial" w:hAnsi="Arial" w:cs="Arial"/>
                <w:b/>
                <w:bCs/>
                <w:color w:val="3366FF"/>
                <w:sz w:val="20"/>
              </w:rPr>
              <w:t>Limitations</w:t>
            </w:r>
          </w:p>
          <w:p w:rsidR="000B2C18" w:rsidRDefault="000B2C18">
            <w:pPr>
              <w:rPr>
                <w:rFonts w:ascii="Arial" w:hAnsi="Arial" w:cs="Arial"/>
                <w:b/>
                <w:bCs/>
                <w:color w:val="3366FF"/>
                <w:sz w:val="20"/>
              </w:rPr>
            </w:pPr>
          </w:p>
        </w:tc>
        <w:tc>
          <w:tcPr>
            <w:tcW w:w="9432" w:type="dxa"/>
            <w:gridSpan w:val="5"/>
            <w:tcBorders>
              <w:top w:val="single" w:sz="12" w:space="0" w:color="C0C0C0"/>
              <w:left w:val="nil"/>
              <w:bottom w:val="single" w:sz="12" w:space="0" w:color="C0C0C0"/>
              <w:right w:val="nil"/>
            </w:tcBorders>
          </w:tcPr>
          <w:p w:rsidR="000B2C18" w:rsidRDefault="000B2C18">
            <w:pPr>
              <w:pStyle w:val="Heading"/>
              <w:jc w:val="left"/>
              <w:rPr>
                <w:rFonts w:ascii="Arial" w:hAnsi="Arial"/>
                <w:b w:val="0"/>
                <w:bCs w:val="0"/>
                <w:iCs/>
                <w:sz w:val="20"/>
              </w:rPr>
            </w:pPr>
          </w:p>
          <w:p w:rsidR="00015D4B" w:rsidRPr="00015D4B" w:rsidRDefault="00015D4B" w:rsidP="00015D4B">
            <w:pPr>
              <w:numPr>
                <w:ilvl w:val="0"/>
                <w:numId w:val="11"/>
              </w:numPr>
              <w:rPr>
                <w:rFonts w:ascii="Arial" w:hAnsi="Arial" w:cs="Arial"/>
                <w:sz w:val="20"/>
              </w:rPr>
            </w:pPr>
            <w:r w:rsidRPr="00015D4B">
              <w:rPr>
                <w:rFonts w:ascii="Arial" w:hAnsi="Arial" w:cs="Arial"/>
                <w:sz w:val="20"/>
              </w:rPr>
              <w:t xml:space="preserve">If on board tracking is activated, diluent racks and reagents reloaded on the instrument will display inaccurate on board shelf life.  An alternate method of tracking on board shelf life should be implemented. </w:t>
            </w:r>
          </w:p>
          <w:p w:rsidR="00015D4B" w:rsidRPr="00015D4B" w:rsidRDefault="00015D4B" w:rsidP="00015D4B">
            <w:pPr>
              <w:numPr>
                <w:ilvl w:val="0"/>
                <w:numId w:val="11"/>
              </w:numPr>
              <w:rPr>
                <w:rFonts w:ascii="Arial" w:hAnsi="Arial" w:cs="Arial"/>
                <w:sz w:val="20"/>
              </w:rPr>
            </w:pPr>
            <w:r w:rsidRPr="00015D4B">
              <w:rPr>
                <w:rFonts w:ascii="Arial" w:hAnsi="Arial" w:cs="Arial"/>
                <w:sz w:val="20"/>
              </w:rPr>
              <w:t>Diluent racks that have any used wells will be sent directly to the solid waste bin if selected to be removed.</w:t>
            </w:r>
          </w:p>
          <w:p w:rsidR="000B2C18" w:rsidRDefault="000B2C18" w:rsidP="00015D4B">
            <w:pPr>
              <w:rPr>
                <w:rFonts w:ascii="Arial" w:hAnsi="Arial" w:cs="Arial"/>
                <w:sz w:val="20"/>
              </w:rPr>
            </w:pPr>
          </w:p>
        </w:tc>
      </w:tr>
      <w:tr w:rsidR="000B2C18" w:rsidTr="00511BDB">
        <w:tblPrEx>
          <w:tblBorders>
            <w:top w:val="none" w:sz="0" w:space="0" w:color="auto"/>
            <w:left w:val="none" w:sz="0" w:space="0" w:color="auto"/>
            <w:right w:val="none" w:sz="0" w:space="0" w:color="auto"/>
            <w:insideH w:val="none" w:sz="0" w:space="0" w:color="auto"/>
            <w:insideV w:val="none" w:sz="0" w:space="0" w:color="auto"/>
          </w:tblBorders>
        </w:tblPrEx>
        <w:tc>
          <w:tcPr>
            <w:tcW w:w="1620" w:type="dxa"/>
            <w:tcBorders>
              <w:left w:val="nil"/>
              <w:bottom w:val="nil"/>
            </w:tcBorders>
          </w:tcPr>
          <w:p w:rsidR="000B2C18" w:rsidRDefault="000B2C18">
            <w:pPr>
              <w:jc w:val="left"/>
              <w:rPr>
                <w:rFonts w:ascii="Arial" w:hAnsi="Arial" w:cs="Arial"/>
                <w:b/>
                <w:bCs/>
                <w:color w:val="3366FF"/>
                <w:sz w:val="20"/>
              </w:rPr>
            </w:pPr>
          </w:p>
          <w:p w:rsidR="000B2C18" w:rsidRDefault="000B2C18">
            <w:pPr>
              <w:jc w:val="left"/>
              <w:rPr>
                <w:rFonts w:ascii="Arial" w:hAnsi="Arial" w:cs="Arial"/>
                <w:b/>
                <w:bCs/>
                <w:color w:val="3366FF"/>
                <w:sz w:val="20"/>
              </w:rPr>
            </w:pPr>
            <w:r>
              <w:rPr>
                <w:rFonts w:ascii="Arial" w:hAnsi="Arial" w:cs="Arial"/>
                <w:b/>
                <w:bCs/>
                <w:color w:val="3366FF"/>
                <w:sz w:val="20"/>
              </w:rPr>
              <w:t>References</w:t>
            </w:r>
          </w:p>
        </w:tc>
        <w:tc>
          <w:tcPr>
            <w:tcW w:w="9432" w:type="dxa"/>
            <w:gridSpan w:val="5"/>
            <w:tcBorders>
              <w:top w:val="single" w:sz="12" w:space="0" w:color="C0C0C0"/>
              <w:bottom w:val="single" w:sz="12" w:space="0" w:color="C0C0C0"/>
              <w:right w:val="nil"/>
            </w:tcBorders>
          </w:tcPr>
          <w:p w:rsidR="000B2C18" w:rsidRDefault="000B2C18">
            <w:pPr>
              <w:jc w:val="left"/>
              <w:rPr>
                <w:rFonts w:ascii="Arial" w:hAnsi="Arial" w:cs="Arial"/>
                <w:iCs/>
                <w:sz w:val="20"/>
              </w:rPr>
            </w:pPr>
          </w:p>
          <w:p w:rsidR="000B2C18" w:rsidRDefault="00015D4B" w:rsidP="00015D4B">
            <w:pPr>
              <w:numPr>
                <w:ilvl w:val="0"/>
                <w:numId w:val="3"/>
              </w:numPr>
              <w:jc w:val="left"/>
              <w:rPr>
                <w:rFonts w:ascii="Arial" w:hAnsi="Arial" w:cs="Arial"/>
                <w:iCs/>
                <w:sz w:val="20"/>
              </w:rPr>
            </w:pPr>
            <w:r w:rsidRPr="00015D4B">
              <w:rPr>
                <w:rFonts w:ascii="Arial" w:hAnsi="Arial" w:cs="Arial"/>
                <w:iCs/>
                <w:sz w:val="20"/>
              </w:rPr>
              <w:t>IH-500 User Manual NA V.1.0 – 07/2017, Chapter 7.2, 7.3.2 and 7.3.3</w:t>
            </w:r>
          </w:p>
          <w:p w:rsidR="000B2C18" w:rsidRDefault="000B2C18" w:rsidP="00015D4B">
            <w:pPr>
              <w:jc w:val="left"/>
              <w:rPr>
                <w:rFonts w:ascii="Arial" w:hAnsi="Arial" w:cs="Arial"/>
                <w:iCs/>
                <w:sz w:val="20"/>
              </w:rPr>
            </w:pPr>
          </w:p>
          <w:p w:rsidR="000B2C18" w:rsidRDefault="000B2C18">
            <w:pPr>
              <w:jc w:val="left"/>
              <w:rPr>
                <w:rFonts w:ascii="Arial" w:hAnsi="Arial" w:cs="Arial"/>
                <w:iCs/>
                <w:sz w:val="20"/>
              </w:rPr>
            </w:pPr>
          </w:p>
        </w:tc>
      </w:tr>
      <w:tr w:rsidR="000B2C18" w:rsidTr="00511BDB">
        <w:tblPrEx>
          <w:tblBorders>
            <w:top w:val="none" w:sz="0" w:space="0" w:color="auto"/>
            <w:left w:val="none" w:sz="0" w:space="0" w:color="auto"/>
            <w:right w:val="none" w:sz="0" w:space="0" w:color="auto"/>
            <w:insideH w:val="none" w:sz="0" w:space="0" w:color="auto"/>
            <w:insideV w:val="none" w:sz="0" w:space="0" w:color="auto"/>
          </w:tblBorders>
        </w:tblPrEx>
        <w:trPr>
          <w:trHeight w:val="525"/>
        </w:trPr>
        <w:tc>
          <w:tcPr>
            <w:tcW w:w="1620" w:type="dxa"/>
            <w:tcBorders>
              <w:top w:val="nil"/>
              <w:left w:val="nil"/>
              <w:bottom w:val="nil"/>
            </w:tcBorders>
          </w:tcPr>
          <w:p w:rsidR="000B2C18" w:rsidRDefault="000B2C18">
            <w:pPr>
              <w:rPr>
                <w:rFonts w:ascii="Arial" w:hAnsi="Arial" w:cs="Arial"/>
                <w:b/>
                <w:bCs/>
                <w:color w:val="3366FF"/>
                <w:sz w:val="20"/>
              </w:rPr>
            </w:pPr>
          </w:p>
          <w:p w:rsidR="000B2C18" w:rsidRDefault="000B2C18">
            <w:pPr>
              <w:rPr>
                <w:rFonts w:ascii="Arial" w:hAnsi="Arial" w:cs="Arial"/>
                <w:b/>
                <w:bCs/>
                <w:color w:val="3366FF"/>
                <w:sz w:val="20"/>
              </w:rPr>
            </w:pPr>
            <w:r>
              <w:rPr>
                <w:rFonts w:ascii="Arial" w:hAnsi="Arial" w:cs="Arial"/>
                <w:b/>
                <w:bCs/>
                <w:color w:val="3366FF"/>
                <w:sz w:val="20"/>
              </w:rPr>
              <w:t>Approval</w:t>
            </w:r>
          </w:p>
          <w:p w:rsidR="000B2C18" w:rsidRDefault="000B2C18">
            <w:pPr>
              <w:rPr>
                <w:rFonts w:ascii="Arial" w:hAnsi="Arial" w:cs="Arial"/>
                <w:b/>
                <w:bCs/>
                <w:color w:val="3366FF"/>
                <w:sz w:val="20"/>
              </w:rPr>
            </w:pPr>
            <w:r>
              <w:rPr>
                <w:rFonts w:ascii="Arial" w:hAnsi="Arial" w:cs="Arial"/>
                <w:b/>
                <w:bCs/>
                <w:color w:val="3366FF"/>
                <w:sz w:val="20"/>
              </w:rPr>
              <w:t>Workflow</w:t>
            </w:r>
          </w:p>
        </w:tc>
        <w:tc>
          <w:tcPr>
            <w:tcW w:w="9432" w:type="dxa"/>
            <w:gridSpan w:val="5"/>
            <w:tcBorders>
              <w:top w:val="single" w:sz="12" w:space="0" w:color="C0C0C0"/>
              <w:bottom w:val="single" w:sz="12" w:space="0" w:color="C0C0C0"/>
              <w:right w:val="nil"/>
            </w:tcBorders>
          </w:tcPr>
          <w:p w:rsidR="000B2C18" w:rsidRDefault="000B2C18">
            <w:pPr>
              <w:jc w:val="left"/>
              <w:rPr>
                <w:rFonts w:ascii="Arial" w:hAnsi="Arial" w:cs="Arial"/>
                <w:iCs/>
                <w:sz w:val="20"/>
              </w:rPr>
            </w:pPr>
          </w:p>
          <w:p w:rsidR="000B2C18" w:rsidRDefault="00015D4B">
            <w:pPr>
              <w:jc w:val="left"/>
              <w:rPr>
                <w:rFonts w:ascii="Arial" w:hAnsi="Arial" w:cs="Arial"/>
                <w:iCs/>
                <w:sz w:val="20"/>
              </w:rPr>
            </w:pPr>
            <w:r>
              <w:rPr>
                <w:rFonts w:ascii="Arial" w:hAnsi="Arial" w:cs="Arial"/>
                <w:iCs/>
                <w:sz w:val="20"/>
              </w:rPr>
              <w:t>Transfusion Service/</w:t>
            </w:r>
            <w:r w:rsidR="00BD6BC1">
              <w:rPr>
                <w:rFonts w:ascii="Arial" w:hAnsi="Arial" w:cs="Arial"/>
                <w:iCs/>
                <w:sz w:val="20"/>
              </w:rPr>
              <w:t>Lab</w:t>
            </w:r>
            <w:r>
              <w:rPr>
                <w:rFonts w:ascii="Arial" w:hAnsi="Arial" w:cs="Arial"/>
                <w:iCs/>
                <w:sz w:val="20"/>
              </w:rPr>
              <w:t xml:space="preserve"> Director</w:t>
            </w:r>
          </w:p>
          <w:p w:rsidR="000B2C18" w:rsidRDefault="000B2C18">
            <w:pPr>
              <w:jc w:val="left"/>
              <w:rPr>
                <w:rFonts w:ascii="Arial" w:hAnsi="Arial" w:cs="Arial"/>
                <w:iCs/>
                <w:sz w:val="20"/>
              </w:rPr>
            </w:pPr>
          </w:p>
          <w:p w:rsidR="000B2C18" w:rsidRDefault="000B2C18">
            <w:pPr>
              <w:jc w:val="left"/>
              <w:rPr>
                <w:rFonts w:ascii="Arial" w:hAnsi="Arial" w:cs="Arial"/>
                <w:iCs/>
                <w:sz w:val="20"/>
              </w:rPr>
            </w:pPr>
          </w:p>
        </w:tc>
      </w:tr>
      <w:tr w:rsidR="000B2C18" w:rsidTr="00511BDB">
        <w:tblPrEx>
          <w:tblBorders>
            <w:top w:val="none" w:sz="0" w:space="0" w:color="auto"/>
            <w:left w:val="none" w:sz="0" w:space="0" w:color="auto"/>
            <w:right w:val="none" w:sz="0" w:space="0" w:color="auto"/>
            <w:insideH w:val="none" w:sz="0" w:space="0" w:color="auto"/>
            <w:insideV w:val="none" w:sz="0" w:space="0" w:color="auto"/>
          </w:tblBorders>
        </w:tblPrEx>
        <w:trPr>
          <w:trHeight w:val="270"/>
        </w:trPr>
        <w:tc>
          <w:tcPr>
            <w:tcW w:w="1620" w:type="dxa"/>
            <w:tcBorders>
              <w:top w:val="nil"/>
              <w:left w:val="nil"/>
              <w:bottom w:val="nil"/>
            </w:tcBorders>
          </w:tcPr>
          <w:p w:rsidR="000B2C18" w:rsidRDefault="000B2C18">
            <w:pPr>
              <w:rPr>
                <w:rFonts w:ascii="Arial" w:hAnsi="Arial" w:cs="Arial"/>
                <w:color w:val="3366FF"/>
                <w:sz w:val="20"/>
              </w:rPr>
            </w:pPr>
          </w:p>
        </w:tc>
        <w:tc>
          <w:tcPr>
            <w:tcW w:w="9432" w:type="dxa"/>
            <w:gridSpan w:val="5"/>
            <w:tcBorders>
              <w:top w:val="single" w:sz="12" w:space="0" w:color="C0C0C0"/>
              <w:bottom w:val="single" w:sz="4" w:space="0" w:color="auto"/>
              <w:right w:val="nil"/>
            </w:tcBorders>
          </w:tcPr>
          <w:p w:rsidR="000B2C18" w:rsidRDefault="000B2C18">
            <w:pPr>
              <w:pStyle w:val="TableText"/>
              <w:autoSpaceDE/>
              <w:autoSpaceDN/>
              <w:rPr>
                <w:rFonts w:ascii="Arial" w:hAnsi="Arial" w:cs="Arial"/>
                <w:iCs/>
              </w:rPr>
            </w:pPr>
          </w:p>
        </w:tc>
      </w:tr>
      <w:tr w:rsidR="000B2C18" w:rsidTr="00511BDB">
        <w:tblPrEx>
          <w:tblBorders>
            <w:top w:val="none" w:sz="0" w:space="0" w:color="auto"/>
            <w:left w:val="none" w:sz="0" w:space="0" w:color="auto"/>
            <w:right w:val="none" w:sz="0" w:space="0" w:color="auto"/>
            <w:insideH w:val="none" w:sz="0" w:space="0" w:color="auto"/>
            <w:insideV w:val="none" w:sz="0" w:space="0" w:color="auto"/>
          </w:tblBorders>
        </w:tblPrEx>
        <w:trPr>
          <w:cantSplit/>
          <w:trHeight w:val="225"/>
        </w:trPr>
        <w:tc>
          <w:tcPr>
            <w:tcW w:w="1620" w:type="dxa"/>
            <w:vMerge w:val="restart"/>
            <w:tcBorders>
              <w:left w:val="nil"/>
              <w:bottom w:val="nil"/>
              <w:right w:val="single" w:sz="2" w:space="0" w:color="auto"/>
            </w:tcBorders>
          </w:tcPr>
          <w:p w:rsidR="000B2C18" w:rsidRDefault="000B2C18">
            <w:pPr>
              <w:jc w:val="left"/>
              <w:rPr>
                <w:rFonts w:ascii="Arial" w:hAnsi="Arial" w:cs="Arial"/>
                <w:b/>
                <w:bCs/>
                <w:color w:val="3366FF"/>
                <w:sz w:val="20"/>
              </w:rPr>
            </w:pPr>
            <w:r>
              <w:rPr>
                <w:rFonts w:ascii="Arial" w:hAnsi="Arial" w:cs="Arial"/>
                <w:b/>
                <w:bCs/>
                <w:color w:val="3366FF"/>
                <w:sz w:val="20"/>
              </w:rPr>
              <w:t>Historical Record</w:t>
            </w:r>
          </w:p>
        </w:tc>
        <w:tc>
          <w:tcPr>
            <w:tcW w:w="1080" w:type="dxa"/>
            <w:gridSpan w:val="2"/>
            <w:tcBorders>
              <w:top w:val="single" w:sz="4" w:space="0" w:color="auto"/>
              <w:left w:val="single" w:sz="2" w:space="0" w:color="auto"/>
              <w:bottom w:val="single" w:sz="4" w:space="0" w:color="auto"/>
              <w:right w:val="single" w:sz="4" w:space="0" w:color="auto"/>
            </w:tcBorders>
          </w:tcPr>
          <w:p w:rsidR="000B2C18" w:rsidRDefault="000B2C18">
            <w:pPr>
              <w:jc w:val="left"/>
              <w:rPr>
                <w:rFonts w:ascii="Arial" w:hAnsi="Arial" w:cs="Arial"/>
                <w:b/>
                <w:bCs/>
                <w:sz w:val="20"/>
              </w:rPr>
            </w:pPr>
            <w:r>
              <w:rPr>
                <w:rFonts w:ascii="Arial" w:hAnsi="Arial" w:cs="Arial"/>
                <w:b/>
                <w:bCs/>
                <w:sz w:val="20"/>
              </w:rPr>
              <w:t>Version</w:t>
            </w:r>
          </w:p>
        </w:tc>
        <w:tc>
          <w:tcPr>
            <w:tcW w:w="2700" w:type="dxa"/>
            <w:tcBorders>
              <w:top w:val="single" w:sz="4" w:space="0" w:color="auto"/>
              <w:left w:val="single" w:sz="4" w:space="0" w:color="auto"/>
              <w:bottom w:val="single" w:sz="4" w:space="0" w:color="auto"/>
              <w:right w:val="single" w:sz="4" w:space="0" w:color="auto"/>
            </w:tcBorders>
          </w:tcPr>
          <w:p w:rsidR="000B2C18" w:rsidRDefault="000B2C18">
            <w:pPr>
              <w:jc w:val="left"/>
              <w:rPr>
                <w:rFonts w:ascii="Arial" w:hAnsi="Arial" w:cs="Arial"/>
                <w:b/>
                <w:bCs/>
                <w:iCs/>
                <w:sz w:val="20"/>
              </w:rPr>
            </w:pPr>
            <w:r>
              <w:rPr>
                <w:rFonts w:ascii="Arial" w:hAnsi="Arial" w:cs="Arial"/>
                <w:b/>
                <w:bCs/>
                <w:iCs/>
                <w:sz w:val="20"/>
              </w:rPr>
              <w:t>Written/Revised by:</w:t>
            </w:r>
          </w:p>
        </w:tc>
        <w:tc>
          <w:tcPr>
            <w:tcW w:w="1620" w:type="dxa"/>
            <w:tcBorders>
              <w:top w:val="single" w:sz="4" w:space="0" w:color="auto"/>
              <w:left w:val="single" w:sz="4" w:space="0" w:color="auto"/>
              <w:bottom w:val="single" w:sz="4" w:space="0" w:color="auto"/>
              <w:right w:val="single" w:sz="4" w:space="0" w:color="auto"/>
            </w:tcBorders>
          </w:tcPr>
          <w:p w:rsidR="000B2C18" w:rsidRDefault="000B2C18">
            <w:pPr>
              <w:jc w:val="left"/>
              <w:rPr>
                <w:rFonts w:ascii="Arial" w:hAnsi="Arial" w:cs="Arial"/>
                <w:b/>
                <w:bCs/>
                <w:iCs/>
                <w:sz w:val="20"/>
              </w:rPr>
            </w:pPr>
            <w:r>
              <w:rPr>
                <w:rFonts w:ascii="Arial" w:hAnsi="Arial" w:cs="Arial"/>
                <w:b/>
                <w:bCs/>
                <w:iCs/>
                <w:sz w:val="20"/>
              </w:rPr>
              <w:t>Effective Date:</w:t>
            </w:r>
          </w:p>
        </w:tc>
        <w:tc>
          <w:tcPr>
            <w:tcW w:w="4032" w:type="dxa"/>
            <w:tcBorders>
              <w:top w:val="single" w:sz="4" w:space="0" w:color="auto"/>
              <w:left w:val="single" w:sz="4" w:space="0" w:color="auto"/>
              <w:bottom w:val="single" w:sz="4" w:space="0" w:color="auto"/>
              <w:right w:val="single" w:sz="4" w:space="0" w:color="auto"/>
            </w:tcBorders>
          </w:tcPr>
          <w:p w:rsidR="000B2C18" w:rsidRDefault="000B2C18">
            <w:pPr>
              <w:jc w:val="left"/>
              <w:rPr>
                <w:rFonts w:ascii="Arial" w:hAnsi="Arial" w:cs="Arial"/>
                <w:b/>
                <w:bCs/>
                <w:iCs/>
                <w:sz w:val="20"/>
              </w:rPr>
            </w:pPr>
            <w:r>
              <w:rPr>
                <w:rFonts w:ascii="Arial" w:hAnsi="Arial" w:cs="Arial"/>
                <w:b/>
                <w:bCs/>
                <w:iCs/>
                <w:sz w:val="20"/>
              </w:rPr>
              <w:t>Summary of Revisions</w:t>
            </w:r>
          </w:p>
        </w:tc>
      </w:tr>
      <w:tr w:rsidR="000B2C18" w:rsidTr="00511BDB">
        <w:tblPrEx>
          <w:tblBorders>
            <w:top w:val="none" w:sz="0" w:space="0" w:color="auto"/>
            <w:left w:val="none" w:sz="0" w:space="0" w:color="auto"/>
            <w:right w:val="none" w:sz="0" w:space="0" w:color="auto"/>
            <w:insideH w:val="none" w:sz="0" w:space="0" w:color="auto"/>
            <w:insideV w:val="none" w:sz="0" w:space="0" w:color="auto"/>
          </w:tblBorders>
        </w:tblPrEx>
        <w:trPr>
          <w:cantSplit/>
          <w:trHeight w:val="135"/>
        </w:trPr>
        <w:tc>
          <w:tcPr>
            <w:tcW w:w="1620" w:type="dxa"/>
            <w:vMerge/>
            <w:tcBorders>
              <w:top w:val="single" w:sz="12" w:space="0" w:color="C0C0C0"/>
              <w:left w:val="nil"/>
              <w:bottom w:val="nil"/>
              <w:right w:val="single" w:sz="2" w:space="0" w:color="auto"/>
            </w:tcBorders>
          </w:tcPr>
          <w:p w:rsidR="000B2C18" w:rsidRDefault="000B2C18">
            <w:pPr>
              <w:rPr>
                <w:rFonts w:ascii="Arial" w:hAnsi="Arial" w:cs="Arial"/>
                <w:b/>
                <w:bCs/>
                <w:color w:val="3366FF"/>
              </w:rPr>
            </w:pPr>
          </w:p>
        </w:tc>
        <w:tc>
          <w:tcPr>
            <w:tcW w:w="1080" w:type="dxa"/>
            <w:gridSpan w:val="2"/>
            <w:tcBorders>
              <w:top w:val="single" w:sz="4" w:space="0" w:color="auto"/>
              <w:left w:val="single" w:sz="2" w:space="0" w:color="auto"/>
              <w:bottom w:val="single" w:sz="4" w:space="0" w:color="auto"/>
              <w:right w:val="single" w:sz="4" w:space="0" w:color="auto"/>
            </w:tcBorders>
          </w:tcPr>
          <w:p w:rsidR="000B2C18" w:rsidRDefault="000B2C18">
            <w:pPr>
              <w:jc w:val="center"/>
              <w:rPr>
                <w:rFonts w:ascii="Arial" w:hAnsi="Arial" w:cs="Arial"/>
                <w:sz w:val="20"/>
              </w:rPr>
            </w:pPr>
            <w:r>
              <w:rPr>
                <w:rFonts w:ascii="Arial" w:hAnsi="Arial" w:cs="Arial"/>
                <w:sz w:val="20"/>
              </w:rPr>
              <w:t>1</w:t>
            </w:r>
          </w:p>
        </w:tc>
        <w:tc>
          <w:tcPr>
            <w:tcW w:w="2700" w:type="dxa"/>
            <w:tcBorders>
              <w:top w:val="single" w:sz="4" w:space="0" w:color="auto"/>
              <w:left w:val="single" w:sz="4" w:space="0" w:color="auto"/>
              <w:bottom w:val="single" w:sz="4" w:space="0" w:color="auto"/>
              <w:right w:val="single" w:sz="4" w:space="0" w:color="auto"/>
            </w:tcBorders>
          </w:tcPr>
          <w:p w:rsidR="000B2C18" w:rsidRDefault="00015D4B">
            <w:pPr>
              <w:jc w:val="left"/>
              <w:rPr>
                <w:rFonts w:ascii="Arial" w:hAnsi="Arial" w:cs="Arial"/>
                <w:iCs/>
                <w:sz w:val="20"/>
              </w:rPr>
            </w:pPr>
            <w:r>
              <w:rPr>
                <w:rFonts w:ascii="Arial" w:hAnsi="Arial" w:cs="Arial"/>
                <w:iCs/>
                <w:sz w:val="20"/>
              </w:rPr>
              <w:t xml:space="preserve">J. Hudgens </w:t>
            </w:r>
          </w:p>
        </w:tc>
        <w:tc>
          <w:tcPr>
            <w:tcW w:w="1620" w:type="dxa"/>
            <w:tcBorders>
              <w:top w:val="single" w:sz="4" w:space="0" w:color="auto"/>
              <w:left w:val="single" w:sz="4" w:space="0" w:color="auto"/>
              <w:bottom w:val="single" w:sz="4" w:space="0" w:color="auto"/>
              <w:right w:val="single" w:sz="4" w:space="0" w:color="auto"/>
            </w:tcBorders>
          </w:tcPr>
          <w:p w:rsidR="000B2C18" w:rsidRDefault="00F801E3">
            <w:pPr>
              <w:jc w:val="left"/>
              <w:rPr>
                <w:rFonts w:ascii="Arial" w:hAnsi="Arial" w:cs="Arial"/>
                <w:iCs/>
                <w:sz w:val="20"/>
              </w:rPr>
            </w:pPr>
            <w:r>
              <w:rPr>
                <w:rFonts w:ascii="Arial" w:hAnsi="Arial" w:cs="Arial"/>
                <w:iCs/>
                <w:sz w:val="20"/>
              </w:rPr>
              <w:t>02/17/2023</w:t>
            </w:r>
          </w:p>
        </w:tc>
        <w:tc>
          <w:tcPr>
            <w:tcW w:w="4032" w:type="dxa"/>
            <w:tcBorders>
              <w:top w:val="single" w:sz="4" w:space="0" w:color="auto"/>
              <w:left w:val="single" w:sz="4" w:space="0" w:color="auto"/>
              <w:bottom w:val="single" w:sz="4" w:space="0" w:color="auto"/>
              <w:right w:val="single" w:sz="4" w:space="0" w:color="auto"/>
            </w:tcBorders>
          </w:tcPr>
          <w:p w:rsidR="000B2C18" w:rsidRDefault="000B2C18">
            <w:pPr>
              <w:jc w:val="left"/>
              <w:rPr>
                <w:rFonts w:ascii="Arial" w:hAnsi="Arial" w:cs="Arial"/>
                <w:sz w:val="20"/>
              </w:rPr>
            </w:pPr>
            <w:r>
              <w:rPr>
                <w:rFonts w:ascii="Arial" w:hAnsi="Arial" w:cs="Arial"/>
                <w:sz w:val="20"/>
              </w:rPr>
              <w:t>Initial Version</w:t>
            </w:r>
          </w:p>
        </w:tc>
      </w:tr>
    </w:tbl>
    <w:p w:rsidR="000B2C18" w:rsidRDefault="000B2C18">
      <w:pPr>
        <w:pStyle w:val="Header"/>
        <w:tabs>
          <w:tab w:val="clear" w:pos="4320"/>
          <w:tab w:val="clear" w:pos="8640"/>
        </w:tabs>
        <w:rPr>
          <w:rFonts w:ascii="Arial" w:hAnsi="Arial" w:cs="Arial"/>
        </w:rPr>
      </w:pPr>
    </w:p>
    <w:sectPr w:rsidR="000B2C18">
      <w:headerReference w:type="even" r:id="rId11"/>
      <w:headerReference w:type="default" r:id="rId12"/>
      <w:footerReference w:type="default" r:id="rId13"/>
      <w:headerReference w:type="first" r:id="rId14"/>
      <w:pgSz w:w="12240" w:h="15840" w:code="1"/>
      <w:pgMar w:top="720" w:right="1800" w:bottom="720" w:left="1800" w:header="432" w:footer="432"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B2C18" w:rsidRDefault="000B2C18">
      <w:r>
        <w:separator/>
      </w:r>
    </w:p>
  </w:endnote>
  <w:endnote w:type="continuationSeparator" w:id="0">
    <w:p w:rsidR="000B2C18" w:rsidRDefault="000B2C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2C18" w:rsidRDefault="000B2C18">
    <w:pPr>
      <w:pStyle w:val="Footer"/>
      <w:pBdr>
        <w:top w:val="single" w:sz="12" w:space="1" w:color="C0C0C0"/>
      </w:pBdr>
      <w:tabs>
        <w:tab w:val="clear" w:pos="8640"/>
        <w:tab w:val="right" w:pos="9720"/>
      </w:tabs>
      <w:ind w:left="-720" w:right="-1080"/>
      <w:rPr>
        <w:rFonts w:ascii="Arial" w:hAnsi="Arial" w:cs="Arial"/>
        <w:sz w:val="16"/>
      </w:rPr>
    </w:pPr>
    <w:r>
      <w:rPr>
        <w:rFonts w:ascii="Arial" w:hAnsi="Arial" w:cs="Arial"/>
        <w:sz w:val="16"/>
      </w:rPr>
      <w:t>Laboratory, Children’s Hospitals and Clinics of Minnesota, Minneapolis/ST. Paul MN.</w:t>
    </w:r>
    <w:r>
      <w:rPr>
        <w:rFonts w:ascii="Arial" w:hAnsi="Arial" w:cs="Arial"/>
        <w:sz w:val="18"/>
      </w:rPr>
      <w:tab/>
      <w:t xml:space="preserve">     </w:t>
    </w:r>
    <w:r>
      <w:rPr>
        <w:rFonts w:ascii="Arial" w:hAnsi="Arial" w:cs="Arial"/>
        <w:sz w:val="16"/>
      </w:rPr>
      <w:t xml:space="preserve">Page </w:t>
    </w:r>
    <w:r>
      <w:rPr>
        <w:rFonts w:ascii="Arial" w:hAnsi="Arial" w:cs="Arial"/>
        <w:sz w:val="16"/>
      </w:rPr>
      <w:fldChar w:fldCharType="begin"/>
    </w:r>
    <w:r>
      <w:rPr>
        <w:rFonts w:ascii="Arial" w:hAnsi="Arial" w:cs="Arial"/>
        <w:sz w:val="16"/>
      </w:rPr>
      <w:instrText xml:space="preserve"> PAGE </w:instrText>
    </w:r>
    <w:r>
      <w:rPr>
        <w:rFonts w:ascii="Arial" w:hAnsi="Arial" w:cs="Arial"/>
        <w:sz w:val="16"/>
      </w:rPr>
      <w:fldChar w:fldCharType="separate"/>
    </w:r>
    <w:r w:rsidR="00F801E3">
      <w:rPr>
        <w:rFonts w:ascii="Arial" w:hAnsi="Arial" w:cs="Arial"/>
        <w:noProof/>
        <w:sz w:val="16"/>
      </w:rPr>
      <w:t>2</w:t>
    </w:r>
    <w:r>
      <w:rPr>
        <w:rFonts w:ascii="Arial" w:hAnsi="Arial" w:cs="Arial"/>
        <w:sz w:val="16"/>
      </w:rPr>
      <w:fldChar w:fldCharType="end"/>
    </w:r>
    <w:r>
      <w:rPr>
        <w:rFonts w:ascii="Arial" w:hAnsi="Arial" w:cs="Arial"/>
        <w:sz w:val="16"/>
      </w:rPr>
      <w:t xml:space="preserve"> of </w:t>
    </w:r>
    <w:r>
      <w:rPr>
        <w:rFonts w:ascii="Arial" w:hAnsi="Arial" w:cs="Arial"/>
        <w:sz w:val="16"/>
      </w:rPr>
      <w:fldChar w:fldCharType="begin"/>
    </w:r>
    <w:r>
      <w:rPr>
        <w:rFonts w:ascii="Arial" w:hAnsi="Arial" w:cs="Arial"/>
        <w:sz w:val="16"/>
      </w:rPr>
      <w:instrText xml:space="preserve"> NUMPAGES </w:instrText>
    </w:r>
    <w:r>
      <w:rPr>
        <w:rFonts w:ascii="Arial" w:hAnsi="Arial" w:cs="Arial"/>
        <w:sz w:val="16"/>
      </w:rPr>
      <w:fldChar w:fldCharType="separate"/>
    </w:r>
    <w:r w:rsidR="00F801E3">
      <w:rPr>
        <w:rFonts w:ascii="Arial" w:hAnsi="Arial" w:cs="Arial"/>
        <w:noProof/>
        <w:sz w:val="16"/>
      </w:rPr>
      <w:t>3</w:t>
    </w:r>
    <w:r>
      <w:rPr>
        <w:rFonts w:ascii="Arial" w:hAnsi="Arial" w:cs="Arial"/>
        <w:sz w:val="16"/>
      </w:rPr>
      <w:fldChar w:fldCharType="end"/>
    </w:r>
  </w:p>
  <w:p w:rsidR="000B2C18" w:rsidRDefault="000B2C18">
    <w:pPr>
      <w:ind w:left="-720" w:right="-1260"/>
      <w:rPr>
        <w:rFonts w:ascii="Arial" w:hAnsi="Arial" w:cs="Arial"/>
        <w:sz w:val="16"/>
      </w:rPr>
    </w:pPr>
    <w:r>
      <w:rPr>
        <w:rFonts w:ascii="Arial" w:hAnsi="Arial" w:cs="Arial"/>
        <w:sz w:val="16"/>
      </w:rPr>
      <w:t>Printed copy expires at 2359 on date of print.</w:t>
    </w:r>
    <w:r>
      <w:rPr>
        <w:rFonts w:ascii="Arial" w:hAnsi="Arial" w:cs="Arial"/>
        <w:sz w:val="16"/>
      </w:rPr>
      <w:tab/>
    </w:r>
    <w:r>
      <w:rPr>
        <w:rFonts w:ascii="Arial" w:hAnsi="Arial" w:cs="Arial"/>
        <w:sz w:val="16"/>
      </w:rPr>
      <w:tab/>
    </w:r>
    <w:r>
      <w:rPr>
        <w:rFonts w:ascii="Arial" w:hAnsi="Arial" w:cs="Arial"/>
        <w:sz w:val="16"/>
      </w:rPr>
      <w:tab/>
    </w:r>
    <w:r>
      <w:rPr>
        <w:rFonts w:ascii="Arial" w:hAnsi="Arial" w:cs="Arial"/>
        <w:sz w:val="16"/>
      </w:rPr>
      <w:tab/>
    </w:r>
    <w:r>
      <w:rPr>
        <w:rFonts w:ascii="Arial" w:hAnsi="Arial" w:cs="Arial"/>
        <w:sz w:val="16"/>
      </w:rPr>
      <w:tab/>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B2C18" w:rsidRDefault="000B2C18">
      <w:r>
        <w:separator/>
      </w:r>
    </w:p>
  </w:footnote>
  <w:footnote w:type="continuationSeparator" w:id="0">
    <w:p w:rsidR="000B2C18" w:rsidRDefault="000B2C1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2C18" w:rsidRDefault="00F801E3">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52" type="#_x0000_t136" style="position:absolute;left:0;text-align:left;margin-left:0;margin-top:0;width:406.05pt;height:203pt;rotation:315;z-index:-251658240;mso-position-horizontal:center;mso-position-horizontal-relative:margin;mso-position-vertical:center;mso-position-vertical-relative:margin" o:allowincell="f" fillcolor="silver" stroked="f">
          <v:fill opacity=".5"/>
          <v:textpath style="font-family:&quot;Times New Roman&quot;;font-size:1pt" string="ASAP"/>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1340" w:type="dxa"/>
      <w:tblInd w:w="-1152" w:type="dxa"/>
      <w:tblLook w:val="0000" w:firstRow="0" w:lastRow="0" w:firstColumn="0" w:lastColumn="0" w:noHBand="0" w:noVBand="0"/>
    </w:tblPr>
    <w:tblGrid>
      <w:gridCol w:w="5760"/>
      <w:gridCol w:w="5580"/>
    </w:tblGrid>
    <w:tr w:rsidR="000B2C18">
      <w:trPr>
        <w:cantSplit/>
        <w:trHeight w:val="245"/>
      </w:trPr>
      <w:tc>
        <w:tcPr>
          <w:tcW w:w="5760" w:type="dxa"/>
        </w:tcPr>
        <w:p w:rsidR="000B2C18" w:rsidRDefault="000B2C18" w:rsidP="00A726C2">
          <w:pPr>
            <w:pStyle w:val="Header"/>
            <w:tabs>
              <w:tab w:val="clear" w:pos="8640"/>
            </w:tabs>
            <w:rPr>
              <w:rFonts w:ascii="Arial" w:hAnsi="Arial" w:cs="Arial"/>
              <w:sz w:val="18"/>
            </w:rPr>
          </w:pPr>
          <w:r>
            <w:rPr>
              <w:rFonts w:ascii="Arial" w:hAnsi="Arial" w:cs="Arial"/>
              <w:sz w:val="18"/>
            </w:rPr>
            <w:t xml:space="preserve">Procedure: </w:t>
          </w:r>
          <w:r w:rsidR="00BD4267">
            <w:rPr>
              <w:rFonts w:ascii="Arial" w:hAnsi="Arial" w:cs="Arial"/>
              <w:sz w:val="18"/>
            </w:rPr>
            <w:t>Managing Reagents IH-500</w:t>
          </w:r>
        </w:p>
      </w:tc>
      <w:tc>
        <w:tcPr>
          <w:tcW w:w="5580" w:type="dxa"/>
          <w:vMerge w:val="restart"/>
        </w:tcPr>
        <w:p w:rsidR="000B2C18" w:rsidRDefault="000B2C18" w:rsidP="00673F2A">
          <w:pPr>
            <w:pStyle w:val="Header"/>
            <w:tabs>
              <w:tab w:val="clear" w:pos="8640"/>
            </w:tabs>
          </w:pPr>
          <w:r>
            <w:t xml:space="preserve">                                                          </w:t>
          </w:r>
          <w:r w:rsidR="00D80944" w:rsidRPr="00673F2A">
            <w:rPr>
              <w:noProof/>
            </w:rPr>
            <w:drawing>
              <wp:inline distT="0" distB="0" distL="0" distR="0">
                <wp:extent cx="1190625" cy="381000"/>
                <wp:effectExtent l="0" t="0" r="9525" b="0"/>
                <wp:docPr id="1" name="Picture 1" descr="SM-Childrens-logo_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M-Childrens-logo_201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90625" cy="381000"/>
                        </a:xfrm>
                        <a:prstGeom prst="rect">
                          <a:avLst/>
                        </a:prstGeom>
                        <a:noFill/>
                        <a:ln>
                          <a:noFill/>
                        </a:ln>
                      </pic:spPr>
                    </pic:pic>
                  </a:graphicData>
                </a:graphic>
              </wp:inline>
            </w:drawing>
          </w:r>
          <w:r>
            <w:t xml:space="preserve">          </w:t>
          </w:r>
        </w:p>
      </w:tc>
    </w:tr>
    <w:tr w:rsidR="000B2C18">
      <w:trPr>
        <w:cantSplit/>
        <w:trHeight w:val="245"/>
      </w:trPr>
      <w:tc>
        <w:tcPr>
          <w:tcW w:w="5760" w:type="dxa"/>
        </w:tcPr>
        <w:p w:rsidR="000B2C18" w:rsidRDefault="000B2C18" w:rsidP="00F801E3">
          <w:pPr>
            <w:pStyle w:val="Header"/>
            <w:tabs>
              <w:tab w:val="clear" w:pos="8640"/>
            </w:tabs>
            <w:rPr>
              <w:rFonts w:ascii="Arial" w:hAnsi="Arial" w:cs="Arial"/>
              <w:sz w:val="18"/>
            </w:rPr>
          </w:pPr>
          <w:r>
            <w:rPr>
              <w:rFonts w:ascii="Arial" w:hAnsi="Arial" w:cs="Arial"/>
              <w:sz w:val="18"/>
            </w:rPr>
            <w:t>Document:</w:t>
          </w:r>
          <w:r w:rsidR="00F801E3">
            <w:rPr>
              <w:rFonts w:ascii="Arial" w:hAnsi="Arial" w:cs="Arial"/>
              <w:sz w:val="18"/>
            </w:rPr>
            <w:t xml:space="preserve"> TS 24.08 </w:t>
          </w:r>
          <w:r>
            <w:rPr>
              <w:rFonts w:ascii="Arial" w:hAnsi="Arial" w:cs="Arial"/>
              <w:sz w:val="18"/>
            </w:rPr>
            <w:t xml:space="preserve">Version </w:t>
          </w:r>
          <w:r w:rsidR="00313CCF">
            <w:rPr>
              <w:rFonts w:ascii="Arial" w:hAnsi="Arial" w:cs="Arial"/>
              <w:sz w:val="18"/>
            </w:rPr>
            <w:t>1</w:t>
          </w:r>
        </w:p>
      </w:tc>
      <w:tc>
        <w:tcPr>
          <w:tcW w:w="5580" w:type="dxa"/>
          <w:vMerge/>
        </w:tcPr>
        <w:p w:rsidR="000B2C18" w:rsidRDefault="000B2C18">
          <w:pPr>
            <w:pStyle w:val="Header"/>
            <w:tabs>
              <w:tab w:val="clear" w:pos="8640"/>
            </w:tabs>
          </w:pPr>
        </w:p>
      </w:tc>
    </w:tr>
    <w:tr w:rsidR="000B2C18">
      <w:trPr>
        <w:cantSplit/>
        <w:trHeight w:val="245"/>
      </w:trPr>
      <w:tc>
        <w:tcPr>
          <w:tcW w:w="5760" w:type="dxa"/>
        </w:tcPr>
        <w:p w:rsidR="000B2C18" w:rsidRDefault="000B2C18" w:rsidP="00F801E3">
          <w:pPr>
            <w:pStyle w:val="Header"/>
            <w:tabs>
              <w:tab w:val="clear" w:pos="8640"/>
            </w:tabs>
            <w:rPr>
              <w:rFonts w:ascii="Arial" w:hAnsi="Arial" w:cs="Arial"/>
              <w:sz w:val="18"/>
            </w:rPr>
          </w:pPr>
          <w:r>
            <w:rPr>
              <w:rFonts w:ascii="Arial" w:hAnsi="Arial" w:cs="Arial"/>
              <w:sz w:val="18"/>
            </w:rPr>
            <w:t>Effective Date</w:t>
          </w:r>
          <w:r w:rsidR="00F801E3">
            <w:rPr>
              <w:rFonts w:ascii="Arial" w:hAnsi="Arial" w:cs="Arial"/>
              <w:sz w:val="18"/>
            </w:rPr>
            <w:t xml:space="preserve"> 02/17/2023</w:t>
          </w:r>
        </w:p>
      </w:tc>
      <w:tc>
        <w:tcPr>
          <w:tcW w:w="5580" w:type="dxa"/>
          <w:vMerge/>
        </w:tcPr>
        <w:p w:rsidR="000B2C18" w:rsidRDefault="000B2C18">
          <w:pPr>
            <w:pStyle w:val="Header"/>
            <w:tabs>
              <w:tab w:val="clear" w:pos="8640"/>
            </w:tabs>
          </w:pPr>
        </w:p>
      </w:tc>
    </w:tr>
  </w:tbl>
  <w:p w:rsidR="000B2C18" w:rsidRDefault="000B2C18">
    <w:pPr>
      <w:pStyle w:val="Header"/>
      <w:rPr>
        <w:rFonts w:ascii="Calibri" w:hAnsi="Calibri"/>
        <w:b/>
        <w:bCs/>
        <w:sz w:val="16"/>
      </w:rPr>
    </w:pPr>
  </w:p>
  <w:p w:rsidR="000B2C18" w:rsidRDefault="000B2C18">
    <w:pPr>
      <w:ind w:right="-1260"/>
      <w:rPr>
        <w:b/>
        <w:sz w:val="26"/>
        <w:szCs w:val="26"/>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2C18" w:rsidRDefault="00F801E3">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2051" type="#_x0000_t136" style="position:absolute;left:0;text-align:left;margin-left:0;margin-top:0;width:406.05pt;height:203pt;rotation:315;z-index:-251659264;mso-position-horizontal:center;mso-position-horizontal-relative:margin;mso-position-vertical:center;mso-position-vertical-relative:margin" o:allowincell="f" fillcolor="silver" stroked="f">
          <v:fill opacity=".5"/>
          <v:textpath style="font-family:&quot;Times New Roman&quot;;font-size:1pt" string="ASAP"/>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0559EC"/>
    <w:multiLevelType w:val="multilevel"/>
    <w:tmpl w:val="4DFE682E"/>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1" w15:restartNumberingAfterBreak="0">
    <w:nsid w:val="04E203A6"/>
    <w:multiLevelType w:val="hybridMultilevel"/>
    <w:tmpl w:val="3684F882"/>
    <w:lvl w:ilvl="0" w:tplc="04090015">
      <w:start w:val="1"/>
      <w:numFmt w:val="upp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10AC5A7F"/>
    <w:multiLevelType w:val="hybridMultilevel"/>
    <w:tmpl w:val="3C74AD4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68C2E8A"/>
    <w:multiLevelType w:val="hybridMultilevel"/>
    <w:tmpl w:val="8FC2AE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2990EA9"/>
    <w:multiLevelType w:val="hybridMultilevel"/>
    <w:tmpl w:val="23D63D4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424A5F0C"/>
    <w:multiLevelType w:val="hybridMultilevel"/>
    <w:tmpl w:val="45FA046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466D01D1"/>
    <w:multiLevelType w:val="hybridMultilevel"/>
    <w:tmpl w:val="B748F0E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5DDE4A2F"/>
    <w:multiLevelType w:val="hybridMultilevel"/>
    <w:tmpl w:val="7FE8866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6CF25D78"/>
    <w:multiLevelType w:val="hybridMultilevel"/>
    <w:tmpl w:val="344803C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734C69C7"/>
    <w:multiLevelType w:val="hybridMultilevel"/>
    <w:tmpl w:val="859AE572"/>
    <w:lvl w:ilvl="0" w:tplc="04090015">
      <w:start w:val="1"/>
      <w:numFmt w:val="upp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745775FB"/>
    <w:multiLevelType w:val="hybridMultilevel"/>
    <w:tmpl w:val="DF32FCF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6"/>
  </w:num>
  <w:num w:numId="3">
    <w:abstractNumId w:val="5"/>
  </w:num>
  <w:num w:numId="4">
    <w:abstractNumId w:val="9"/>
  </w:num>
  <w:num w:numId="5">
    <w:abstractNumId w:val="8"/>
  </w:num>
  <w:num w:numId="6">
    <w:abstractNumId w:val="10"/>
  </w:num>
  <w:num w:numId="7">
    <w:abstractNumId w:val="7"/>
  </w:num>
  <w:num w:numId="8">
    <w:abstractNumId w:val="1"/>
  </w:num>
  <w:num w:numId="9">
    <w:abstractNumId w:val="4"/>
  </w:num>
  <w:num w:numId="10">
    <w:abstractNumId w:val="2"/>
  </w:num>
  <w:num w:numId="11">
    <w:abstractNumId w:val="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efaultTabStop w:val="720"/>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3F2A"/>
    <w:rsid w:val="00015D4B"/>
    <w:rsid w:val="000B2C18"/>
    <w:rsid w:val="000D067F"/>
    <w:rsid w:val="000F432D"/>
    <w:rsid w:val="00313CCF"/>
    <w:rsid w:val="00511BDB"/>
    <w:rsid w:val="00545890"/>
    <w:rsid w:val="00673F2A"/>
    <w:rsid w:val="00736A09"/>
    <w:rsid w:val="007E1525"/>
    <w:rsid w:val="00811CD0"/>
    <w:rsid w:val="00944818"/>
    <w:rsid w:val="00A726C2"/>
    <w:rsid w:val="00BD4267"/>
    <w:rsid w:val="00BD6BC1"/>
    <w:rsid w:val="00D80944"/>
    <w:rsid w:val="00F801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3"/>
    <o:shapelayout v:ext="edit">
      <o:idmap v:ext="edit" data="1"/>
    </o:shapelayout>
  </w:shapeDefaults>
  <w:decimalSymbol w:val="."/>
  <w:listSeparator w:val=","/>
  <w15:chartTrackingRefBased/>
  <w15:docId w15:val="{2753D3BD-B6A2-44A7-AFCB-3E8C31191D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jc w:val="both"/>
    </w:pPr>
    <w:rPr>
      <w:sz w:val="22"/>
      <w:szCs w:val="24"/>
    </w:rPr>
  </w:style>
  <w:style w:type="paragraph" w:styleId="Heading1">
    <w:name w:val="heading 1"/>
    <w:basedOn w:val="Normal"/>
    <w:next w:val="Normal"/>
    <w:qFormat/>
    <w:pPr>
      <w:keepNext/>
      <w:numPr>
        <w:numId w:val="1"/>
      </w:numPr>
      <w:outlineLvl w:val="0"/>
    </w:pPr>
    <w:rPr>
      <w:rFonts w:cs="Arial"/>
      <w:b/>
      <w:bCs/>
      <w:kern w:val="32"/>
      <w:sz w:val="26"/>
      <w:szCs w:val="32"/>
    </w:rPr>
  </w:style>
  <w:style w:type="paragraph" w:styleId="Heading2">
    <w:name w:val="heading 2"/>
    <w:basedOn w:val="Normal"/>
    <w:next w:val="Normal"/>
    <w:qFormat/>
    <w:pPr>
      <w:keepNext/>
      <w:numPr>
        <w:ilvl w:val="1"/>
        <w:numId w:val="1"/>
      </w:numPr>
      <w:outlineLvl w:val="1"/>
    </w:pPr>
    <w:rPr>
      <w:rFonts w:cs="Arial"/>
      <w:b/>
      <w:bCs/>
      <w:iCs/>
      <w:sz w:val="24"/>
      <w:szCs w:val="28"/>
    </w:rPr>
  </w:style>
  <w:style w:type="paragraph" w:styleId="Heading3">
    <w:name w:val="heading 3"/>
    <w:basedOn w:val="Normal"/>
    <w:next w:val="Normal"/>
    <w:qFormat/>
    <w:pPr>
      <w:keepNext/>
      <w:numPr>
        <w:ilvl w:val="2"/>
        <w:numId w:val="1"/>
      </w:numPr>
      <w:outlineLvl w:val="2"/>
    </w:pPr>
    <w:rPr>
      <w:rFonts w:cs="Arial"/>
      <w:b/>
      <w:bCs/>
      <w:szCs w:val="26"/>
    </w:rPr>
  </w:style>
  <w:style w:type="paragraph" w:styleId="Heading4">
    <w:name w:val="heading 4"/>
    <w:aliases w:val="Map Title"/>
    <w:basedOn w:val="Normal"/>
    <w:next w:val="Normal"/>
    <w:qFormat/>
    <w:pPr>
      <w:keepNext/>
      <w:numPr>
        <w:ilvl w:val="3"/>
        <w:numId w:val="1"/>
      </w:numPr>
      <w:outlineLvl w:val="3"/>
    </w:pPr>
    <w:rPr>
      <w:bCs/>
      <w:szCs w:val="28"/>
    </w:rPr>
  </w:style>
  <w:style w:type="paragraph" w:styleId="Heading5">
    <w:name w:val="heading 5"/>
    <w:aliases w:val="Block Label"/>
    <w:basedOn w:val="Normal"/>
    <w:next w:val="Normal"/>
    <w:qFormat/>
    <w:pPr>
      <w:keepNext/>
      <w:numPr>
        <w:ilvl w:val="4"/>
        <w:numId w:val="1"/>
      </w:numPr>
      <w:spacing w:before="20"/>
      <w:outlineLvl w:val="4"/>
    </w:pPr>
  </w:style>
  <w:style w:type="paragraph" w:styleId="Heading6">
    <w:name w:val="heading 6"/>
    <w:basedOn w:val="Normal"/>
    <w:next w:val="Normal"/>
    <w:qFormat/>
    <w:pPr>
      <w:keepNext/>
      <w:numPr>
        <w:ilvl w:val="5"/>
        <w:numId w:val="1"/>
      </w:numPr>
      <w:outlineLvl w:val="5"/>
    </w:pPr>
    <w:rPr>
      <w:b/>
      <w:bCs/>
      <w:sz w:val="18"/>
    </w:rPr>
  </w:style>
  <w:style w:type="paragraph" w:styleId="Heading7">
    <w:name w:val="heading 7"/>
    <w:basedOn w:val="Normal"/>
    <w:next w:val="Normal"/>
    <w:qFormat/>
    <w:pPr>
      <w:keepNext/>
      <w:numPr>
        <w:ilvl w:val="6"/>
        <w:numId w:val="1"/>
      </w:numPr>
      <w:outlineLvl w:val="6"/>
    </w:pPr>
    <w:rPr>
      <w:sz w:val="28"/>
    </w:rPr>
  </w:style>
  <w:style w:type="paragraph" w:styleId="Heading8">
    <w:name w:val="heading 8"/>
    <w:basedOn w:val="Normal"/>
    <w:next w:val="Normal"/>
    <w:qFormat/>
    <w:pPr>
      <w:keepNext/>
      <w:numPr>
        <w:ilvl w:val="7"/>
        <w:numId w:val="1"/>
      </w:numPr>
      <w:jc w:val="center"/>
      <w:outlineLvl w:val="7"/>
    </w:pPr>
    <w:rPr>
      <w:b/>
      <w:bCs/>
    </w:rPr>
  </w:style>
  <w:style w:type="paragraph" w:styleId="Heading9">
    <w:name w:val="heading 9"/>
    <w:basedOn w:val="Normal"/>
    <w:next w:val="Normal"/>
    <w:qFormat/>
    <w:pPr>
      <w:keepNext/>
      <w:numPr>
        <w:ilvl w:val="8"/>
        <w:numId w:val="1"/>
      </w:numPr>
      <w:outlineLvl w:val="8"/>
    </w:pPr>
    <w:rPr>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Pr>
      <w:bCs/>
      <w:iCs/>
      <w:color w:val="000000"/>
    </w:rPr>
  </w:style>
  <w:style w:type="paragraph" w:styleId="Header">
    <w:name w:val="header"/>
    <w:basedOn w:val="Normal"/>
    <w:semiHidden/>
    <w:pPr>
      <w:tabs>
        <w:tab w:val="center" w:pos="4320"/>
        <w:tab w:val="right" w:pos="8640"/>
      </w:tabs>
    </w:pPr>
  </w:style>
  <w:style w:type="paragraph" w:styleId="List">
    <w:name w:val="List"/>
    <w:basedOn w:val="Normal"/>
    <w:semiHidden/>
    <w:pPr>
      <w:ind w:left="360" w:hanging="360"/>
    </w:pPr>
  </w:style>
  <w:style w:type="paragraph" w:styleId="Title">
    <w:name w:val="Title"/>
    <w:basedOn w:val="Normal"/>
    <w:qFormat/>
    <w:pPr>
      <w:spacing w:before="240" w:after="60"/>
      <w:jc w:val="center"/>
    </w:pPr>
    <w:rPr>
      <w:rFonts w:cs="Arial"/>
      <w:b/>
      <w:bCs/>
      <w:kern w:val="28"/>
      <w:sz w:val="28"/>
      <w:szCs w:val="32"/>
    </w:rPr>
  </w:style>
  <w:style w:type="paragraph" w:styleId="BodyText2">
    <w:name w:val="Body Text 2"/>
    <w:basedOn w:val="Normal"/>
    <w:semiHidden/>
    <w:pPr>
      <w:jc w:val="left"/>
    </w:pPr>
    <w:rPr>
      <w:b/>
      <w:bCs/>
      <w:color w:val="0000FF"/>
    </w:rPr>
  </w:style>
  <w:style w:type="paragraph" w:styleId="Footer">
    <w:name w:val="footer"/>
    <w:basedOn w:val="Normal"/>
    <w:semiHidden/>
    <w:pPr>
      <w:tabs>
        <w:tab w:val="center" w:pos="4320"/>
        <w:tab w:val="right" w:pos="8640"/>
      </w:tabs>
    </w:pPr>
  </w:style>
  <w:style w:type="character" w:styleId="FootnoteReference">
    <w:name w:val="footnote reference"/>
    <w:basedOn w:val="DefaultParagraphFont"/>
    <w:semiHidden/>
    <w:rPr>
      <w:rFonts w:ascii="Times New Roman" w:hAnsi="Times New Roman"/>
      <w:sz w:val="18"/>
      <w:vertAlign w:val="superscript"/>
    </w:rPr>
  </w:style>
  <w:style w:type="paragraph" w:customStyle="1" w:styleId="Heading">
    <w:name w:val="Heading"/>
    <w:basedOn w:val="Heading1"/>
    <w:next w:val="Normal"/>
    <w:pPr>
      <w:numPr>
        <w:numId w:val="0"/>
      </w:numPr>
    </w:pPr>
  </w:style>
  <w:style w:type="paragraph" w:customStyle="1" w:styleId="TableText">
    <w:name w:val="Table Text"/>
    <w:basedOn w:val="Normal"/>
    <w:pPr>
      <w:autoSpaceDE w:val="0"/>
      <w:autoSpaceDN w:val="0"/>
      <w:jc w:val="left"/>
    </w:pPr>
    <w:rPr>
      <w:sz w:val="20"/>
    </w:rPr>
  </w:style>
  <w:style w:type="paragraph" w:customStyle="1" w:styleId="TableHeaderText">
    <w:name w:val="Table Header Text"/>
    <w:basedOn w:val="TableText"/>
    <w:pPr>
      <w:jc w:val="center"/>
    </w:pPr>
    <w:rPr>
      <w:b/>
      <w:bCs/>
    </w:rPr>
  </w:style>
  <w:style w:type="paragraph" w:styleId="BodyText3">
    <w:name w:val="Body Text 3"/>
    <w:basedOn w:val="Normal"/>
    <w:semiHidden/>
    <w:rPr>
      <w:b/>
      <w:color w:val="0000FF"/>
    </w:rPr>
  </w:style>
  <w:style w:type="paragraph" w:styleId="BodyTextIndent">
    <w:name w:val="Body Text Indent"/>
    <w:basedOn w:val="Normal"/>
    <w:semiHidden/>
    <w:pPr>
      <w:spacing w:after="120"/>
      <w:ind w:left="360"/>
    </w:pPr>
  </w:style>
  <w:style w:type="paragraph" w:styleId="ListParagraph">
    <w:name w:val="List Paragraph"/>
    <w:basedOn w:val="Normal"/>
    <w:uiPriority w:val="34"/>
    <w:qFormat/>
    <w:rsid w:val="0054589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145</TotalTime>
  <Pages>3</Pages>
  <Words>523</Words>
  <Characters>2670</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[INSERT TITLE OF PROCEDURE HERE]</vt:lpstr>
    </vt:vector>
  </TitlesOfParts>
  <Company>***</Company>
  <LinksUpToDate>false</LinksUpToDate>
  <CharactersWithSpaces>3187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[INSERT TITLE OF PROCEDURE HERE]</dc:title>
  <dc:subject/>
  <dc:creator>CE139279</dc:creator>
  <cp:keywords/>
  <dc:description/>
  <cp:lastModifiedBy>Sandy Cassidy</cp:lastModifiedBy>
  <cp:revision>10</cp:revision>
  <cp:lastPrinted>2011-07-13T19:16:00Z</cp:lastPrinted>
  <dcterms:created xsi:type="dcterms:W3CDTF">2022-12-22T13:29:00Z</dcterms:created>
  <dcterms:modified xsi:type="dcterms:W3CDTF">2023-02-03T17:38:00Z</dcterms:modified>
</cp:coreProperties>
</file>