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72"/>
        <w:gridCol w:w="308"/>
        <w:gridCol w:w="2700"/>
        <w:gridCol w:w="1620"/>
        <w:gridCol w:w="3960"/>
      </w:tblGrid>
      <w:tr w:rsidR="000B2C18">
        <w:trPr>
          <w:cantSplit/>
        </w:trPr>
        <w:tc>
          <w:tcPr>
            <w:tcW w:w="10980" w:type="dxa"/>
            <w:gridSpan w:val="6"/>
            <w:tcBorders>
              <w:top w:val="nil"/>
              <w:left w:val="nil"/>
              <w:bottom w:val="nil"/>
              <w:right w:val="nil"/>
            </w:tcBorders>
          </w:tcPr>
          <w:p w:rsidR="000B2C18" w:rsidRDefault="003F43D3">
            <w:pPr>
              <w:rPr>
                <w:rFonts w:ascii="Arial" w:hAnsi="Arial" w:cs="Arial"/>
                <w:b/>
                <w:bCs/>
                <w:color w:val="3366FF"/>
                <w:sz w:val="36"/>
              </w:rPr>
            </w:pPr>
            <w:r>
              <w:rPr>
                <w:rFonts w:ascii="Arial" w:hAnsi="Arial" w:cs="Arial"/>
                <w:b/>
                <w:bCs/>
                <w:color w:val="3366FF"/>
                <w:sz w:val="36"/>
              </w:rPr>
              <w:t>Sample Loading on the IH-500</w:t>
            </w:r>
          </w:p>
          <w:p w:rsidR="000B2C18" w:rsidRDefault="000B2C18">
            <w:pPr>
              <w:pStyle w:val="BodyText"/>
              <w:rPr>
                <w:rFonts w:ascii="Arial" w:hAnsi="Arial" w:cs="Arial"/>
                <w:sz w:val="24"/>
              </w:rPr>
            </w:pPr>
          </w:p>
        </w:tc>
      </w:tr>
      <w:tr w:rsidR="000B2C18">
        <w:trPr>
          <w:cantSplit/>
          <w:trHeight w:val="780"/>
        </w:trPr>
        <w:tc>
          <w:tcPr>
            <w:tcW w:w="1620" w:type="dxa"/>
            <w:tcBorders>
              <w:top w:val="nil"/>
              <w:left w:val="nil"/>
              <w:bottom w:val="nil"/>
              <w:right w:val="nil"/>
            </w:tcBorders>
          </w:tcPr>
          <w:p w:rsidR="000B2C18" w:rsidRDefault="000B2C18">
            <w:pPr>
              <w:pStyle w:val="Header"/>
              <w:tabs>
                <w:tab w:val="clear" w:pos="4320"/>
                <w:tab w:val="clear" w:pos="8640"/>
              </w:tabs>
              <w:rPr>
                <w:rFonts w:ascii="Arial" w:hAnsi="Arial" w:cs="Arial"/>
                <w:b/>
                <w:sz w:val="20"/>
              </w:rPr>
            </w:pPr>
          </w:p>
          <w:p w:rsidR="000B2C18" w:rsidRDefault="000B2C18">
            <w:pPr>
              <w:rPr>
                <w:rFonts w:ascii="Arial" w:hAnsi="Arial" w:cs="Arial"/>
                <w:b/>
                <w:bCs/>
                <w:color w:val="3366FF"/>
                <w:sz w:val="20"/>
              </w:rPr>
            </w:pPr>
            <w:r>
              <w:rPr>
                <w:rFonts w:ascii="Arial" w:hAnsi="Arial" w:cs="Arial"/>
                <w:b/>
                <w:bCs/>
                <w:color w:val="3366FF"/>
                <w:sz w:val="20"/>
              </w:rPr>
              <w:t>Purpose</w:t>
            </w:r>
          </w:p>
        </w:tc>
        <w:tc>
          <w:tcPr>
            <w:tcW w:w="9360" w:type="dxa"/>
            <w:gridSpan w:val="5"/>
            <w:tcBorders>
              <w:top w:val="single" w:sz="12" w:space="0" w:color="C0C0C0"/>
              <w:left w:val="nil"/>
              <w:bottom w:val="single" w:sz="12" w:space="0" w:color="C0C0C0"/>
              <w:right w:val="nil"/>
            </w:tcBorders>
          </w:tcPr>
          <w:p w:rsidR="000B2C18" w:rsidRDefault="000B2C18">
            <w:pPr>
              <w:pStyle w:val="BodyText"/>
              <w:jc w:val="left"/>
              <w:rPr>
                <w:rFonts w:ascii="Arial" w:hAnsi="Arial" w:cs="Arial"/>
              </w:rPr>
            </w:pPr>
          </w:p>
          <w:p w:rsidR="000B2C18" w:rsidRDefault="000B2C18" w:rsidP="00D00FB4">
            <w:pPr>
              <w:pStyle w:val="TableText"/>
              <w:autoSpaceDE/>
              <w:autoSpaceDN/>
              <w:rPr>
                <w:rFonts w:ascii="Arial" w:hAnsi="Arial" w:cs="Arial"/>
              </w:rPr>
            </w:pPr>
            <w:r>
              <w:rPr>
                <w:rFonts w:ascii="Arial" w:hAnsi="Arial" w:cs="Arial"/>
              </w:rPr>
              <w:t xml:space="preserve">This procedure provides instructions </w:t>
            </w:r>
            <w:r w:rsidR="00D00FB4">
              <w:rPr>
                <w:rFonts w:ascii="Arial" w:hAnsi="Arial" w:cs="Arial"/>
              </w:rPr>
              <w:t>to ensure that all samples to be tested on the IH-500 are loaded properly and identified.</w:t>
            </w:r>
          </w:p>
        </w:tc>
      </w:tr>
      <w:tr w:rsidR="000B2C18">
        <w:trPr>
          <w:cantSplit/>
          <w:trHeight w:val="627"/>
        </w:trPr>
        <w:tc>
          <w:tcPr>
            <w:tcW w:w="1620" w:type="dxa"/>
            <w:tcBorders>
              <w:top w:val="nil"/>
              <w:left w:val="nil"/>
              <w:bottom w:val="nil"/>
              <w:right w:val="nil"/>
            </w:tcBorders>
          </w:tcPr>
          <w:p w:rsidR="000B2C18" w:rsidRDefault="000B2C18">
            <w:pPr>
              <w:rPr>
                <w:rFonts w:ascii="Arial" w:hAnsi="Arial" w:cs="Arial"/>
                <w:b/>
                <w:bCs/>
                <w:color w:val="3366FF"/>
                <w:sz w:val="20"/>
              </w:rPr>
            </w:pPr>
          </w:p>
          <w:p w:rsidR="000B2C18" w:rsidRDefault="000B2C18">
            <w:pPr>
              <w:rPr>
                <w:rFonts w:ascii="Arial" w:hAnsi="Arial" w:cs="Arial"/>
                <w:b/>
                <w:bCs/>
                <w:color w:val="3366FF"/>
                <w:sz w:val="20"/>
              </w:rPr>
            </w:pPr>
            <w:r>
              <w:rPr>
                <w:rFonts w:ascii="Arial" w:hAnsi="Arial" w:cs="Arial"/>
                <w:b/>
                <w:bCs/>
                <w:color w:val="3366FF"/>
                <w:sz w:val="20"/>
              </w:rPr>
              <w:t>Policy Statements</w:t>
            </w:r>
          </w:p>
        </w:tc>
        <w:tc>
          <w:tcPr>
            <w:tcW w:w="9360" w:type="dxa"/>
            <w:gridSpan w:val="5"/>
            <w:tcBorders>
              <w:top w:val="single" w:sz="12" w:space="0" w:color="C0C0C0"/>
              <w:left w:val="nil"/>
              <w:bottom w:val="single" w:sz="12" w:space="0" w:color="C0C0C0"/>
              <w:right w:val="nil"/>
            </w:tcBorders>
          </w:tcPr>
          <w:p w:rsidR="000B2C18" w:rsidRDefault="000B2C18">
            <w:pPr>
              <w:ind w:left="360"/>
              <w:jc w:val="left"/>
              <w:rPr>
                <w:rFonts w:ascii="Arial" w:hAnsi="Arial" w:cs="Arial"/>
                <w:iCs/>
                <w:sz w:val="20"/>
              </w:rPr>
            </w:pPr>
          </w:p>
          <w:p w:rsidR="000B2C18" w:rsidRDefault="00D00FB4" w:rsidP="000B2C18">
            <w:pPr>
              <w:numPr>
                <w:ilvl w:val="0"/>
                <w:numId w:val="2"/>
              </w:numPr>
              <w:tabs>
                <w:tab w:val="left" w:pos="432"/>
              </w:tabs>
              <w:ind w:hanging="648"/>
              <w:jc w:val="left"/>
              <w:rPr>
                <w:rFonts w:ascii="Arial" w:hAnsi="Arial" w:cs="Arial"/>
                <w:iCs/>
                <w:sz w:val="20"/>
              </w:rPr>
            </w:pPr>
            <w:r>
              <w:rPr>
                <w:rFonts w:ascii="Arial" w:hAnsi="Arial" w:cs="Arial"/>
                <w:iCs/>
                <w:sz w:val="20"/>
              </w:rPr>
              <w:t>Use only sample tubes and barcode types that have been set by a service engineer.</w:t>
            </w:r>
          </w:p>
          <w:p w:rsidR="000B2C18" w:rsidRDefault="000B2C18">
            <w:pPr>
              <w:jc w:val="left"/>
              <w:rPr>
                <w:rFonts w:ascii="Arial" w:hAnsi="Arial" w:cs="Arial"/>
                <w:iCs/>
                <w:sz w:val="20"/>
              </w:rPr>
            </w:pPr>
          </w:p>
        </w:tc>
      </w:tr>
      <w:tr w:rsidR="000B2C18">
        <w:tc>
          <w:tcPr>
            <w:tcW w:w="1620" w:type="dxa"/>
            <w:tcBorders>
              <w:top w:val="nil"/>
              <w:left w:val="nil"/>
              <w:bottom w:val="nil"/>
              <w:right w:val="nil"/>
            </w:tcBorders>
          </w:tcPr>
          <w:p w:rsidR="000B2C18" w:rsidRDefault="000B2C18">
            <w:pPr>
              <w:rPr>
                <w:rFonts w:ascii="Arial" w:hAnsi="Arial" w:cs="Arial"/>
                <w:b/>
                <w:color w:val="3366FF"/>
                <w:sz w:val="20"/>
              </w:rPr>
            </w:pPr>
          </w:p>
          <w:p w:rsidR="000B2C18" w:rsidRDefault="000B2C18">
            <w:pPr>
              <w:jc w:val="left"/>
              <w:rPr>
                <w:rFonts w:ascii="Arial" w:hAnsi="Arial" w:cs="Arial"/>
                <w:color w:val="3366FF"/>
                <w:sz w:val="20"/>
              </w:rPr>
            </w:pPr>
            <w:r>
              <w:rPr>
                <w:rFonts w:ascii="Arial" w:hAnsi="Arial" w:cs="Arial"/>
                <w:b/>
                <w:color w:val="3366FF"/>
                <w:sz w:val="20"/>
              </w:rPr>
              <w:t>Procedure</w:t>
            </w:r>
          </w:p>
        </w:tc>
        <w:tc>
          <w:tcPr>
            <w:tcW w:w="9360" w:type="dxa"/>
            <w:gridSpan w:val="5"/>
            <w:tcBorders>
              <w:top w:val="single" w:sz="12" w:space="0" w:color="C0C0C0"/>
              <w:left w:val="nil"/>
              <w:bottom w:val="single" w:sz="4" w:space="0" w:color="auto"/>
              <w:right w:val="nil"/>
            </w:tcBorders>
          </w:tcPr>
          <w:p w:rsidR="000B2C18" w:rsidRDefault="000B2C18">
            <w:pPr>
              <w:jc w:val="left"/>
              <w:rPr>
                <w:rFonts w:ascii="Arial" w:hAnsi="Arial" w:cs="Arial"/>
                <w:sz w:val="20"/>
              </w:rPr>
            </w:pPr>
          </w:p>
          <w:p w:rsidR="000B2C18" w:rsidRDefault="000B2C18">
            <w:pPr>
              <w:jc w:val="left"/>
              <w:rPr>
                <w:rFonts w:ascii="Arial" w:hAnsi="Arial" w:cs="Arial"/>
                <w:sz w:val="20"/>
              </w:rPr>
            </w:pPr>
          </w:p>
        </w:tc>
      </w:tr>
      <w:tr w:rsidR="000B2C18">
        <w:trPr>
          <w:cantSplit/>
        </w:trPr>
        <w:tc>
          <w:tcPr>
            <w:tcW w:w="1620" w:type="dxa"/>
            <w:tcBorders>
              <w:top w:val="nil"/>
              <w:left w:val="nil"/>
              <w:bottom w:val="nil"/>
              <w:right w:val="single" w:sz="4" w:space="0" w:color="auto"/>
            </w:tcBorders>
          </w:tcPr>
          <w:p w:rsidR="000B2C18" w:rsidRDefault="000B2C18">
            <w:pPr>
              <w:rPr>
                <w:rFonts w:ascii="Arial" w:hAnsi="Arial" w:cs="Arial"/>
                <w:b/>
                <w:sz w:val="20"/>
              </w:rPr>
            </w:pPr>
          </w:p>
        </w:tc>
        <w:tc>
          <w:tcPr>
            <w:tcW w:w="772" w:type="dxa"/>
            <w:tcBorders>
              <w:top w:val="single" w:sz="4" w:space="0" w:color="auto"/>
              <w:left w:val="single" w:sz="4" w:space="0" w:color="auto"/>
              <w:bottom w:val="single" w:sz="4" w:space="0" w:color="auto"/>
              <w:right w:val="single" w:sz="4" w:space="0" w:color="auto"/>
            </w:tcBorders>
            <w:shd w:val="clear" w:color="auto" w:fill="F3F3F3"/>
          </w:tcPr>
          <w:p w:rsidR="000B2C18" w:rsidRDefault="000B2C18">
            <w:pPr>
              <w:jc w:val="center"/>
              <w:rPr>
                <w:rFonts w:ascii="Arial" w:hAnsi="Arial" w:cs="Arial"/>
              </w:rPr>
            </w:pPr>
            <w:r>
              <w:rPr>
                <w:rFonts w:ascii="Arial" w:hAnsi="Arial" w:cs="Arial"/>
                <w:b/>
                <w:bCs/>
                <w:sz w:val="20"/>
              </w:rPr>
              <w:t>Step</w:t>
            </w:r>
          </w:p>
        </w:tc>
        <w:tc>
          <w:tcPr>
            <w:tcW w:w="8588" w:type="dxa"/>
            <w:gridSpan w:val="4"/>
            <w:tcBorders>
              <w:top w:val="single" w:sz="4" w:space="0" w:color="auto"/>
              <w:left w:val="single" w:sz="4" w:space="0" w:color="auto"/>
              <w:bottom w:val="single" w:sz="4" w:space="0" w:color="auto"/>
            </w:tcBorders>
            <w:shd w:val="clear" w:color="auto" w:fill="F3F3F3"/>
          </w:tcPr>
          <w:p w:rsidR="000B2C18" w:rsidRDefault="000B2C18">
            <w:pPr>
              <w:pStyle w:val="TableHeaderText"/>
              <w:autoSpaceDE/>
              <w:autoSpaceDN/>
              <w:rPr>
                <w:rFonts w:ascii="Arial" w:hAnsi="Arial" w:cs="Arial"/>
              </w:rPr>
            </w:pPr>
            <w:r>
              <w:rPr>
                <w:rFonts w:ascii="Arial" w:hAnsi="Arial" w:cs="Arial"/>
              </w:rPr>
              <w:t>Action</w:t>
            </w:r>
          </w:p>
        </w:tc>
      </w:tr>
      <w:tr w:rsidR="000B2C18">
        <w:trPr>
          <w:cantSplit/>
        </w:trPr>
        <w:tc>
          <w:tcPr>
            <w:tcW w:w="1620" w:type="dxa"/>
            <w:tcBorders>
              <w:top w:val="nil"/>
              <w:left w:val="nil"/>
              <w:bottom w:val="nil"/>
              <w:right w:val="single" w:sz="6" w:space="0" w:color="auto"/>
            </w:tcBorders>
            <w:vAlign w:val="center"/>
          </w:tcPr>
          <w:p w:rsidR="000B2C18" w:rsidRDefault="000B2C18">
            <w:pPr>
              <w:rPr>
                <w:rFonts w:ascii="Arial" w:hAnsi="Arial" w:cs="Arial"/>
                <w:bCs/>
                <w:color w:val="3366FF"/>
                <w:sz w:val="20"/>
              </w:rPr>
            </w:pPr>
          </w:p>
        </w:tc>
        <w:tc>
          <w:tcPr>
            <w:tcW w:w="772" w:type="dxa"/>
            <w:tcBorders>
              <w:top w:val="single" w:sz="4" w:space="0" w:color="auto"/>
              <w:left w:val="single" w:sz="6" w:space="0" w:color="auto"/>
              <w:bottom w:val="single" w:sz="6" w:space="0" w:color="auto"/>
              <w:right w:val="single" w:sz="6" w:space="0" w:color="auto"/>
            </w:tcBorders>
          </w:tcPr>
          <w:p w:rsidR="000B2C18" w:rsidRDefault="000B2C18">
            <w:pPr>
              <w:jc w:val="center"/>
              <w:rPr>
                <w:rFonts w:ascii="Arial" w:hAnsi="Arial" w:cs="Arial"/>
                <w:sz w:val="20"/>
              </w:rPr>
            </w:pPr>
            <w:r>
              <w:rPr>
                <w:rFonts w:ascii="Arial" w:hAnsi="Arial" w:cs="Arial"/>
                <w:sz w:val="20"/>
              </w:rPr>
              <w:t>1</w:t>
            </w:r>
          </w:p>
        </w:tc>
        <w:tc>
          <w:tcPr>
            <w:tcW w:w="8588" w:type="dxa"/>
            <w:gridSpan w:val="4"/>
            <w:tcBorders>
              <w:top w:val="single" w:sz="4" w:space="0" w:color="auto"/>
              <w:left w:val="single" w:sz="6" w:space="0" w:color="auto"/>
            </w:tcBorders>
          </w:tcPr>
          <w:p w:rsidR="000B2C18" w:rsidRDefault="00D00FB4">
            <w:pPr>
              <w:jc w:val="left"/>
              <w:rPr>
                <w:rFonts w:ascii="Arial" w:hAnsi="Arial" w:cs="Arial"/>
                <w:sz w:val="20"/>
              </w:rPr>
            </w:pPr>
            <w:r>
              <w:rPr>
                <w:rFonts w:ascii="Arial" w:hAnsi="Arial" w:cs="Arial"/>
                <w:sz w:val="20"/>
              </w:rPr>
              <w:t>Remove the cap from the sample tube(s). Place the sample tube(s) into the correctly designated rack for the sample type so that the barcode label is visible through the slot in the rack facing to the left of the rack</w:t>
            </w:r>
          </w:p>
          <w:p w:rsidR="00D00FB4" w:rsidRPr="007F49CE" w:rsidRDefault="007F49CE" w:rsidP="00D00FB4">
            <w:pPr>
              <w:pStyle w:val="ListParagraph"/>
              <w:numPr>
                <w:ilvl w:val="0"/>
                <w:numId w:val="10"/>
              </w:numPr>
              <w:jc w:val="left"/>
              <w:rPr>
                <w:rFonts w:ascii="Arial" w:hAnsi="Arial" w:cs="Arial"/>
                <w:sz w:val="20"/>
              </w:rPr>
            </w:pPr>
            <w:r w:rsidRPr="007F49CE">
              <w:rPr>
                <w:rFonts w:ascii="Arial" w:hAnsi="Arial" w:cs="Arial"/>
                <w:sz w:val="20"/>
              </w:rPr>
              <w:t>Rack with green circle- routine priority</w:t>
            </w:r>
          </w:p>
          <w:p w:rsidR="00D00FB4" w:rsidRPr="007F49CE" w:rsidRDefault="007F49CE" w:rsidP="00D00FB4">
            <w:pPr>
              <w:pStyle w:val="ListParagraph"/>
              <w:numPr>
                <w:ilvl w:val="0"/>
                <w:numId w:val="10"/>
              </w:numPr>
              <w:jc w:val="left"/>
              <w:rPr>
                <w:rFonts w:ascii="Arial" w:hAnsi="Arial" w:cs="Arial"/>
                <w:sz w:val="20"/>
              </w:rPr>
            </w:pPr>
            <w:r w:rsidRPr="007F49CE">
              <w:rPr>
                <w:rFonts w:ascii="Arial" w:hAnsi="Arial" w:cs="Arial"/>
                <w:sz w:val="20"/>
              </w:rPr>
              <w:t>Rack with red circle and S- STAT priority</w:t>
            </w:r>
          </w:p>
          <w:p w:rsidR="00D00FB4" w:rsidRDefault="00D00FB4" w:rsidP="00D00FB4">
            <w:pPr>
              <w:pStyle w:val="ListParagraph"/>
              <w:numPr>
                <w:ilvl w:val="0"/>
                <w:numId w:val="10"/>
              </w:numPr>
              <w:jc w:val="left"/>
              <w:rPr>
                <w:rFonts w:ascii="Arial" w:hAnsi="Arial" w:cs="Arial"/>
                <w:sz w:val="20"/>
              </w:rPr>
            </w:pPr>
            <w:r>
              <w:rPr>
                <w:rFonts w:ascii="Arial" w:hAnsi="Arial" w:cs="Arial"/>
                <w:sz w:val="20"/>
              </w:rPr>
              <w:t>Barcode labels must be attached to the sample tubes no higher than 15 mm from the top and no lower than 10 mm to the bottom of the tube.</w:t>
            </w:r>
          </w:p>
          <w:p w:rsidR="000B2C18" w:rsidRPr="009F3C33" w:rsidRDefault="00D00FB4" w:rsidP="009F3C33">
            <w:pPr>
              <w:pStyle w:val="ListParagraph"/>
              <w:numPr>
                <w:ilvl w:val="0"/>
                <w:numId w:val="10"/>
              </w:numPr>
              <w:jc w:val="left"/>
              <w:rPr>
                <w:rFonts w:ascii="Arial" w:hAnsi="Arial" w:cs="Arial"/>
                <w:sz w:val="20"/>
              </w:rPr>
            </w:pPr>
            <w:r>
              <w:rPr>
                <w:rFonts w:ascii="Arial" w:hAnsi="Arial" w:cs="Arial"/>
                <w:sz w:val="20"/>
              </w:rPr>
              <w:t>The barcodes should be placed on the tubes so that the lines are horizontal</w:t>
            </w:r>
          </w:p>
        </w:tc>
      </w:tr>
      <w:tr w:rsidR="000B2C18">
        <w:trPr>
          <w:cantSplit/>
        </w:trPr>
        <w:tc>
          <w:tcPr>
            <w:tcW w:w="1620" w:type="dxa"/>
            <w:tcBorders>
              <w:top w:val="nil"/>
              <w:left w:val="nil"/>
              <w:bottom w:val="nil"/>
              <w:right w:val="single" w:sz="6" w:space="0" w:color="auto"/>
            </w:tcBorders>
            <w:vAlign w:val="center"/>
          </w:tcPr>
          <w:p w:rsidR="000B2C18" w:rsidRDefault="000B2C1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0B2C18" w:rsidRDefault="000B2C18">
            <w:pPr>
              <w:jc w:val="center"/>
              <w:rPr>
                <w:rFonts w:ascii="Arial" w:hAnsi="Arial" w:cs="Arial"/>
                <w:sz w:val="20"/>
              </w:rPr>
            </w:pPr>
            <w:r>
              <w:rPr>
                <w:rFonts w:ascii="Arial" w:hAnsi="Arial" w:cs="Arial"/>
                <w:sz w:val="20"/>
              </w:rPr>
              <w:t>2</w:t>
            </w:r>
          </w:p>
        </w:tc>
        <w:tc>
          <w:tcPr>
            <w:tcW w:w="8588" w:type="dxa"/>
            <w:gridSpan w:val="4"/>
            <w:tcBorders>
              <w:left w:val="single" w:sz="6" w:space="0" w:color="auto"/>
              <w:bottom w:val="nil"/>
            </w:tcBorders>
          </w:tcPr>
          <w:p w:rsidR="000B2C18" w:rsidRDefault="009A2BC0">
            <w:pPr>
              <w:jc w:val="left"/>
              <w:rPr>
                <w:rFonts w:ascii="Arial" w:hAnsi="Arial" w:cs="Arial"/>
                <w:sz w:val="20"/>
              </w:rPr>
            </w:pPr>
            <w:r>
              <w:rPr>
                <w:rFonts w:ascii="Arial" w:hAnsi="Arial" w:cs="Arial"/>
                <w:sz w:val="20"/>
              </w:rPr>
              <w:t>Hold the Sample Rack firmly by the handle</w:t>
            </w:r>
          </w:p>
          <w:p w:rsidR="000B2C18" w:rsidRDefault="000B2C18">
            <w:pPr>
              <w:jc w:val="left"/>
              <w:rPr>
                <w:rFonts w:ascii="Arial" w:hAnsi="Arial" w:cs="Arial"/>
                <w:sz w:val="20"/>
              </w:rPr>
            </w:pPr>
          </w:p>
        </w:tc>
      </w:tr>
      <w:tr w:rsidR="000B2C18" w:rsidTr="009A2BC0">
        <w:trPr>
          <w:cantSplit/>
          <w:trHeight w:val="435"/>
        </w:trPr>
        <w:tc>
          <w:tcPr>
            <w:tcW w:w="1620" w:type="dxa"/>
            <w:tcBorders>
              <w:top w:val="nil"/>
              <w:left w:val="nil"/>
              <w:bottom w:val="nil"/>
              <w:right w:val="single" w:sz="6" w:space="0" w:color="auto"/>
            </w:tcBorders>
            <w:vAlign w:val="center"/>
          </w:tcPr>
          <w:p w:rsidR="000B2C18" w:rsidRDefault="000B2C1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0B2C18" w:rsidRDefault="000B2C18">
            <w:pPr>
              <w:jc w:val="center"/>
              <w:rPr>
                <w:rFonts w:ascii="Arial" w:hAnsi="Arial" w:cs="Arial"/>
                <w:sz w:val="20"/>
              </w:rPr>
            </w:pPr>
            <w:r>
              <w:rPr>
                <w:rFonts w:ascii="Arial" w:hAnsi="Arial" w:cs="Arial"/>
                <w:sz w:val="20"/>
              </w:rPr>
              <w:t>3</w:t>
            </w:r>
          </w:p>
        </w:tc>
        <w:tc>
          <w:tcPr>
            <w:tcW w:w="8588" w:type="dxa"/>
            <w:gridSpan w:val="4"/>
            <w:tcBorders>
              <w:left w:val="single" w:sz="6" w:space="0" w:color="auto"/>
              <w:right w:val="single" w:sz="4" w:space="0" w:color="auto"/>
            </w:tcBorders>
          </w:tcPr>
          <w:p w:rsidR="000B2C18" w:rsidRDefault="009A2BC0" w:rsidP="009A2BC0">
            <w:pPr>
              <w:rPr>
                <w:rFonts w:ascii="Arial" w:hAnsi="Arial" w:cs="Arial"/>
                <w:sz w:val="20"/>
              </w:rPr>
            </w:pPr>
            <w:r>
              <w:rPr>
                <w:rFonts w:ascii="Arial" w:hAnsi="Arial" w:cs="Arial"/>
                <w:sz w:val="20"/>
              </w:rPr>
              <w:t>Sample racks can be loaded into any open position 1 to 5.</w:t>
            </w:r>
          </w:p>
          <w:p w:rsidR="009A2BC0" w:rsidRPr="009A2BC0" w:rsidRDefault="009A2BC0" w:rsidP="009A2BC0">
            <w:pPr>
              <w:pStyle w:val="ListParagraph"/>
              <w:numPr>
                <w:ilvl w:val="0"/>
                <w:numId w:val="11"/>
              </w:numPr>
              <w:rPr>
                <w:rFonts w:ascii="Arial" w:hAnsi="Arial" w:cs="Arial"/>
                <w:sz w:val="20"/>
              </w:rPr>
            </w:pPr>
            <w:r>
              <w:rPr>
                <w:rFonts w:ascii="Arial" w:hAnsi="Arial" w:cs="Arial"/>
                <w:sz w:val="20"/>
              </w:rPr>
              <w:t>A green light over the slot indicates it is available.</w:t>
            </w:r>
          </w:p>
        </w:tc>
      </w:tr>
      <w:tr w:rsidR="000B2C18">
        <w:trPr>
          <w:cantSplit/>
        </w:trPr>
        <w:tc>
          <w:tcPr>
            <w:tcW w:w="1620" w:type="dxa"/>
            <w:tcBorders>
              <w:top w:val="nil"/>
              <w:left w:val="nil"/>
              <w:bottom w:val="nil"/>
              <w:right w:val="single" w:sz="6" w:space="0" w:color="auto"/>
            </w:tcBorders>
            <w:vAlign w:val="center"/>
          </w:tcPr>
          <w:p w:rsidR="000B2C18" w:rsidRDefault="000B2C1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0B2C18" w:rsidRDefault="000B2C18">
            <w:pPr>
              <w:jc w:val="center"/>
              <w:rPr>
                <w:rFonts w:ascii="Arial" w:hAnsi="Arial" w:cs="Arial"/>
                <w:sz w:val="20"/>
              </w:rPr>
            </w:pPr>
            <w:r>
              <w:rPr>
                <w:rFonts w:ascii="Arial" w:hAnsi="Arial" w:cs="Arial"/>
                <w:sz w:val="20"/>
              </w:rPr>
              <w:t>4</w:t>
            </w:r>
          </w:p>
        </w:tc>
        <w:tc>
          <w:tcPr>
            <w:tcW w:w="8588" w:type="dxa"/>
            <w:gridSpan w:val="4"/>
            <w:tcBorders>
              <w:left w:val="single" w:sz="6" w:space="0" w:color="auto"/>
              <w:bottom w:val="single" w:sz="4" w:space="0" w:color="auto"/>
            </w:tcBorders>
          </w:tcPr>
          <w:p w:rsidR="000B2C18" w:rsidRDefault="009A2BC0">
            <w:pPr>
              <w:jc w:val="left"/>
              <w:rPr>
                <w:rFonts w:ascii="Arial" w:hAnsi="Arial" w:cs="Arial"/>
                <w:sz w:val="20"/>
              </w:rPr>
            </w:pPr>
            <w:r>
              <w:rPr>
                <w:rFonts w:ascii="Arial" w:hAnsi="Arial" w:cs="Arial"/>
                <w:sz w:val="20"/>
              </w:rPr>
              <w:t>Slide the rack in until it stops.</w:t>
            </w:r>
          </w:p>
          <w:p w:rsidR="000B2C18" w:rsidRDefault="000B2C18">
            <w:pPr>
              <w:pStyle w:val="TableText"/>
              <w:autoSpaceDE/>
              <w:autoSpaceDN/>
              <w:rPr>
                <w:rFonts w:ascii="Arial" w:hAnsi="Arial" w:cs="Arial"/>
              </w:rPr>
            </w:pPr>
          </w:p>
        </w:tc>
      </w:tr>
      <w:tr w:rsidR="009A2BC0">
        <w:trPr>
          <w:cantSplit/>
        </w:trPr>
        <w:tc>
          <w:tcPr>
            <w:tcW w:w="1620" w:type="dxa"/>
            <w:tcBorders>
              <w:top w:val="nil"/>
              <w:left w:val="nil"/>
              <w:bottom w:val="nil"/>
              <w:right w:val="single" w:sz="6" w:space="0" w:color="auto"/>
            </w:tcBorders>
            <w:vAlign w:val="center"/>
          </w:tcPr>
          <w:p w:rsidR="009A2BC0" w:rsidRDefault="009A2BC0">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9A2BC0" w:rsidRDefault="009A2BC0">
            <w:pPr>
              <w:jc w:val="center"/>
              <w:rPr>
                <w:rFonts w:ascii="Arial" w:hAnsi="Arial" w:cs="Arial"/>
                <w:sz w:val="20"/>
              </w:rPr>
            </w:pPr>
            <w:r>
              <w:rPr>
                <w:rFonts w:ascii="Arial" w:hAnsi="Arial" w:cs="Arial"/>
                <w:sz w:val="20"/>
              </w:rPr>
              <w:t>5</w:t>
            </w:r>
          </w:p>
        </w:tc>
        <w:tc>
          <w:tcPr>
            <w:tcW w:w="8588" w:type="dxa"/>
            <w:gridSpan w:val="4"/>
            <w:tcBorders>
              <w:left w:val="single" w:sz="6" w:space="0" w:color="auto"/>
              <w:bottom w:val="single" w:sz="4" w:space="0" w:color="auto"/>
            </w:tcBorders>
          </w:tcPr>
          <w:p w:rsidR="009A2BC0" w:rsidRDefault="009F3C33">
            <w:pPr>
              <w:jc w:val="left"/>
              <w:rPr>
                <w:rFonts w:ascii="Arial" w:hAnsi="Arial" w:cs="Arial"/>
                <w:sz w:val="20"/>
              </w:rPr>
            </w:pPr>
            <w:r>
              <w:rPr>
                <w:rFonts w:ascii="Arial" w:hAnsi="Arial" w:cs="Arial"/>
                <w:sz w:val="20"/>
              </w:rPr>
              <w:t>If the sample barcode cannot be read or if there is no barcode, the sample/reagent area in the IH-500 software will turn red.</w:t>
            </w:r>
          </w:p>
          <w:p w:rsidR="009F3C33" w:rsidRDefault="009F3C33" w:rsidP="009F3C33">
            <w:pPr>
              <w:pStyle w:val="ListParagraph"/>
              <w:numPr>
                <w:ilvl w:val="0"/>
                <w:numId w:val="12"/>
              </w:numPr>
              <w:jc w:val="left"/>
              <w:rPr>
                <w:rFonts w:ascii="Arial" w:hAnsi="Arial" w:cs="Arial"/>
                <w:sz w:val="20"/>
              </w:rPr>
            </w:pPr>
            <w:r>
              <w:rPr>
                <w:rFonts w:ascii="Arial" w:hAnsi="Arial" w:cs="Arial"/>
                <w:sz w:val="20"/>
              </w:rPr>
              <w:t>Click on the affected rack displayed in red.</w:t>
            </w:r>
          </w:p>
          <w:p w:rsidR="009F3C33" w:rsidRDefault="009F3C33" w:rsidP="009F3C33">
            <w:pPr>
              <w:pStyle w:val="ListParagraph"/>
              <w:numPr>
                <w:ilvl w:val="0"/>
                <w:numId w:val="12"/>
              </w:numPr>
              <w:jc w:val="left"/>
              <w:rPr>
                <w:rFonts w:ascii="Arial" w:hAnsi="Arial" w:cs="Arial"/>
                <w:sz w:val="20"/>
              </w:rPr>
            </w:pPr>
            <w:r>
              <w:rPr>
                <w:rFonts w:ascii="Arial" w:hAnsi="Arial" w:cs="Arial"/>
                <w:sz w:val="20"/>
              </w:rPr>
              <w:t>Click on the barcode icon displayed on the affected sample.</w:t>
            </w:r>
          </w:p>
          <w:p w:rsidR="009F3C33" w:rsidRDefault="009F3C33" w:rsidP="009F3C33">
            <w:pPr>
              <w:pStyle w:val="ListParagraph"/>
              <w:numPr>
                <w:ilvl w:val="0"/>
                <w:numId w:val="12"/>
              </w:numPr>
              <w:jc w:val="left"/>
              <w:rPr>
                <w:rFonts w:ascii="Arial" w:hAnsi="Arial" w:cs="Arial"/>
                <w:sz w:val="20"/>
              </w:rPr>
            </w:pPr>
            <w:r>
              <w:rPr>
                <w:rFonts w:ascii="Arial" w:hAnsi="Arial" w:cs="Arial"/>
                <w:sz w:val="20"/>
              </w:rPr>
              <w:t>Select “Remove Rack”</w:t>
            </w:r>
          </w:p>
          <w:p w:rsidR="009F3C33" w:rsidRDefault="009F3C33" w:rsidP="009F3C33">
            <w:pPr>
              <w:pStyle w:val="ListParagraph"/>
              <w:numPr>
                <w:ilvl w:val="0"/>
                <w:numId w:val="12"/>
              </w:numPr>
              <w:jc w:val="left"/>
              <w:rPr>
                <w:rFonts w:ascii="Arial" w:hAnsi="Arial" w:cs="Arial"/>
                <w:sz w:val="20"/>
              </w:rPr>
            </w:pPr>
            <w:r>
              <w:rPr>
                <w:rFonts w:ascii="Arial" w:hAnsi="Arial" w:cs="Arial"/>
                <w:sz w:val="20"/>
              </w:rPr>
              <w:t>Take care to note the lane location and rack location i.e. R3-06 displayed on the screen matches the actual location of the sample. Enter the barcode from the keyboard or use the handheld scanner. Enter the barcode a second time.</w:t>
            </w:r>
          </w:p>
          <w:p w:rsidR="009F3C33" w:rsidRDefault="009F3C33" w:rsidP="009F3C33">
            <w:pPr>
              <w:pStyle w:val="ListParagraph"/>
              <w:numPr>
                <w:ilvl w:val="0"/>
                <w:numId w:val="12"/>
              </w:numPr>
              <w:jc w:val="left"/>
              <w:rPr>
                <w:rFonts w:ascii="Arial" w:hAnsi="Arial" w:cs="Arial"/>
                <w:sz w:val="20"/>
              </w:rPr>
            </w:pPr>
            <w:r>
              <w:rPr>
                <w:rFonts w:ascii="Arial" w:hAnsi="Arial" w:cs="Arial"/>
                <w:sz w:val="20"/>
              </w:rPr>
              <w:t>Select “Validate”</w:t>
            </w:r>
          </w:p>
          <w:p w:rsidR="009F3C33" w:rsidRDefault="009F3C33" w:rsidP="009F3C33">
            <w:pPr>
              <w:pStyle w:val="ListParagraph"/>
              <w:numPr>
                <w:ilvl w:val="0"/>
                <w:numId w:val="12"/>
              </w:numPr>
              <w:jc w:val="left"/>
              <w:rPr>
                <w:rFonts w:ascii="Arial" w:hAnsi="Arial" w:cs="Arial"/>
                <w:sz w:val="20"/>
              </w:rPr>
            </w:pPr>
            <w:r>
              <w:rPr>
                <w:rFonts w:ascii="Arial" w:hAnsi="Arial" w:cs="Arial"/>
                <w:sz w:val="20"/>
              </w:rPr>
              <w:t>The manually entered sample will display a pencil icon next to its sample ID.</w:t>
            </w:r>
          </w:p>
          <w:p w:rsidR="009F3C33" w:rsidRPr="009F3C33" w:rsidRDefault="009F3C33" w:rsidP="009F3C33">
            <w:pPr>
              <w:pStyle w:val="ListParagraph"/>
              <w:numPr>
                <w:ilvl w:val="0"/>
                <w:numId w:val="12"/>
              </w:numPr>
              <w:jc w:val="left"/>
              <w:rPr>
                <w:rFonts w:ascii="Arial" w:hAnsi="Arial" w:cs="Arial"/>
                <w:sz w:val="20"/>
              </w:rPr>
            </w:pPr>
            <w:r>
              <w:rPr>
                <w:rFonts w:ascii="Arial" w:hAnsi="Arial" w:cs="Arial"/>
                <w:sz w:val="20"/>
              </w:rPr>
              <w:t>If any sample positions were switched, a warning screen will be displayed when the rack is loaded back on to the instrument. It will be necessary to repeat the sample loading process.</w:t>
            </w:r>
          </w:p>
        </w:tc>
      </w:tr>
      <w:tr w:rsidR="000B2C18">
        <w:trPr>
          <w:cantSplit/>
          <w:trHeight w:val="386"/>
        </w:trPr>
        <w:tc>
          <w:tcPr>
            <w:tcW w:w="1620" w:type="dxa"/>
            <w:tcBorders>
              <w:top w:val="nil"/>
              <w:left w:val="nil"/>
              <w:bottom w:val="nil"/>
              <w:right w:val="nil"/>
            </w:tcBorders>
          </w:tcPr>
          <w:p w:rsidR="000B2C18" w:rsidRDefault="000B2C18">
            <w:pPr>
              <w:rPr>
                <w:rFonts w:ascii="Arial" w:hAnsi="Arial" w:cs="Arial"/>
                <w:b/>
                <w:sz w:val="20"/>
              </w:rPr>
            </w:pPr>
          </w:p>
        </w:tc>
        <w:tc>
          <w:tcPr>
            <w:tcW w:w="9360" w:type="dxa"/>
            <w:gridSpan w:val="5"/>
            <w:tcBorders>
              <w:top w:val="nil"/>
              <w:left w:val="nil"/>
              <w:bottom w:val="single" w:sz="12" w:space="0" w:color="C0C0C0"/>
              <w:right w:val="nil"/>
            </w:tcBorders>
          </w:tcPr>
          <w:p w:rsidR="000B2C18" w:rsidRDefault="000B2C18">
            <w:pPr>
              <w:jc w:val="left"/>
              <w:rPr>
                <w:rFonts w:ascii="Arial" w:hAnsi="Arial" w:cs="Arial"/>
                <w:iCs/>
                <w:sz w:val="20"/>
              </w:rPr>
            </w:pPr>
          </w:p>
        </w:tc>
      </w:tr>
      <w:tr w:rsidR="000B2C18">
        <w:tblPrEx>
          <w:tblBorders>
            <w:top w:val="none" w:sz="0" w:space="0" w:color="auto"/>
            <w:left w:val="none" w:sz="0" w:space="0" w:color="auto"/>
            <w:right w:val="none" w:sz="0" w:space="0" w:color="auto"/>
            <w:insideH w:val="none" w:sz="0" w:space="0" w:color="auto"/>
            <w:insideV w:val="none" w:sz="0" w:space="0" w:color="auto"/>
          </w:tblBorders>
        </w:tblPrEx>
        <w:tc>
          <w:tcPr>
            <w:tcW w:w="1620" w:type="dxa"/>
            <w:tcBorders>
              <w:left w:val="nil"/>
              <w:bottom w:val="nil"/>
            </w:tcBorders>
          </w:tcPr>
          <w:p w:rsidR="000B2C18" w:rsidRDefault="000B2C18">
            <w:pPr>
              <w:jc w:val="left"/>
              <w:rPr>
                <w:rFonts w:ascii="Arial" w:hAnsi="Arial" w:cs="Arial"/>
                <w:b/>
                <w:bCs/>
                <w:color w:val="3366FF"/>
                <w:sz w:val="20"/>
              </w:rPr>
            </w:pPr>
          </w:p>
          <w:p w:rsidR="000B2C18" w:rsidRDefault="000B2C18">
            <w:pPr>
              <w:jc w:val="left"/>
              <w:rPr>
                <w:rFonts w:ascii="Arial" w:hAnsi="Arial" w:cs="Arial"/>
                <w:b/>
                <w:bCs/>
                <w:color w:val="3366FF"/>
                <w:sz w:val="20"/>
              </w:rPr>
            </w:pPr>
            <w:r>
              <w:rPr>
                <w:rFonts w:ascii="Arial" w:hAnsi="Arial" w:cs="Arial"/>
                <w:b/>
                <w:bCs/>
                <w:color w:val="3366FF"/>
                <w:sz w:val="20"/>
              </w:rPr>
              <w:t>References</w:t>
            </w:r>
          </w:p>
        </w:tc>
        <w:tc>
          <w:tcPr>
            <w:tcW w:w="9360" w:type="dxa"/>
            <w:gridSpan w:val="5"/>
            <w:tcBorders>
              <w:top w:val="single" w:sz="12" w:space="0" w:color="C0C0C0"/>
              <w:bottom w:val="single" w:sz="12" w:space="0" w:color="C0C0C0"/>
              <w:right w:val="nil"/>
            </w:tcBorders>
          </w:tcPr>
          <w:p w:rsidR="000B2C18" w:rsidRDefault="000B2C18">
            <w:pPr>
              <w:jc w:val="left"/>
              <w:rPr>
                <w:rFonts w:ascii="Arial" w:hAnsi="Arial" w:cs="Arial"/>
                <w:iCs/>
                <w:sz w:val="20"/>
              </w:rPr>
            </w:pPr>
          </w:p>
          <w:p w:rsidR="000B2C18" w:rsidRPr="009F3C33" w:rsidRDefault="009F3C33" w:rsidP="009F3C33">
            <w:pPr>
              <w:numPr>
                <w:ilvl w:val="0"/>
                <w:numId w:val="3"/>
              </w:numPr>
              <w:tabs>
                <w:tab w:val="clear" w:pos="720"/>
                <w:tab w:val="num" w:pos="252"/>
              </w:tabs>
              <w:ind w:hanging="720"/>
              <w:jc w:val="left"/>
              <w:rPr>
                <w:rFonts w:ascii="Arial" w:hAnsi="Arial" w:cs="Arial"/>
                <w:iCs/>
                <w:sz w:val="20"/>
              </w:rPr>
            </w:pPr>
            <w:r>
              <w:rPr>
                <w:rFonts w:ascii="Arial" w:hAnsi="Arial" w:cs="Arial"/>
                <w:iCs/>
                <w:sz w:val="20"/>
              </w:rPr>
              <w:t>IH-500 User Manual NA V1.-07/2017, Chapter 3, Sections 3.4-3.5</w:t>
            </w:r>
          </w:p>
          <w:p w:rsidR="000B2C18" w:rsidRDefault="000B2C18">
            <w:pPr>
              <w:jc w:val="left"/>
              <w:rPr>
                <w:rFonts w:ascii="Arial" w:hAnsi="Arial" w:cs="Arial"/>
                <w:iCs/>
                <w:sz w:val="20"/>
              </w:rPr>
            </w:pPr>
          </w:p>
        </w:tc>
      </w:tr>
      <w:tr w:rsidR="000B2C18">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620" w:type="dxa"/>
            <w:tcBorders>
              <w:top w:val="nil"/>
              <w:left w:val="nil"/>
              <w:bottom w:val="nil"/>
            </w:tcBorders>
          </w:tcPr>
          <w:p w:rsidR="000B2C18" w:rsidRDefault="000B2C18">
            <w:pPr>
              <w:rPr>
                <w:rFonts w:ascii="Arial" w:hAnsi="Arial" w:cs="Arial"/>
                <w:b/>
                <w:bCs/>
                <w:color w:val="3366FF"/>
                <w:sz w:val="20"/>
              </w:rPr>
            </w:pPr>
          </w:p>
          <w:p w:rsidR="000B2C18" w:rsidRDefault="000B2C18">
            <w:pPr>
              <w:rPr>
                <w:rFonts w:ascii="Arial" w:hAnsi="Arial" w:cs="Arial"/>
                <w:b/>
                <w:bCs/>
                <w:color w:val="3366FF"/>
                <w:sz w:val="20"/>
              </w:rPr>
            </w:pPr>
            <w:r>
              <w:rPr>
                <w:rFonts w:ascii="Arial" w:hAnsi="Arial" w:cs="Arial"/>
                <w:b/>
                <w:bCs/>
                <w:color w:val="3366FF"/>
                <w:sz w:val="20"/>
              </w:rPr>
              <w:t>Approval</w:t>
            </w:r>
          </w:p>
          <w:p w:rsidR="000B2C18" w:rsidRDefault="000B2C18">
            <w:pPr>
              <w:rPr>
                <w:rFonts w:ascii="Arial" w:hAnsi="Arial" w:cs="Arial"/>
                <w:b/>
                <w:bCs/>
                <w:color w:val="3366FF"/>
                <w:sz w:val="20"/>
              </w:rPr>
            </w:pPr>
            <w:r>
              <w:rPr>
                <w:rFonts w:ascii="Arial" w:hAnsi="Arial" w:cs="Arial"/>
                <w:b/>
                <w:bCs/>
                <w:color w:val="3366FF"/>
                <w:sz w:val="20"/>
              </w:rPr>
              <w:t>Workflow</w:t>
            </w:r>
          </w:p>
        </w:tc>
        <w:tc>
          <w:tcPr>
            <w:tcW w:w="9360" w:type="dxa"/>
            <w:gridSpan w:val="5"/>
            <w:tcBorders>
              <w:top w:val="single" w:sz="12" w:space="0" w:color="C0C0C0"/>
              <w:bottom w:val="single" w:sz="12" w:space="0" w:color="C0C0C0"/>
              <w:right w:val="nil"/>
            </w:tcBorders>
          </w:tcPr>
          <w:p w:rsidR="000B2C18" w:rsidRDefault="000B2C18">
            <w:pPr>
              <w:jc w:val="left"/>
              <w:rPr>
                <w:rFonts w:ascii="Arial" w:hAnsi="Arial" w:cs="Arial"/>
                <w:iCs/>
                <w:sz w:val="20"/>
              </w:rPr>
            </w:pPr>
          </w:p>
          <w:p w:rsidR="000B2C18" w:rsidRDefault="000B2C18">
            <w:pPr>
              <w:jc w:val="left"/>
              <w:rPr>
                <w:rFonts w:ascii="Arial" w:hAnsi="Arial" w:cs="Arial"/>
                <w:iCs/>
                <w:sz w:val="20"/>
              </w:rPr>
            </w:pPr>
            <w:r>
              <w:rPr>
                <w:rFonts w:ascii="Arial" w:hAnsi="Arial" w:cs="Arial"/>
                <w:iCs/>
                <w:sz w:val="20"/>
              </w:rPr>
              <w:t>Transfusion Service/</w:t>
            </w:r>
            <w:r w:rsidR="009F3C33">
              <w:rPr>
                <w:rFonts w:ascii="Arial" w:hAnsi="Arial" w:cs="Arial"/>
                <w:iCs/>
                <w:sz w:val="20"/>
              </w:rPr>
              <w:t>Lab Director</w:t>
            </w:r>
          </w:p>
          <w:p w:rsidR="000B2C18" w:rsidRDefault="000B2C18">
            <w:pPr>
              <w:jc w:val="left"/>
              <w:rPr>
                <w:rFonts w:ascii="Arial" w:hAnsi="Arial" w:cs="Arial"/>
                <w:iCs/>
                <w:sz w:val="20"/>
              </w:rPr>
            </w:pPr>
          </w:p>
        </w:tc>
      </w:tr>
      <w:tr w:rsidR="000B2C18">
        <w:tblPrEx>
          <w:tblBorders>
            <w:top w:val="none" w:sz="0" w:space="0" w:color="auto"/>
            <w:left w:val="none" w:sz="0" w:space="0" w:color="auto"/>
            <w:right w:val="none" w:sz="0" w:space="0" w:color="auto"/>
            <w:insideH w:val="none" w:sz="0" w:space="0" w:color="auto"/>
            <w:insideV w:val="none" w:sz="0" w:space="0" w:color="auto"/>
          </w:tblBorders>
        </w:tblPrEx>
        <w:trPr>
          <w:trHeight w:val="270"/>
        </w:trPr>
        <w:tc>
          <w:tcPr>
            <w:tcW w:w="1620" w:type="dxa"/>
            <w:tcBorders>
              <w:top w:val="nil"/>
              <w:left w:val="nil"/>
              <w:bottom w:val="nil"/>
            </w:tcBorders>
          </w:tcPr>
          <w:p w:rsidR="000B2C18" w:rsidRDefault="000B2C18">
            <w:pPr>
              <w:rPr>
                <w:rFonts w:ascii="Arial" w:hAnsi="Arial" w:cs="Arial"/>
                <w:color w:val="3366FF"/>
                <w:sz w:val="20"/>
              </w:rPr>
            </w:pPr>
          </w:p>
        </w:tc>
        <w:tc>
          <w:tcPr>
            <w:tcW w:w="9360" w:type="dxa"/>
            <w:gridSpan w:val="5"/>
            <w:tcBorders>
              <w:top w:val="single" w:sz="12" w:space="0" w:color="C0C0C0"/>
              <w:bottom w:val="single" w:sz="4" w:space="0" w:color="auto"/>
              <w:right w:val="nil"/>
            </w:tcBorders>
          </w:tcPr>
          <w:p w:rsidR="009F3C33" w:rsidRDefault="009F3C33">
            <w:pPr>
              <w:pStyle w:val="TableText"/>
              <w:autoSpaceDE/>
              <w:autoSpaceDN/>
              <w:rPr>
                <w:rFonts w:ascii="Arial" w:hAnsi="Arial" w:cs="Arial"/>
                <w:iCs/>
              </w:rPr>
            </w:pPr>
            <w:bookmarkStart w:id="0" w:name="_GoBack"/>
            <w:bookmarkEnd w:id="0"/>
          </w:p>
          <w:p w:rsidR="009F3C33" w:rsidRDefault="009F3C33">
            <w:pPr>
              <w:pStyle w:val="TableText"/>
              <w:autoSpaceDE/>
              <w:autoSpaceDN/>
              <w:rPr>
                <w:rFonts w:ascii="Arial" w:hAnsi="Arial" w:cs="Arial"/>
                <w:iCs/>
              </w:rPr>
            </w:pPr>
          </w:p>
        </w:tc>
      </w:tr>
      <w:tr w:rsidR="000B2C18">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620" w:type="dxa"/>
            <w:vMerge w:val="restart"/>
            <w:tcBorders>
              <w:left w:val="nil"/>
              <w:bottom w:val="nil"/>
              <w:right w:val="single" w:sz="2" w:space="0" w:color="auto"/>
            </w:tcBorders>
          </w:tcPr>
          <w:p w:rsidR="000B2C18" w:rsidRDefault="000B2C18">
            <w:pPr>
              <w:jc w:val="left"/>
              <w:rPr>
                <w:rFonts w:ascii="Arial" w:hAnsi="Arial" w:cs="Arial"/>
                <w:b/>
                <w:bCs/>
                <w:color w:val="3366FF"/>
                <w:sz w:val="20"/>
              </w:rPr>
            </w:pPr>
            <w:r>
              <w:rPr>
                <w:rFonts w:ascii="Arial" w:hAnsi="Arial" w:cs="Arial"/>
                <w:b/>
                <w:bCs/>
                <w:color w:val="3366FF"/>
                <w:sz w:val="20"/>
              </w:rPr>
              <w:t>Historical Record</w:t>
            </w:r>
          </w:p>
        </w:tc>
        <w:tc>
          <w:tcPr>
            <w:tcW w:w="1080" w:type="dxa"/>
            <w:gridSpan w:val="2"/>
            <w:tcBorders>
              <w:top w:val="single" w:sz="4" w:space="0" w:color="auto"/>
              <w:left w:val="single" w:sz="2" w:space="0" w:color="auto"/>
              <w:bottom w:val="single" w:sz="4" w:space="0" w:color="auto"/>
              <w:right w:val="single" w:sz="4" w:space="0" w:color="auto"/>
            </w:tcBorders>
          </w:tcPr>
          <w:p w:rsidR="000B2C18" w:rsidRDefault="000B2C18">
            <w:pPr>
              <w:jc w:val="left"/>
              <w:rPr>
                <w:rFonts w:ascii="Arial" w:hAnsi="Arial" w:cs="Arial"/>
                <w:b/>
                <w:bCs/>
                <w:sz w:val="20"/>
              </w:rPr>
            </w:pPr>
            <w:r>
              <w:rPr>
                <w:rFonts w:ascii="Arial" w:hAnsi="Arial" w:cs="Arial"/>
                <w:b/>
                <w:bCs/>
                <w:sz w:val="20"/>
              </w:rPr>
              <w:t>Version</w:t>
            </w:r>
          </w:p>
        </w:tc>
        <w:tc>
          <w:tcPr>
            <w:tcW w:w="2700" w:type="dxa"/>
            <w:tcBorders>
              <w:top w:val="single" w:sz="4" w:space="0" w:color="auto"/>
              <w:left w:val="single" w:sz="4" w:space="0" w:color="auto"/>
              <w:bottom w:val="single" w:sz="4" w:space="0" w:color="auto"/>
              <w:right w:val="single" w:sz="4" w:space="0" w:color="auto"/>
            </w:tcBorders>
          </w:tcPr>
          <w:p w:rsidR="000B2C18" w:rsidRDefault="000B2C18">
            <w:pPr>
              <w:jc w:val="left"/>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0B2C18" w:rsidRDefault="000B2C18">
            <w:pPr>
              <w:jc w:val="left"/>
              <w:rPr>
                <w:rFonts w:ascii="Arial" w:hAnsi="Arial" w:cs="Arial"/>
                <w:b/>
                <w:bCs/>
                <w:iCs/>
                <w:sz w:val="20"/>
              </w:rPr>
            </w:pPr>
            <w:r>
              <w:rPr>
                <w:rFonts w:ascii="Arial" w:hAnsi="Arial" w:cs="Arial"/>
                <w:b/>
                <w:bCs/>
                <w:iCs/>
                <w:sz w:val="20"/>
              </w:rPr>
              <w:t>Effective Date:</w:t>
            </w:r>
          </w:p>
        </w:tc>
        <w:tc>
          <w:tcPr>
            <w:tcW w:w="3960" w:type="dxa"/>
            <w:tcBorders>
              <w:top w:val="single" w:sz="4" w:space="0" w:color="auto"/>
              <w:left w:val="single" w:sz="4" w:space="0" w:color="auto"/>
              <w:bottom w:val="single" w:sz="4" w:space="0" w:color="auto"/>
              <w:right w:val="single" w:sz="4" w:space="0" w:color="auto"/>
            </w:tcBorders>
          </w:tcPr>
          <w:p w:rsidR="000B2C18" w:rsidRDefault="000B2C18">
            <w:pPr>
              <w:jc w:val="left"/>
              <w:rPr>
                <w:rFonts w:ascii="Arial" w:hAnsi="Arial" w:cs="Arial"/>
                <w:b/>
                <w:bCs/>
                <w:iCs/>
                <w:sz w:val="20"/>
              </w:rPr>
            </w:pPr>
            <w:r>
              <w:rPr>
                <w:rFonts w:ascii="Arial" w:hAnsi="Arial" w:cs="Arial"/>
                <w:b/>
                <w:bCs/>
                <w:iCs/>
                <w:sz w:val="20"/>
              </w:rPr>
              <w:t>Summary of Revisions</w:t>
            </w:r>
          </w:p>
        </w:tc>
      </w:tr>
      <w:tr w:rsidR="000B2C18">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top w:val="single" w:sz="12" w:space="0" w:color="C0C0C0"/>
              <w:left w:val="nil"/>
              <w:bottom w:val="nil"/>
              <w:right w:val="single" w:sz="2" w:space="0" w:color="auto"/>
            </w:tcBorders>
          </w:tcPr>
          <w:p w:rsidR="000B2C18" w:rsidRDefault="000B2C18">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rsidR="000B2C18" w:rsidRDefault="000B2C18">
            <w:pPr>
              <w:jc w:val="center"/>
              <w:rPr>
                <w:rFonts w:ascii="Arial" w:hAnsi="Arial" w:cs="Arial"/>
                <w:sz w:val="20"/>
              </w:rPr>
            </w:pPr>
            <w:r>
              <w:rPr>
                <w:rFonts w:ascii="Arial" w:hAnsi="Arial" w:cs="Arial"/>
                <w:sz w:val="20"/>
              </w:rPr>
              <w:t>1</w:t>
            </w:r>
          </w:p>
        </w:tc>
        <w:tc>
          <w:tcPr>
            <w:tcW w:w="2700" w:type="dxa"/>
            <w:tcBorders>
              <w:top w:val="single" w:sz="4" w:space="0" w:color="auto"/>
              <w:left w:val="single" w:sz="4" w:space="0" w:color="auto"/>
              <w:bottom w:val="single" w:sz="4" w:space="0" w:color="auto"/>
              <w:right w:val="single" w:sz="4" w:space="0" w:color="auto"/>
            </w:tcBorders>
          </w:tcPr>
          <w:p w:rsidR="000B2C18" w:rsidRDefault="009F3C33">
            <w:pPr>
              <w:jc w:val="left"/>
              <w:rPr>
                <w:rFonts w:ascii="Arial" w:hAnsi="Arial" w:cs="Arial"/>
                <w:iCs/>
                <w:sz w:val="20"/>
              </w:rPr>
            </w:pPr>
            <w:r>
              <w:rPr>
                <w:rFonts w:ascii="Arial" w:hAnsi="Arial" w:cs="Arial"/>
                <w:iCs/>
                <w:sz w:val="20"/>
              </w:rPr>
              <w:t>S. Cassidy</w:t>
            </w:r>
          </w:p>
        </w:tc>
        <w:tc>
          <w:tcPr>
            <w:tcW w:w="1620" w:type="dxa"/>
            <w:tcBorders>
              <w:top w:val="single" w:sz="4" w:space="0" w:color="auto"/>
              <w:left w:val="single" w:sz="4" w:space="0" w:color="auto"/>
              <w:bottom w:val="single" w:sz="4" w:space="0" w:color="auto"/>
              <w:right w:val="single" w:sz="4" w:space="0" w:color="auto"/>
            </w:tcBorders>
          </w:tcPr>
          <w:p w:rsidR="000B2C18" w:rsidRDefault="009F3C33">
            <w:pPr>
              <w:jc w:val="left"/>
              <w:rPr>
                <w:rFonts w:ascii="Arial" w:hAnsi="Arial" w:cs="Arial"/>
                <w:iCs/>
                <w:sz w:val="20"/>
              </w:rPr>
            </w:pPr>
            <w:r>
              <w:rPr>
                <w:rFonts w:ascii="Arial" w:hAnsi="Arial" w:cs="Arial"/>
                <w:iCs/>
                <w:sz w:val="20"/>
              </w:rPr>
              <w:t>02/17/2023</w:t>
            </w:r>
          </w:p>
        </w:tc>
        <w:tc>
          <w:tcPr>
            <w:tcW w:w="3960" w:type="dxa"/>
            <w:tcBorders>
              <w:top w:val="single" w:sz="4" w:space="0" w:color="auto"/>
              <w:left w:val="single" w:sz="4" w:space="0" w:color="auto"/>
              <w:bottom w:val="single" w:sz="4" w:space="0" w:color="auto"/>
              <w:right w:val="single" w:sz="4" w:space="0" w:color="auto"/>
            </w:tcBorders>
          </w:tcPr>
          <w:p w:rsidR="000B2C18" w:rsidRDefault="000B2C18">
            <w:pPr>
              <w:jc w:val="left"/>
              <w:rPr>
                <w:rFonts w:ascii="Arial" w:hAnsi="Arial" w:cs="Arial"/>
                <w:sz w:val="20"/>
              </w:rPr>
            </w:pPr>
            <w:r>
              <w:rPr>
                <w:rFonts w:ascii="Arial" w:hAnsi="Arial" w:cs="Arial"/>
                <w:sz w:val="20"/>
              </w:rPr>
              <w:t>Initial Version</w:t>
            </w:r>
          </w:p>
        </w:tc>
      </w:tr>
    </w:tbl>
    <w:p w:rsidR="000B2C18" w:rsidRDefault="000B2C18">
      <w:pPr>
        <w:pStyle w:val="Header"/>
        <w:tabs>
          <w:tab w:val="clear" w:pos="4320"/>
          <w:tab w:val="clear" w:pos="8640"/>
        </w:tabs>
        <w:rPr>
          <w:rFonts w:ascii="Arial" w:hAnsi="Arial" w:cs="Arial"/>
        </w:rPr>
      </w:pPr>
    </w:p>
    <w:sectPr w:rsidR="000B2C18">
      <w:headerReference w:type="even" r:id="rId7"/>
      <w:headerReference w:type="default" r:id="rId8"/>
      <w:footerReference w:type="default" r:id="rId9"/>
      <w:headerReference w:type="first" r:id="rId10"/>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C18" w:rsidRDefault="000B2C18">
      <w:r>
        <w:separator/>
      </w:r>
    </w:p>
  </w:endnote>
  <w:endnote w:type="continuationSeparator" w:id="0">
    <w:p w:rsidR="000B2C18" w:rsidRDefault="000B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C18" w:rsidRDefault="000B2C18">
    <w:pPr>
      <w:pStyle w:val="Footer"/>
      <w:pBdr>
        <w:top w:val="single" w:sz="12" w:space="1" w:color="C0C0C0"/>
      </w:pBdr>
      <w:tabs>
        <w:tab w:val="clear" w:pos="8640"/>
        <w:tab w:val="right" w:pos="9720"/>
      </w:tabs>
      <w:ind w:left="-720" w:right="-1080"/>
      <w:rPr>
        <w:rFonts w:ascii="Arial" w:hAnsi="Arial" w:cs="Arial"/>
        <w:sz w:val="16"/>
      </w:rPr>
    </w:pPr>
    <w:r>
      <w:rPr>
        <w:rFonts w:ascii="Arial" w:hAnsi="Arial" w:cs="Arial"/>
        <w:sz w:val="16"/>
      </w:rPr>
      <w:t>Laboratory, Children’s Hospitals and Clinics of Minnesota, Minneapolis/ST. Paul MN.</w:t>
    </w:r>
    <w:r>
      <w:rPr>
        <w:rFonts w:ascii="Arial" w:hAnsi="Arial" w:cs="Arial"/>
        <w:sz w:val="18"/>
      </w:rPr>
      <w:tab/>
      <w:t xml:space="preserve">     </w:t>
    </w: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7F49CE">
      <w:rPr>
        <w:rFonts w:ascii="Arial" w:hAnsi="Arial" w:cs="Arial"/>
        <w:noProof/>
        <w:sz w:val="16"/>
      </w:rPr>
      <w:t>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7F49CE">
      <w:rPr>
        <w:rFonts w:ascii="Arial" w:hAnsi="Arial" w:cs="Arial"/>
        <w:noProof/>
        <w:sz w:val="16"/>
      </w:rPr>
      <w:t>1</w:t>
    </w:r>
    <w:r>
      <w:rPr>
        <w:rFonts w:ascii="Arial" w:hAnsi="Arial" w:cs="Arial"/>
        <w:sz w:val="16"/>
      </w:rPr>
      <w:fldChar w:fldCharType="end"/>
    </w:r>
  </w:p>
  <w:p w:rsidR="000B2C18" w:rsidRDefault="000B2C18">
    <w:pPr>
      <w:ind w:left="-720" w:right="-1260"/>
      <w:rPr>
        <w:rFonts w:ascii="Arial" w:hAnsi="Arial" w:cs="Arial"/>
        <w:sz w:val="16"/>
      </w:rPr>
    </w:pPr>
    <w:r>
      <w:rPr>
        <w:rFonts w:ascii="Arial" w:hAnsi="Arial" w:cs="Arial"/>
        <w:sz w:val="16"/>
      </w:rPr>
      <w:t>Printed copy expires at 2359 on date of print.</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C18" w:rsidRDefault="000B2C18">
      <w:r>
        <w:separator/>
      </w:r>
    </w:p>
  </w:footnote>
  <w:footnote w:type="continuationSeparator" w:id="0">
    <w:p w:rsidR="000B2C18" w:rsidRDefault="000B2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C18" w:rsidRDefault="007F49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240;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40" w:type="dxa"/>
      <w:tblInd w:w="-1152" w:type="dxa"/>
      <w:tblLook w:val="0000" w:firstRow="0" w:lastRow="0" w:firstColumn="0" w:lastColumn="0" w:noHBand="0" w:noVBand="0"/>
    </w:tblPr>
    <w:tblGrid>
      <w:gridCol w:w="5760"/>
      <w:gridCol w:w="5580"/>
    </w:tblGrid>
    <w:tr w:rsidR="000B2C18">
      <w:trPr>
        <w:cantSplit/>
        <w:trHeight w:val="245"/>
      </w:trPr>
      <w:tc>
        <w:tcPr>
          <w:tcW w:w="5760" w:type="dxa"/>
        </w:tcPr>
        <w:p w:rsidR="000B2C18" w:rsidRDefault="000B2C18" w:rsidP="00A726C2">
          <w:pPr>
            <w:pStyle w:val="Header"/>
            <w:tabs>
              <w:tab w:val="clear" w:pos="8640"/>
            </w:tabs>
            <w:rPr>
              <w:rFonts w:ascii="Arial" w:hAnsi="Arial" w:cs="Arial"/>
              <w:sz w:val="18"/>
            </w:rPr>
          </w:pPr>
          <w:r>
            <w:rPr>
              <w:rFonts w:ascii="Arial" w:hAnsi="Arial" w:cs="Arial"/>
              <w:sz w:val="18"/>
            </w:rPr>
            <w:t xml:space="preserve">Procedure: </w:t>
          </w:r>
          <w:r w:rsidR="003F43D3">
            <w:rPr>
              <w:rFonts w:ascii="Arial" w:hAnsi="Arial" w:cs="Arial"/>
              <w:sz w:val="18"/>
            </w:rPr>
            <w:t>Sample Loading on the IH-500</w:t>
          </w:r>
        </w:p>
      </w:tc>
      <w:tc>
        <w:tcPr>
          <w:tcW w:w="5580" w:type="dxa"/>
          <w:vMerge w:val="restart"/>
        </w:tcPr>
        <w:p w:rsidR="000B2C18" w:rsidRDefault="000B2C18" w:rsidP="00673F2A">
          <w:pPr>
            <w:pStyle w:val="Header"/>
            <w:tabs>
              <w:tab w:val="clear" w:pos="8640"/>
            </w:tabs>
          </w:pPr>
          <w:r>
            <w:t xml:space="preserve">                                                          </w:t>
          </w:r>
          <w:r w:rsidR="00D80944" w:rsidRPr="00673F2A">
            <w:rPr>
              <w:noProof/>
            </w:rPr>
            <w:drawing>
              <wp:inline distT="0" distB="0" distL="0" distR="0">
                <wp:extent cx="1190625" cy="381000"/>
                <wp:effectExtent l="0" t="0" r="9525" b="0"/>
                <wp:docPr id="1" name="Picture 1" descr="SM-Childrens-logo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Childrens-logo_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381000"/>
                        </a:xfrm>
                        <a:prstGeom prst="rect">
                          <a:avLst/>
                        </a:prstGeom>
                        <a:noFill/>
                        <a:ln>
                          <a:noFill/>
                        </a:ln>
                      </pic:spPr>
                    </pic:pic>
                  </a:graphicData>
                </a:graphic>
              </wp:inline>
            </w:drawing>
          </w:r>
          <w:r>
            <w:t xml:space="preserve">          </w:t>
          </w:r>
        </w:p>
      </w:tc>
    </w:tr>
    <w:tr w:rsidR="000B2C18">
      <w:trPr>
        <w:cantSplit/>
        <w:trHeight w:val="245"/>
      </w:trPr>
      <w:tc>
        <w:tcPr>
          <w:tcW w:w="5760" w:type="dxa"/>
        </w:tcPr>
        <w:p w:rsidR="000B2C18" w:rsidRDefault="000B2C18" w:rsidP="003F43D3">
          <w:pPr>
            <w:pStyle w:val="Header"/>
            <w:tabs>
              <w:tab w:val="clear" w:pos="8640"/>
            </w:tabs>
            <w:rPr>
              <w:rFonts w:ascii="Arial" w:hAnsi="Arial" w:cs="Arial"/>
              <w:sz w:val="18"/>
            </w:rPr>
          </w:pPr>
          <w:r>
            <w:rPr>
              <w:rFonts w:ascii="Arial" w:hAnsi="Arial" w:cs="Arial"/>
              <w:sz w:val="18"/>
            </w:rPr>
            <w:t xml:space="preserve">Document: </w:t>
          </w:r>
          <w:r w:rsidR="003F43D3">
            <w:rPr>
              <w:rFonts w:ascii="Arial" w:hAnsi="Arial" w:cs="Arial"/>
              <w:sz w:val="18"/>
            </w:rPr>
            <w:t xml:space="preserve">24.16 </w:t>
          </w:r>
          <w:r>
            <w:rPr>
              <w:rFonts w:ascii="Arial" w:hAnsi="Arial" w:cs="Arial"/>
              <w:sz w:val="18"/>
            </w:rPr>
            <w:t xml:space="preserve">Version </w:t>
          </w:r>
          <w:r w:rsidR="00313CCF">
            <w:rPr>
              <w:rFonts w:ascii="Arial" w:hAnsi="Arial" w:cs="Arial"/>
              <w:sz w:val="18"/>
            </w:rPr>
            <w:t>1</w:t>
          </w:r>
        </w:p>
      </w:tc>
      <w:tc>
        <w:tcPr>
          <w:tcW w:w="5580" w:type="dxa"/>
          <w:vMerge/>
        </w:tcPr>
        <w:p w:rsidR="000B2C18" w:rsidRDefault="000B2C18">
          <w:pPr>
            <w:pStyle w:val="Header"/>
            <w:tabs>
              <w:tab w:val="clear" w:pos="8640"/>
            </w:tabs>
          </w:pPr>
        </w:p>
      </w:tc>
    </w:tr>
    <w:tr w:rsidR="000B2C18">
      <w:trPr>
        <w:cantSplit/>
        <w:trHeight w:val="245"/>
      </w:trPr>
      <w:tc>
        <w:tcPr>
          <w:tcW w:w="5760" w:type="dxa"/>
        </w:tcPr>
        <w:p w:rsidR="000B2C18" w:rsidRDefault="000B2C18" w:rsidP="003F43D3">
          <w:pPr>
            <w:pStyle w:val="Header"/>
            <w:tabs>
              <w:tab w:val="clear" w:pos="8640"/>
            </w:tabs>
            <w:rPr>
              <w:rFonts w:ascii="Arial" w:hAnsi="Arial" w:cs="Arial"/>
              <w:sz w:val="18"/>
            </w:rPr>
          </w:pPr>
          <w:r>
            <w:rPr>
              <w:rFonts w:ascii="Arial" w:hAnsi="Arial" w:cs="Arial"/>
              <w:sz w:val="18"/>
            </w:rPr>
            <w:t xml:space="preserve">Effective Date: </w:t>
          </w:r>
          <w:r w:rsidR="003F43D3">
            <w:rPr>
              <w:rFonts w:ascii="Arial" w:hAnsi="Arial" w:cs="Arial"/>
              <w:sz w:val="18"/>
            </w:rPr>
            <w:t>02/17/2023</w:t>
          </w:r>
        </w:p>
      </w:tc>
      <w:tc>
        <w:tcPr>
          <w:tcW w:w="5580" w:type="dxa"/>
          <w:vMerge/>
        </w:tcPr>
        <w:p w:rsidR="000B2C18" w:rsidRDefault="000B2C18">
          <w:pPr>
            <w:pStyle w:val="Header"/>
            <w:tabs>
              <w:tab w:val="clear" w:pos="8640"/>
            </w:tabs>
          </w:pPr>
        </w:p>
      </w:tc>
    </w:tr>
  </w:tbl>
  <w:p w:rsidR="000B2C18" w:rsidRDefault="000B2C18">
    <w:pPr>
      <w:pStyle w:val="Header"/>
      <w:rPr>
        <w:rFonts w:ascii="Calibri" w:hAnsi="Calibri"/>
        <w:b/>
        <w:bCs/>
        <w:sz w:val="16"/>
      </w:rPr>
    </w:pPr>
  </w:p>
  <w:p w:rsidR="000B2C18" w:rsidRDefault="000B2C18">
    <w:pPr>
      <w:ind w:right="-1260"/>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C18" w:rsidRDefault="007F49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264;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2A46D18"/>
    <w:multiLevelType w:val="hybridMultilevel"/>
    <w:tmpl w:val="C3BA6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203A6"/>
    <w:multiLevelType w:val="hybridMultilevel"/>
    <w:tmpl w:val="3684F88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F264A4"/>
    <w:multiLevelType w:val="hybridMultilevel"/>
    <w:tmpl w:val="E5A46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F07150"/>
    <w:multiLevelType w:val="hybridMultilevel"/>
    <w:tmpl w:val="67C8E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990EA9"/>
    <w:multiLevelType w:val="hybridMultilevel"/>
    <w:tmpl w:val="23D63D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24A5F0C"/>
    <w:multiLevelType w:val="hybridMultilevel"/>
    <w:tmpl w:val="45FA0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66D01D1"/>
    <w:multiLevelType w:val="hybridMultilevel"/>
    <w:tmpl w:val="CAC46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DE4A2F"/>
    <w:multiLevelType w:val="hybridMultilevel"/>
    <w:tmpl w:val="7FE886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F25D78"/>
    <w:multiLevelType w:val="hybridMultilevel"/>
    <w:tmpl w:val="34480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4C69C7"/>
    <w:multiLevelType w:val="hybridMultilevel"/>
    <w:tmpl w:val="859AE57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45775FB"/>
    <w:multiLevelType w:val="hybridMultilevel"/>
    <w:tmpl w:val="DF32F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6"/>
  </w:num>
  <w:num w:numId="4">
    <w:abstractNumId w:val="10"/>
  </w:num>
  <w:num w:numId="5">
    <w:abstractNumId w:val="9"/>
  </w:num>
  <w:num w:numId="6">
    <w:abstractNumId w:val="11"/>
  </w:num>
  <w:num w:numId="7">
    <w:abstractNumId w:val="8"/>
  </w:num>
  <w:num w:numId="8">
    <w:abstractNumId w:val="2"/>
  </w:num>
  <w:num w:numId="9">
    <w:abstractNumId w:val="5"/>
  </w:num>
  <w:num w:numId="10">
    <w:abstractNumId w:val="3"/>
  </w:num>
  <w:num w:numId="11">
    <w:abstractNumId w:val="4"/>
  </w:num>
  <w:num w:numId="1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F2A"/>
    <w:rsid w:val="000B2C18"/>
    <w:rsid w:val="00313CCF"/>
    <w:rsid w:val="003F43D3"/>
    <w:rsid w:val="00596351"/>
    <w:rsid w:val="00673F2A"/>
    <w:rsid w:val="007F49CE"/>
    <w:rsid w:val="009A2BC0"/>
    <w:rsid w:val="009F3C33"/>
    <w:rsid w:val="00A726C2"/>
    <w:rsid w:val="00D00FB4"/>
    <w:rsid w:val="00D80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chartTrackingRefBased/>
  <w15:docId w15:val="{2753D3BD-B6A2-44A7-AFCB-3E8C31191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4"/>
    </w:rPr>
  </w:style>
  <w:style w:type="paragraph" w:styleId="Heading1">
    <w:name w:val="heading 1"/>
    <w:basedOn w:val="Normal"/>
    <w:next w:val="Normal"/>
    <w:qFormat/>
    <w:pPr>
      <w:keepNext/>
      <w:numPr>
        <w:numId w:val="1"/>
      </w:numPr>
      <w:outlineLvl w:val="0"/>
    </w:pPr>
    <w:rPr>
      <w:rFonts w:cs="Arial"/>
      <w:b/>
      <w:bCs/>
      <w:kern w:val="32"/>
      <w:sz w:val="26"/>
      <w:szCs w:val="32"/>
    </w:rPr>
  </w:style>
  <w:style w:type="paragraph" w:styleId="Heading2">
    <w:name w:val="heading 2"/>
    <w:basedOn w:val="Normal"/>
    <w:next w:val="Normal"/>
    <w:qFormat/>
    <w:pPr>
      <w:keepNext/>
      <w:numPr>
        <w:ilvl w:val="1"/>
        <w:numId w:val="1"/>
      </w:numPr>
      <w:outlineLvl w:val="1"/>
    </w:pPr>
    <w:rPr>
      <w:rFonts w:cs="Arial"/>
      <w:b/>
      <w:bCs/>
      <w:iCs/>
      <w:sz w:val="24"/>
      <w:szCs w:val="28"/>
    </w:rPr>
  </w:style>
  <w:style w:type="paragraph" w:styleId="Heading3">
    <w:name w:val="heading 3"/>
    <w:basedOn w:val="Normal"/>
    <w:next w:val="Normal"/>
    <w:qFormat/>
    <w:pPr>
      <w:keepNext/>
      <w:numPr>
        <w:ilvl w:val="2"/>
        <w:numId w:val="1"/>
      </w:numPr>
      <w:outlineLvl w:val="2"/>
    </w:pPr>
    <w:rPr>
      <w:rFonts w:cs="Arial"/>
      <w:b/>
      <w:bCs/>
      <w:szCs w:val="26"/>
    </w:rPr>
  </w:style>
  <w:style w:type="paragraph" w:styleId="Heading4">
    <w:name w:val="heading 4"/>
    <w:aliases w:val="Map Title"/>
    <w:basedOn w:val="Normal"/>
    <w:next w:val="Normal"/>
    <w:qFormat/>
    <w:pPr>
      <w:keepNext/>
      <w:numPr>
        <w:ilvl w:val="3"/>
        <w:numId w:val="1"/>
      </w:numPr>
      <w:outlineLvl w:val="3"/>
    </w:pPr>
    <w:rPr>
      <w:bCs/>
      <w:szCs w:val="28"/>
    </w:rPr>
  </w:style>
  <w:style w:type="paragraph" w:styleId="Heading5">
    <w:name w:val="heading 5"/>
    <w:aliases w:val="Block Label"/>
    <w:basedOn w:val="Normal"/>
    <w:next w:val="Normal"/>
    <w:qFormat/>
    <w:pPr>
      <w:keepNext/>
      <w:numPr>
        <w:ilvl w:val="4"/>
        <w:numId w:val="1"/>
      </w:numPr>
      <w:spacing w:before="20"/>
      <w:outlineLvl w:val="4"/>
    </w:pPr>
  </w:style>
  <w:style w:type="paragraph" w:styleId="Heading6">
    <w:name w:val="heading 6"/>
    <w:basedOn w:val="Normal"/>
    <w:next w:val="Normal"/>
    <w:qFormat/>
    <w:pPr>
      <w:keepNext/>
      <w:numPr>
        <w:ilvl w:val="5"/>
        <w:numId w:val="1"/>
      </w:numPr>
      <w:outlineLvl w:val="5"/>
    </w:pPr>
    <w:rPr>
      <w:b/>
      <w:bCs/>
      <w:sz w:val="18"/>
    </w:rPr>
  </w:style>
  <w:style w:type="paragraph" w:styleId="Heading7">
    <w:name w:val="heading 7"/>
    <w:basedOn w:val="Normal"/>
    <w:next w:val="Normal"/>
    <w:qFormat/>
    <w:pPr>
      <w:keepNext/>
      <w:numPr>
        <w:ilvl w:val="6"/>
        <w:numId w:val="1"/>
      </w:numPr>
      <w:outlineLvl w:val="6"/>
    </w:pPr>
    <w:rPr>
      <w:sz w:val="28"/>
    </w:rPr>
  </w:style>
  <w:style w:type="paragraph" w:styleId="Heading8">
    <w:name w:val="heading 8"/>
    <w:basedOn w:val="Normal"/>
    <w:next w:val="Normal"/>
    <w:qFormat/>
    <w:pPr>
      <w:keepNext/>
      <w:numPr>
        <w:ilvl w:val="7"/>
        <w:numId w:val="1"/>
      </w:numPr>
      <w:jc w:val="center"/>
      <w:outlineLvl w:val="7"/>
    </w:pPr>
    <w:rPr>
      <w:b/>
      <w:bCs/>
    </w:rPr>
  </w:style>
  <w:style w:type="paragraph" w:styleId="Heading9">
    <w:name w:val="heading 9"/>
    <w:basedOn w:val="Normal"/>
    <w:next w:val="Normal"/>
    <w:qFormat/>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Cs/>
      <w:iCs/>
      <w:color w:val="000000"/>
    </w:rPr>
  </w:style>
  <w:style w:type="paragraph" w:styleId="Header">
    <w:name w:val="header"/>
    <w:basedOn w:val="Normal"/>
    <w:semiHidden/>
    <w:pPr>
      <w:tabs>
        <w:tab w:val="center" w:pos="4320"/>
        <w:tab w:val="right" w:pos="8640"/>
      </w:tabs>
    </w:pPr>
  </w:style>
  <w:style w:type="paragraph" w:styleId="List">
    <w:name w:val="List"/>
    <w:basedOn w:val="Normal"/>
    <w:semiHidden/>
    <w:pPr>
      <w:ind w:left="360" w:hanging="360"/>
    </w:pPr>
  </w:style>
  <w:style w:type="paragraph" w:styleId="Title">
    <w:name w:val="Title"/>
    <w:basedOn w:val="Normal"/>
    <w:qFormat/>
    <w:pPr>
      <w:spacing w:before="240" w:after="60"/>
      <w:jc w:val="center"/>
    </w:pPr>
    <w:rPr>
      <w:rFonts w:cs="Arial"/>
      <w:b/>
      <w:bCs/>
      <w:kern w:val="28"/>
      <w:sz w:val="28"/>
      <w:szCs w:val="32"/>
    </w:rPr>
  </w:style>
  <w:style w:type="paragraph" w:styleId="BodyText2">
    <w:name w:val="Body Text 2"/>
    <w:basedOn w:val="Normal"/>
    <w:semiHidden/>
    <w:pPr>
      <w:jc w:val="left"/>
    </w:pPr>
    <w:rPr>
      <w:b/>
      <w:bCs/>
      <w:color w:val="0000FF"/>
    </w:rPr>
  </w:style>
  <w:style w:type="paragraph" w:styleId="Footer">
    <w:name w:val="footer"/>
    <w:basedOn w:val="Normal"/>
    <w:semiHidden/>
    <w:pPr>
      <w:tabs>
        <w:tab w:val="center" w:pos="4320"/>
        <w:tab w:val="right" w:pos="8640"/>
      </w:tabs>
    </w:pPr>
  </w:style>
  <w:style w:type="character" w:styleId="FootnoteReference">
    <w:name w:val="footnote reference"/>
    <w:basedOn w:val="DefaultParagraphFont"/>
    <w:semiHidden/>
    <w:rPr>
      <w:rFonts w:ascii="Times New Roman" w:hAnsi="Times New Roman"/>
      <w:sz w:val="18"/>
      <w:vertAlign w:val="superscript"/>
    </w:rPr>
  </w:style>
  <w:style w:type="paragraph" w:customStyle="1" w:styleId="Heading">
    <w:name w:val="Heading"/>
    <w:basedOn w:val="Heading1"/>
    <w:next w:val="Normal"/>
    <w:pPr>
      <w:numPr>
        <w:numId w:val="0"/>
      </w:numPr>
    </w:pPr>
  </w:style>
  <w:style w:type="paragraph" w:customStyle="1" w:styleId="TableText">
    <w:name w:val="Table Text"/>
    <w:basedOn w:val="Normal"/>
    <w:pPr>
      <w:autoSpaceDE w:val="0"/>
      <w:autoSpaceDN w:val="0"/>
      <w:jc w:val="left"/>
    </w:pPr>
    <w:rPr>
      <w:sz w:val="20"/>
    </w:rPr>
  </w:style>
  <w:style w:type="paragraph" w:customStyle="1" w:styleId="TableHeaderText">
    <w:name w:val="Table Header Text"/>
    <w:basedOn w:val="TableText"/>
    <w:pPr>
      <w:jc w:val="center"/>
    </w:pPr>
    <w:rPr>
      <w:b/>
      <w:bCs/>
    </w:rPr>
  </w:style>
  <w:style w:type="paragraph" w:styleId="BodyText3">
    <w:name w:val="Body Text 3"/>
    <w:basedOn w:val="Normal"/>
    <w:semiHidden/>
    <w:rPr>
      <w:b/>
      <w:color w:val="0000FF"/>
    </w:rPr>
  </w:style>
  <w:style w:type="paragraph" w:styleId="BodyTextIndent">
    <w:name w:val="Body Text Indent"/>
    <w:basedOn w:val="Normal"/>
    <w:semiHidden/>
    <w:pPr>
      <w:spacing w:after="120"/>
      <w:ind w:left="360"/>
    </w:pPr>
  </w:style>
  <w:style w:type="paragraph" w:styleId="ListParagraph">
    <w:name w:val="List Paragraph"/>
    <w:basedOn w:val="Normal"/>
    <w:uiPriority w:val="34"/>
    <w:qFormat/>
    <w:rsid w:val="00D00F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361</Words>
  <Characters>1693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subject/>
  <dc:creator>CE139279</dc:creator>
  <cp:keywords/>
  <dc:description/>
  <cp:lastModifiedBy>Julia Hudgens</cp:lastModifiedBy>
  <cp:revision>4</cp:revision>
  <cp:lastPrinted>2011-07-13T19:16:00Z</cp:lastPrinted>
  <dcterms:created xsi:type="dcterms:W3CDTF">2023-01-27T19:16:00Z</dcterms:created>
  <dcterms:modified xsi:type="dcterms:W3CDTF">2023-02-02T17:27:00Z</dcterms:modified>
</cp:coreProperties>
</file>