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700"/>
        <w:gridCol w:w="1620"/>
        <w:gridCol w:w="3960"/>
      </w:tblGrid>
      <w:tr w:rsidR="000B2C18">
        <w:trPr>
          <w:cantSplit/>
        </w:trPr>
        <w:tc>
          <w:tcPr>
            <w:tcW w:w="10980" w:type="dxa"/>
            <w:gridSpan w:val="6"/>
            <w:tcBorders>
              <w:top w:val="nil"/>
              <w:left w:val="nil"/>
              <w:bottom w:val="nil"/>
              <w:right w:val="nil"/>
            </w:tcBorders>
          </w:tcPr>
          <w:p w:rsidR="000B2C18" w:rsidRDefault="00E15224">
            <w:pPr>
              <w:rPr>
                <w:rFonts w:ascii="Arial" w:hAnsi="Arial" w:cs="Arial"/>
                <w:b/>
                <w:bCs/>
                <w:color w:val="3366FF"/>
                <w:sz w:val="36"/>
              </w:rPr>
            </w:pPr>
            <w:r>
              <w:rPr>
                <w:rFonts w:ascii="Arial" w:hAnsi="Arial" w:cs="Arial"/>
                <w:b/>
                <w:bCs/>
                <w:color w:val="3366FF"/>
                <w:sz w:val="36"/>
              </w:rPr>
              <w:t>Handling of Failed Controls on the IH-500</w:t>
            </w:r>
          </w:p>
          <w:p w:rsidR="000B2C18" w:rsidRDefault="000B2C18">
            <w:pPr>
              <w:pStyle w:val="BodyText"/>
              <w:rPr>
                <w:rFonts w:ascii="Arial" w:hAnsi="Arial" w:cs="Arial"/>
                <w:sz w:val="24"/>
              </w:rPr>
            </w:pPr>
          </w:p>
        </w:tc>
      </w:tr>
      <w:tr w:rsidR="001A5933">
        <w:trPr>
          <w:cantSplit/>
          <w:trHeight w:val="780"/>
        </w:trPr>
        <w:tc>
          <w:tcPr>
            <w:tcW w:w="1620" w:type="dxa"/>
            <w:tcBorders>
              <w:top w:val="nil"/>
              <w:left w:val="nil"/>
              <w:bottom w:val="nil"/>
              <w:right w:val="nil"/>
            </w:tcBorders>
          </w:tcPr>
          <w:p w:rsidR="001A5933" w:rsidRDefault="001A5933" w:rsidP="001A5933">
            <w:pPr>
              <w:pStyle w:val="Header"/>
              <w:tabs>
                <w:tab w:val="clear" w:pos="4320"/>
                <w:tab w:val="clear" w:pos="8640"/>
              </w:tabs>
              <w:rPr>
                <w:rFonts w:ascii="Arial" w:hAnsi="Arial" w:cs="Arial"/>
                <w:b/>
                <w:sz w:val="20"/>
              </w:rPr>
            </w:pPr>
          </w:p>
          <w:p w:rsidR="001A5933" w:rsidRDefault="001A5933" w:rsidP="001A5933">
            <w:pPr>
              <w:rPr>
                <w:rFonts w:ascii="Arial" w:hAnsi="Arial" w:cs="Arial"/>
                <w:b/>
                <w:bCs/>
                <w:color w:val="3366FF"/>
                <w:sz w:val="20"/>
              </w:rPr>
            </w:pPr>
            <w:r>
              <w:rPr>
                <w:rFonts w:ascii="Arial" w:hAnsi="Arial" w:cs="Arial"/>
                <w:b/>
                <w:bCs/>
                <w:color w:val="3366FF"/>
                <w:sz w:val="20"/>
              </w:rPr>
              <w:t>Purpose</w:t>
            </w:r>
          </w:p>
        </w:tc>
        <w:tc>
          <w:tcPr>
            <w:tcW w:w="9360" w:type="dxa"/>
            <w:gridSpan w:val="5"/>
            <w:tcBorders>
              <w:top w:val="single" w:sz="12" w:space="0" w:color="C0C0C0"/>
              <w:left w:val="nil"/>
              <w:bottom w:val="single" w:sz="12" w:space="0" w:color="C0C0C0"/>
              <w:right w:val="nil"/>
            </w:tcBorders>
          </w:tcPr>
          <w:p w:rsidR="001A5933" w:rsidRDefault="001A5933" w:rsidP="001A5933">
            <w:pPr>
              <w:pStyle w:val="BodyText"/>
              <w:jc w:val="left"/>
              <w:rPr>
                <w:rFonts w:ascii="Arial" w:hAnsi="Arial" w:cs="Arial"/>
              </w:rPr>
            </w:pPr>
          </w:p>
          <w:p w:rsidR="001A5933" w:rsidRDefault="001A5933" w:rsidP="001A5933">
            <w:pPr>
              <w:pStyle w:val="TableText"/>
              <w:autoSpaceDE/>
              <w:autoSpaceDN/>
              <w:rPr>
                <w:rFonts w:ascii="Arial" w:hAnsi="Arial" w:cs="Arial"/>
              </w:rPr>
            </w:pPr>
            <w:r>
              <w:rPr>
                <w:rFonts w:ascii="Arial" w:hAnsi="Arial" w:cs="Arial"/>
              </w:rPr>
              <w:t>This procedure provides instructions to ensure that any quality control result performed on the IH-500 that does not meet the expected value is handled in an appropriate manner.</w:t>
            </w:r>
          </w:p>
        </w:tc>
      </w:tr>
      <w:tr w:rsidR="001A5933">
        <w:trPr>
          <w:cantSplit/>
          <w:trHeight w:val="627"/>
        </w:trPr>
        <w:tc>
          <w:tcPr>
            <w:tcW w:w="1620" w:type="dxa"/>
            <w:tcBorders>
              <w:top w:val="nil"/>
              <w:left w:val="nil"/>
              <w:bottom w:val="nil"/>
              <w:right w:val="nil"/>
            </w:tcBorders>
          </w:tcPr>
          <w:p w:rsidR="001A5933" w:rsidRDefault="001A5933" w:rsidP="001A5933">
            <w:pPr>
              <w:rPr>
                <w:rFonts w:ascii="Arial" w:hAnsi="Arial" w:cs="Arial"/>
                <w:b/>
                <w:bCs/>
                <w:color w:val="3366FF"/>
                <w:sz w:val="20"/>
              </w:rPr>
            </w:pPr>
          </w:p>
          <w:p w:rsidR="001A5933" w:rsidRDefault="001A5933" w:rsidP="001A5933">
            <w:pPr>
              <w:rPr>
                <w:rFonts w:ascii="Arial" w:hAnsi="Arial" w:cs="Arial"/>
                <w:b/>
                <w:bCs/>
                <w:color w:val="3366FF"/>
                <w:sz w:val="20"/>
              </w:rPr>
            </w:pPr>
            <w:r>
              <w:rPr>
                <w:rFonts w:ascii="Arial" w:hAnsi="Arial" w:cs="Arial"/>
                <w:b/>
                <w:bCs/>
                <w:color w:val="3366FF"/>
                <w:sz w:val="20"/>
              </w:rPr>
              <w:t>Policy Statements</w:t>
            </w:r>
          </w:p>
        </w:tc>
        <w:tc>
          <w:tcPr>
            <w:tcW w:w="9360" w:type="dxa"/>
            <w:gridSpan w:val="5"/>
            <w:tcBorders>
              <w:top w:val="single" w:sz="12" w:space="0" w:color="C0C0C0"/>
              <w:left w:val="nil"/>
              <w:bottom w:val="single" w:sz="12" w:space="0" w:color="C0C0C0"/>
              <w:right w:val="nil"/>
            </w:tcBorders>
          </w:tcPr>
          <w:p w:rsidR="001A5933" w:rsidRPr="006E4F6B" w:rsidRDefault="001A5933" w:rsidP="001A5933">
            <w:pPr>
              <w:jc w:val="left"/>
              <w:rPr>
                <w:rFonts w:ascii="Arial" w:hAnsi="Arial" w:cs="Arial"/>
                <w:iCs/>
                <w:sz w:val="20"/>
              </w:rPr>
            </w:pPr>
          </w:p>
          <w:p w:rsidR="001A5933" w:rsidRPr="006E4F6B" w:rsidRDefault="001A5933" w:rsidP="001A5933">
            <w:pPr>
              <w:pStyle w:val="ListParagraph"/>
              <w:numPr>
                <w:ilvl w:val="0"/>
                <w:numId w:val="10"/>
              </w:numPr>
              <w:tabs>
                <w:tab w:val="left" w:pos="432"/>
              </w:tabs>
              <w:jc w:val="left"/>
              <w:rPr>
                <w:rFonts w:ascii="Arial" w:hAnsi="Arial" w:cs="Arial"/>
                <w:iCs/>
                <w:sz w:val="20"/>
              </w:rPr>
            </w:pPr>
            <w:r w:rsidRPr="006E4F6B">
              <w:rPr>
                <w:rFonts w:ascii="Arial" w:hAnsi="Arial" w:cs="Arial"/>
                <w:iCs/>
                <w:sz w:val="20"/>
              </w:rPr>
              <w:t>The quality control fails if a result for a QC sample obtained by the IH-</w:t>
            </w:r>
            <w:r>
              <w:rPr>
                <w:rFonts w:ascii="Arial" w:hAnsi="Arial" w:cs="Arial"/>
                <w:iCs/>
                <w:sz w:val="20"/>
              </w:rPr>
              <w:t>500</w:t>
            </w:r>
            <w:r w:rsidRPr="006E4F6B">
              <w:rPr>
                <w:rFonts w:ascii="Arial" w:hAnsi="Arial" w:cs="Arial"/>
                <w:iCs/>
                <w:sz w:val="20"/>
              </w:rPr>
              <w:t xml:space="preserve"> differs from the defined target result.</w:t>
            </w:r>
          </w:p>
          <w:p w:rsidR="001A5933" w:rsidRPr="006E4F6B" w:rsidRDefault="001A5933" w:rsidP="001A5933">
            <w:pPr>
              <w:pStyle w:val="ListParagraph"/>
              <w:numPr>
                <w:ilvl w:val="0"/>
                <w:numId w:val="10"/>
              </w:numPr>
              <w:tabs>
                <w:tab w:val="left" w:pos="432"/>
              </w:tabs>
              <w:jc w:val="left"/>
              <w:rPr>
                <w:rFonts w:ascii="Arial" w:hAnsi="Arial" w:cs="Arial"/>
                <w:iCs/>
                <w:sz w:val="20"/>
              </w:rPr>
            </w:pPr>
            <w:r w:rsidRPr="006E4F6B">
              <w:rPr>
                <w:rFonts w:ascii="Arial" w:hAnsi="Arial" w:cs="Arial"/>
                <w:iCs/>
                <w:sz w:val="20"/>
              </w:rPr>
              <w:t>Failed Controls and all samples processed after the failed control will be flagged in IH-Com.</w:t>
            </w:r>
          </w:p>
          <w:p w:rsidR="001A5933" w:rsidRPr="006E4F6B" w:rsidRDefault="001A5933" w:rsidP="001A5933">
            <w:pPr>
              <w:pStyle w:val="ListParagraph"/>
              <w:numPr>
                <w:ilvl w:val="0"/>
                <w:numId w:val="10"/>
              </w:numPr>
              <w:tabs>
                <w:tab w:val="left" w:pos="432"/>
              </w:tabs>
              <w:jc w:val="left"/>
              <w:rPr>
                <w:rFonts w:ascii="Arial" w:hAnsi="Arial" w:cs="Arial"/>
                <w:iCs/>
                <w:sz w:val="20"/>
              </w:rPr>
            </w:pPr>
            <w:r w:rsidRPr="006E4F6B">
              <w:rPr>
                <w:rFonts w:ascii="Arial" w:hAnsi="Arial" w:cs="Arial"/>
                <w:iCs/>
                <w:sz w:val="20"/>
              </w:rPr>
              <w:t>Samples will continue to be indicated with a red QC flag until the issue has been resolve and acceptable QC run.</w:t>
            </w:r>
          </w:p>
          <w:p w:rsidR="001A5933" w:rsidRDefault="001A5933" w:rsidP="001A5933">
            <w:pPr>
              <w:tabs>
                <w:tab w:val="left" w:pos="432"/>
              </w:tabs>
              <w:jc w:val="left"/>
              <w:rPr>
                <w:rFonts w:ascii="Arial" w:hAnsi="Arial" w:cs="Arial"/>
                <w:iCs/>
                <w:sz w:val="20"/>
              </w:rPr>
            </w:pPr>
          </w:p>
        </w:tc>
      </w:tr>
      <w:tr w:rsidR="000B2C18">
        <w:tc>
          <w:tcPr>
            <w:tcW w:w="1620" w:type="dxa"/>
            <w:tcBorders>
              <w:top w:val="nil"/>
              <w:left w:val="nil"/>
              <w:bottom w:val="nil"/>
              <w:right w:val="nil"/>
            </w:tcBorders>
          </w:tcPr>
          <w:p w:rsidR="000B2C18" w:rsidRDefault="000B2C18">
            <w:pPr>
              <w:rPr>
                <w:rFonts w:ascii="Arial" w:hAnsi="Arial" w:cs="Arial"/>
                <w:b/>
                <w:color w:val="3366FF"/>
                <w:sz w:val="20"/>
              </w:rPr>
            </w:pPr>
          </w:p>
          <w:p w:rsidR="000B2C18" w:rsidRDefault="000B2C18">
            <w:pPr>
              <w:jc w:val="left"/>
              <w:rPr>
                <w:rFonts w:ascii="Arial" w:hAnsi="Arial" w:cs="Arial"/>
                <w:color w:val="3366FF"/>
                <w:sz w:val="20"/>
              </w:rPr>
            </w:pPr>
            <w:r>
              <w:rPr>
                <w:rFonts w:ascii="Arial" w:hAnsi="Arial" w:cs="Arial"/>
                <w:b/>
                <w:color w:val="3366FF"/>
                <w:sz w:val="20"/>
              </w:rPr>
              <w:t>Procedure</w:t>
            </w:r>
          </w:p>
        </w:tc>
        <w:tc>
          <w:tcPr>
            <w:tcW w:w="9360" w:type="dxa"/>
            <w:gridSpan w:val="5"/>
            <w:tcBorders>
              <w:top w:val="single" w:sz="12" w:space="0" w:color="C0C0C0"/>
              <w:left w:val="nil"/>
              <w:bottom w:val="single" w:sz="4" w:space="0" w:color="auto"/>
              <w:right w:val="nil"/>
            </w:tcBorders>
          </w:tcPr>
          <w:p w:rsidR="000B2C18" w:rsidRDefault="000B2C18">
            <w:pPr>
              <w:jc w:val="left"/>
              <w:rPr>
                <w:rFonts w:ascii="Arial" w:hAnsi="Arial" w:cs="Arial"/>
                <w:sz w:val="20"/>
              </w:rPr>
            </w:pPr>
          </w:p>
          <w:p w:rsidR="000B2C18" w:rsidRDefault="000B2C18">
            <w:pPr>
              <w:jc w:val="left"/>
              <w:rPr>
                <w:rFonts w:ascii="Arial" w:hAnsi="Arial" w:cs="Arial"/>
                <w:sz w:val="20"/>
              </w:rPr>
            </w:pPr>
          </w:p>
        </w:tc>
      </w:tr>
      <w:tr w:rsidR="000B2C18">
        <w:trPr>
          <w:cantSplit/>
        </w:trPr>
        <w:tc>
          <w:tcPr>
            <w:tcW w:w="1620" w:type="dxa"/>
            <w:tcBorders>
              <w:top w:val="nil"/>
              <w:left w:val="nil"/>
              <w:bottom w:val="nil"/>
              <w:right w:val="single" w:sz="4" w:space="0" w:color="auto"/>
            </w:tcBorders>
          </w:tcPr>
          <w:p w:rsidR="000B2C18" w:rsidRDefault="000B2C18">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rsidR="000B2C18" w:rsidRDefault="000B2C18">
            <w:pPr>
              <w:jc w:val="center"/>
              <w:rPr>
                <w:rFonts w:ascii="Arial" w:hAnsi="Arial" w:cs="Arial"/>
              </w:rPr>
            </w:pPr>
            <w:r>
              <w:rPr>
                <w:rFonts w:ascii="Arial" w:hAnsi="Arial" w:cs="Arial"/>
                <w:b/>
                <w:bCs/>
                <w:sz w:val="20"/>
              </w:rPr>
              <w:t>Step</w:t>
            </w:r>
          </w:p>
        </w:tc>
        <w:tc>
          <w:tcPr>
            <w:tcW w:w="8588" w:type="dxa"/>
            <w:gridSpan w:val="4"/>
            <w:tcBorders>
              <w:top w:val="single" w:sz="4" w:space="0" w:color="auto"/>
              <w:left w:val="single" w:sz="4" w:space="0" w:color="auto"/>
              <w:bottom w:val="single" w:sz="4" w:space="0" w:color="auto"/>
            </w:tcBorders>
            <w:shd w:val="clear" w:color="auto" w:fill="F3F3F3"/>
          </w:tcPr>
          <w:p w:rsidR="000B2C18" w:rsidRDefault="000B2C18">
            <w:pPr>
              <w:pStyle w:val="TableHeaderText"/>
              <w:autoSpaceDE/>
              <w:autoSpaceDN/>
              <w:rPr>
                <w:rFonts w:ascii="Arial" w:hAnsi="Arial" w:cs="Arial"/>
              </w:rPr>
            </w:pPr>
            <w:r>
              <w:rPr>
                <w:rFonts w:ascii="Arial" w:hAnsi="Arial" w:cs="Arial"/>
              </w:rPr>
              <w:t>Action</w:t>
            </w:r>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1</w:t>
            </w:r>
          </w:p>
        </w:tc>
        <w:tc>
          <w:tcPr>
            <w:tcW w:w="8588" w:type="dxa"/>
            <w:gridSpan w:val="4"/>
            <w:tcBorders>
              <w:top w:val="single" w:sz="4" w:space="0" w:color="auto"/>
              <w:left w:val="single" w:sz="6" w:space="0" w:color="auto"/>
            </w:tcBorders>
          </w:tcPr>
          <w:p w:rsidR="000B2C18" w:rsidRDefault="001A5933">
            <w:pPr>
              <w:jc w:val="left"/>
              <w:rPr>
                <w:rFonts w:ascii="Arial" w:hAnsi="Arial" w:cs="Arial"/>
                <w:sz w:val="20"/>
              </w:rPr>
            </w:pPr>
            <w:r>
              <w:rPr>
                <w:rFonts w:ascii="Arial" w:hAnsi="Arial" w:cs="Arial"/>
                <w:sz w:val="20"/>
              </w:rPr>
              <w:t>If QC fails, or has exceeded the pre-set time allotted for controls to be within limits, the “QC” tab in IH-Com will flash red. Select the “QC” tab to determine which reagents are affected.</w:t>
            </w:r>
          </w:p>
          <w:p w:rsidR="001A5933" w:rsidRPr="001A5933" w:rsidRDefault="001A5933" w:rsidP="001A5933">
            <w:pPr>
              <w:pStyle w:val="ListParagraph"/>
              <w:numPr>
                <w:ilvl w:val="0"/>
                <w:numId w:val="11"/>
              </w:numPr>
              <w:jc w:val="left"/>
              <w:rPr>
                <w:rFonts w:ascii="Arial" w:hAnsi="Arial" w:cs="Arial"/>
                <w:sz w:val="20"/>
              </w:rPr>
            </w:pPr>
            <w:r>
              <w:rPr>
                <w:rFonts w:ascii="Arial" w:hAnsi="Arial" w:cs="Arial"/>
                <w:sz w:val="20"/>
              </w:rPr>
              <w:t>Reagents affected will have a red flashing symbol beside them</w:t>
            </w:r>
          </w:p>
          <w:p w:rsidR="000B2C18" w:rsidRDefault="000B2C18">
            <w:pPr>
              <w:jc w:val="left"/>
              <w:rPr>
                <w:rFonts w:ascii="Arial" w:hAnsi="Arial" w:cs="Arial"/>
                <w:sz w:val="20"/>
              </w:rPr>
            </w:pPr>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nil"/>
            </w:tcBorders>
          </w:tcPr>
          <w:p w:rsidR="000B2C18" w:rsidRDefault="002F09E4">
            <w:pPr>
              <w:jc w:val="left"/>
              <w:rPr>
                <w:rFonts w:ascii="Arial" w:hAnsi="Arial" w:cs="Arial"/>
                <w:sz w:val="20"/>
              </w:rPr>
            </w:pPr>
            <w:r>
              <w:rPr>
                <w:rFonts w:ascii="Arial" w:hAnsi="Arial" w:cs="Arial"/>
                <w:sz w:val="20"/>
              </w:rPr>
              <w:t>Select the “Results” tab to review the results of the failed control(s).</w:t>
            </w:r>
          </w:p>
          <w:p w:rsidR="002F09E4" w:rsidRPr="002F09E4" w:rsidRDefault="002F09E4" w:rsidP="002F09E4">
            <w:pPr>
              <w:pStyle w:val="ListParagraph"/>
              <w:numPr>
                <w:ilvl w:val="0"/>
                <w:numId w:val="12"/>
              </w:numPr>
              <w:jc w:val="left"/>
              <w:rPr>
                <w:rFonts w:ascii="Arial" w:hAnsi="Arial" w:cs="Arial"/>
                <w:sz w:val="20"/>
              </w:rPr>
            </w:pPr>
            <w:r>
              <w:rPr>
                <w:rFonts w:ascii="Arial" w:hAnsi="Arial" w:cs="Arial"/>
                <w:sz w:val="20"/>
              </w:rPr>
              <w:t>Hover over each reagent with the mouse for more detailed information.</w:t>
            </w:r>
          </w:p>
          <w:p w:rsidR="000B2C18" w:rsidRDefault="000B2C18">
            <w:pPr>
              <w:jc w:val="left"/>
              <w:rPr>
                <w:rFonts w:ascii="Arial" w:hAnsi="Arial" w:cs="Arial"/>
                <w:sz w:val="20"/>
              </w:rPr>
            </w:pPr>
          </w:p>
        </w:tc>
      </w:tr>
      <w:tr w:rsidR="002F09E4" w:rsidTr="002F09E4">
        <w:trPr>
          <w:cantSplit/>
          <w:trHeight w:val="507"/>
        </w:trPr>
        <w:tc>
          <w:tcPr>
            <w:tcW w:w="1620" w:type="dxa"/>
            <w:tcBorders>
              <w:top w:val="nil"/>
              <w:left w:val="nil"/>
              <w:bottom w:val="nil"/>
              <w:right w:val="single" w:sz="6" w:space="0" w:color="auto"/>
            </w:tcBorders>
            <w:vAlign w:val="center"/>
          </w:tcPr>
          <w:p w:rsidR="002F09E4" w:rsidRDefault="002F09E4" w:rsidP="002F09E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2F09E4" w:rsidRDefault="002F09E4" w:rsidP="002F09E4">
            <w:pPr>
              <w:jc w:val="center"/>
              <w:rPr>
                <w:rFonts w:ascii="Arial" w:hAnsi="Arial" w:cs="Arial"/>
                <w:sz w:val="20"/>
              </w:rPr>
            </w:pPr>
            <w:r>
              <w:rPr>
                <w:rFonts w:ascii="Arial" w:hAnsi="Arial" w:cs="Arial"/>
                <w:sz w:val="20"/>
              </w:rPr>
              <w:t>3</w:t>
            </w:r>
          </w:p>
        </w:tc>
        <w:tc>
          <w:tcPr>
            <w:tcW w:w="8588" w:type="dxa"/>
            <w:gridSpan w:val="4"/>
            <w:tcBorders>
              <w:left w:val="single" w:sz="6" w:space="0" w:color="auto"/>
              <w:right w:val="single" w:sz="4" w:space="0" w:color="auto"/>
            </w:tcBorders>
          </w:tcPr>
          <w:p w:rsidR="002F09E4" w:rsidRDefault="002F09E4" w:rsidP="002F09E4">
            <w:pPr>
              <w:rPr>
                <w:rFonts w:ascii="Arial" w:hAnsi="Arial" w:cs="Arial"/>
                <w:sz w:val="20"/>
              </w:rPr>
            </w:pPr>
            <w:r>
              <w:rPr>
                <w:rFonts w:ascii="Arial" w:hAnsi="Arial" w:cs="Arial"/>
                <w:sz w:val="20"/>
              </w:rPr>
              <w:t>Determine the cause of the failure and fill out an Internal Occurrence form.</w:t>
            </w:r>
          </w:p>
        </w:tc>
      </w:tr>
      <w:tr w:rsidR="002F09E4">
        <w:trPr>
          <w:cantSplit/>
        </w:trPr>
        <w:tc>
          <w:tcPr>
            <w:tcW w:w="1620" w:type="dxa"/>
            <w:tcBorders>
              <w:top w:val="nil"/>
              <w:left w:val="nil"/>
              <w:bottom w:val="nil"/>
              <w:right w:val="single" w:sz="6" w:space="0" w:color="auto"/>
            </w:tcBorders>
            <w:vAlign w:val="center"/>
          </w:tcPr>
          <w:p w:rsidR="002F09E4" w:rsidRDefault="002F09E4" w:rsidP="002F09E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2F09E4" w:rsidRDefault="002F09E4" w:rsidP="002F09E4">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rsidR="002F09E4" w:rsidRDefault="002F09E4" w:rsidP="002F09E4">
            <w:pPr>
              <w:jc w:val="left"/>
              <w:rPr>
                <w:rFonts w:ascii="Arial" w:hAnsi="Arial" w:cs="Arial"/>
                <w:sz w:val="20"/>
              </w:rPr>
            </w:pPr>
            <w:r>
              <w:rPr>
                <w:rFonts w:ascii="Arial" w:hAnsi="Arial" w:cs="Arial"/>
                <w:sz w:val="20"/>
              </w:rPr>
              <w:t>For QC not OK results:</w:t>
            </w:r>
          </w:p>
          <w:p w:rsidR="002F09E4" w:rsidRDefault="002F09E4" w:rsidP="002F09E4">
            <w:pPr>
              <w:pStyle w:val="ListParagraph"/>
              <w:numPr>
                <w:ilvl w:val="0"/>
                <w:numId w:val="13"/>
              </w:numPr>
              <w:jc w:val="left"/>
              <w:rPr>
                <w:rFonts w:ascii="Arial" w:hAnsi="Arial" w:cs="Arial"/>
                <w:sz w:val="20"/>
              </w:rPr>
            </w:pPr>
            <w:r>
              <w:rPr>
                <w:rFonts w:ascii="Arial" w:hAnsi="Arial" w:cs="Arial"/>
                <w:sz w:val="20"/>
              </w:rPr>
              <w:t>Compare results with claimed value on the Daily Journal Quality Controls report with the actual result. Note if control test failed is displayed.</w:t>
            </w:r>
          </w:p>
          <w:p w:rsidR="002F09E4" w:rsidRDefault="002F09E4" w:rsidP="002F09E4">
            <w:pPr>
              <w:pStyle w:val="ListParagraph"/>
              <w:numPr>
                <w:ilvl w:val="0"/>
                <w:numId w:val="13"/>
              </w:numPr>
              <w:jc w:val="left"/>
              <w:rPr>
                <w:rFonts w:ascii="Arial" w:hAnsi="Arial" w:cs="Arial"/>
                <w:sz w:val="20"/>
              </w:rPr>
            </w:pPr>
            <w:r>
              <w:rPr>
                <w:rFonts w:ascii="Arial" w:hAnsi="Arial" w:cs="Arial"/>
                <w:sz w:val="20"/>
              </w:rPr>
              <w:t>Review values in the “required results” area of the “Control tests” view.</w:t>
            </w:r>
          </w:p>
          <w:p w:rsidR="002F09E4" w:rsidRPr="002F09E4" w:rsidRDefault="002F09E4" w:rsidP="002F09E4">
            <w:pPr>
              <w:pStyle w:val="ListParagraph"/>
              <w:numPr>
                <w:ilvl w:val="0"/>
                <w:numId w:val="13"/>
              </w:numPr>
              <w:jc w:val="left"/>
              <w:rPr>
                <w:rFonts w:ascii="Arial" w:hAnsi="Arial" w:cs="Arial"/>
                <w:sz w:val="20"/>
              </w:rPr>
            </w:pPr>
            <w:r>
              <w:rPr>
                <w:rFonts w:ascii="Arial" w:hAnsi="Arial" w:cs="Arial"/>
                <w:sz w:val="20"/>
              </w:rPr>
              <w:t>Review image of failed QC results.</w:t>
            </w:r>
          </w:p>
          <w:p w:rsidR="002F09E4" w:rsidRDefault="002F09E4" w:rsidP="002F09E4">
            <w:pPr>
              <w:pStyle w:val="TableText"/>
              <w:autoSpaceDE/>
              <w:autoSpaceDN/>
              <w:rPr>
                <w:rFonts w:ascii="Arial" w:hAnsi="Arial" w:cs="Arial"/>
              </w:rPr>
            </w:pPr>
          </w:p>
        </w:tc>
      </w:tr>
      <w:tr w:rsidR="002F09E4">
        <w:trPr>
          <w:cantSplit/>
        </w:trPr>
        <w:tc>
          <w:tcPr>
            <w:tcW w:w="1620" w:type="dxa"/>
            <w:tcBorders>
              <w:top w:val="nil"/>
              <w:left w:val="nil"/>
              <w:bottom w:val="nil"/>
              <w:right w:val="single" w:sz="6" w:space="0" w:color="auto"/>
            </w:tcBorders>
            <w:vAlign w:val="center"/>
          </w:tcPr>
          <w:p w:rsidR="002F09E4" w:rsidRDefault="002F09E4" w:rsidP="002F09E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2F09E4" w:rsidRDefault="002F09E4" w:rsidP="002F09E4">
            <w:pPr>
              <w:jc w:val="center"/>
              <w:rPr>
                <w:rFonts w:ascii="Arial" w:hAnsi="Arial" w:cs="Arial"/>
                <w:sz w:val="20"/>
              </w:rPr>
            </w:pPr>
            <w:r>
              <w:rPr>
                <w:rFonts w:ascii="Arial" w:hAnsi="Arial" w:cs="Arial"/>
                <w:sz w:val="20"/>
              </w:rPr>
              <w:t>5</w:t>
            </w:r>
          </w:p>
        </w:tc>
        <w:tc>
          <w:tcPr>
            <w:tcW w:w="8588" w:type="dxa"/>
            <w:gridSpan w:val="4"/>
            <w:tcBorders>
              <w:left w:val="single" w:sz="6" w:space="0" w:color="auto"/>
              <w:bottom w:val="single" w:sz="4" w:space="0" w:color="auto"/>
            </w:tcBorders>
          </w:tcPr>
          <w:p w:rsidR="002F09E4" w:rsidRDefault="002F09E4" w:rsidP="002F09E4">
            <w:pPr>
              <w:jc w:val="left"/>
              <w:rPr>
                <w:rFonts w:ascii="Arial" w:hAnsi="Arial" w:cs="Arial"/>
                <w:sz w:val="20"/>
              </w:rPr>
            </w:pPr>
            <w:r>
              <w:rPr>
                <w:rFonts w:ascii="Arial" w:hAnsi="Arial" w:cs="Arial"/>
                <w:sz w:val="20"/>
              </w:rPr>
              <w:t>If the result(s) cannot be edited or editing is not appropriate, run the necessary control samples again or try new controls if necessary. Select “accept All’ then “Save”. The affected reagents will now have a green checkmark beside them and the “QC” tab will no longer flash red if repeated QC passes.</w:t>
            </w:r>
          </w:p>
        </w:tc>
      </w:tr>
      <w:tr w:rsidR="002F09E4">
        <w:trPr>
          <w:cantSplit/>
        </w:trPr>
        <w:tc>
          <w:tcPr>
            <w:tcW w:w="1620" w:type="dxa"/>
            <w:tcBorders>
              <w:top w:val="nil"/>
              <w:left w:val="nil"/>
              <w:bottom w:val="nil"/>
              <w:right w:val="single" w:sz="6" w:space="0" w:color="auto"/>
            </w:tcBorders>
            <w:vAlign w:val="center"/>
          </w:tcPr>
          <w:p w:rsidR="002F09E4" w:rsidRDefault="002F09E4" w:rsidP="002F09E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2F09E4" w:rsidRDefault="002F09E4" w:rsidP="002F09E4">
            <w:pPr>
              <w:jc w:val="center"/>
              <w:rPr>
                <w:rFonts w:ascii="Arial" w:hAnsi="Arial" w:cs="Arial"/>
                <w:sz w:val="20"/>
              </w:rPr>
            </w:pPr>
            <w:r>
              <w:rPr>
                <w:rFonts w:ascii="Arial" w:hAnsi="Arial" w:cs="Arial"/>
                <w:sz w:val="20"/>
              </w:rPr>
              <w:t>6</w:t>
            </w:r>
          </w:p>
        </w:tc>
        <w:tc>
          <w:tcPr>
            <w:tcW w:w="8588" w:type="dxa"/>
            <w:gridSpan w:val="4"/>
            <w:tcBorders>
              <w:left w:val="single" w:sz="6" w:space="0" w:color="auto"/>
              <w:bottom w:val="single" w:sz="4" w:space="0" w:color="auto"/>
            </w:tcBorders>
          </w:tcPr>
          <w:p w:rsidR="002F09E4" w:rsidRDefault="002F09E4" w:rsidP="002F09E4">
            <w:pPr>
              <w:jc w:val="left"/>
              <w:rPr>
                <w:rFonts w:ascii="Arial" w:hAnsi="Arial" w:cs="Arial"/>
                <w:sz w:val="20"/>
              </w:rPr>
            </w:pPr>
            <w:r>
              <w:rPr>
                <w:rFonts w:ascii="Arial" w:hAnsi="Arial" w:cs="Arial"/>
                <w:sz w:val="20"/>
              </w:rPr>
              <w:t xml:space="preserve">Once QC is successful, print the Control Journal by selecting the “QC” tab and the “Print” button. </w:t>
            </w:r>
          </w:p>
        </w:tc>
      </w:tr>
      <w:tr w:rsidR="002F09E4">
        <w:trPr>
          <w:cantSplit/>
        </w:trPr>
        <w:tc>
          <w:tcPr>
            <w:tcW w:w="1620" w:type="dxa"/>
            <w:tcBorders>
              <w:top w:val="nil"/>
              <w:left w:val="nil"/>
              <w:bottom w:val="nil"/>
              <w:right w:val="nil"/>
            </w:tcBorders>
          </w:tcPr>
          <w:p w:rsidR="002F09E4" w:rsidRDefault="002F09E4" w:rsidP="002F09E4">
            <w:pPr>
              <w:jc w:val="left"/>
              <w:rPr>
                <w:rFonts w:ascii="Arial" w:hAnsi="Arial" w:cs="Arial"/>
                <w:sz w:val="20"/>
              </w:rPr>
            </w:pPr>
          </w:p>
        </w:tc>
        <w:tc>
          <w:tcPr>
            <w:tcW w:w="9360" w:type="dxa"/>
            <w:gridSpan w:val="5"/>
            <w:tcBorders>
              <w:top w:val="nil"/>
              <w:left w:val="nil"/>
              <w:bottom w:val="nil"/>
            </w:tcBorders>
          </w:tcPr>
          <w:p w:rsidR="002F09E4" w:rsidRDefault="002F09E4" w:rsidP="002F09E4">
            <w:pPr>
              <w:jc w:val="left"/>
              <w:rPr>
                <w:rFonts w:ascii="Arial" w:hAnsi="Arial" w:cs="Arial"/>
                <w:sz w:val="20"/>
              </w:rPr>
            </w:pPr>
          </w:p>
        </w:tc>
      </w:tr>
      <w:tr w:rsidR="002F09E4">
        <w:trPr>
          <w:cantSplit/>
          <w:trHeight w:val="386"/>
        </w:trPr>
        <w:tc>
          <w:tcPr>
            <w:tcW w:w="1620" w:type="dxa"/>
            <w:tcBorders>
              <w:top w:val="nil"/>
              <w:left w:val="nil"/>
              <w:bottom w:val="nil"/>
              <w:right w:val="nil"/>
            </w:tcBorders>
          </w:tcPr>
          <w:p w:rsidR="002F09E4" w:rsidRDefault="002F09E4" w:rsidP="002F09E4">
            <w:pPr>
              <w:rPr>
                <w:rFonts w:ascii="Arial" w:hAnsi="Arial" w:cs="Arial"/>
                <w:b/>
                <w:sz w:val="20"/>
              </w:rPr>
            </w:pPr>
          </w:p>
        </w:tc>
        <w:tc>
          <w:tcPr>
            <w:tcW w:w="9360" w:type="dxa"/>
            <w:gridSpan w:val="5"/>
            <w:tcBorders>
              <w:top w:val="nil"/>
              <w:left w:val="nil"/>
              <w:bottom w:val="single" w:sz="12" w:space="0" w:color="C0C0C0"/>
              <w:right w:val="nil"/>
            </w:tcBorders>
          </w:tcPr>
          <w:p w:rsidR="002F09E4" w:rsidRDefault="002F09E4" w:rsidP="002F09E4">
            <w:pPr>
              <w:jc w:val="left"/>
              <w:rPr>
                <w:rFonts w:ascii="Arial" w:hAnsi="Arial" w:cs="Arial"/>
                <w:iCs/>
                <w:sz w:val="20"/>
              </w:rPr>
            </w:pPr>
          </w:p>
        </w:tc>
      </w:tr>
      <w:tr w:rsidR="002F09E4">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rsidR="002F09E4" w:rsidRDefault="002F09E4" w:rsidP="002F09E4">
            <w:pPr>
              <w:jc w:val="left"/>
              <w:rPr>
                <w:rFonts w:ascii="Arial" w:hAnsi="Arial" w:cs="Arial"/>
                <w:b/>
                <w:bCs/>
                <w:color w:val="3366FF"/>
                <w:sz w:val="20"/>
              </w:rPr>
            </w:pPr>
          </w:p>
          <w:p w:rsidR="002F09E4" w:rsidRDefault="002F09E4" w:rsidP="002F09E4">
            <w:pPr>
              <w:jc w:val="left"/>
              <w:rPr>
                <w:rFonts w:ascii="Arial" w:hAnsi="Arial" w:cs="Arial"/>
                <w:b/>
                <w:bCs/>
                <w:color w:val="3366FF"/>
                <w:sz w:val="20"/>
              </w:rPr>
            </w:pPr>
            <w:r>
              <w:rPr>
                <w:rFonts w:ascii="Arial" w:hAnsi="Arial" w:cs="Arial"/>
                <w:b/>
                <w:bCs/>
                <w:color w:val="3366FF"/>
                <w:sz w:val="20"/>
              </w:rPr>
              <w:t>References</w:t>
            </w:r>
          </w:p>
        </w:tc>
        <w:tc>
          <w:tcPr>
            <w:tcW w:w="9360" w:type="dxa"/>
            <w:gridSpan w:val="5"/>
            <w:tcBorders>
              <w:top w:val="single" w:sz="12" w:space="0" w:color="C0C0C0"/>
              <w:bottom w:val="single" w:sz="12" w:space="0" w:color="C0C0C0"/>
              <w:right w:val="nil"/>
            </w:tcBorders>
          </w:tcPr>
          <w:p w:rsidR="002F09E4" w:rsidRDefault="002F09E4" w:rsidP="002F09E4">
            <w:pPr>
              <w:jc w:val="left"/>
              <w:rPr>
                <w:rFonts w:ascii="Arial" w:hAnsi="Arial" w:cs="Arial"/>
                <w:iCs/>
                <w:sz w:val="20"/>
              </w:rPr>
            </w:pPr>
          </w:p>
          <w:p w:rsidR="002F09E4" w:rsidRPr="000B5506" w:rsidRDefault="002F09E4" w:rsidP="002F09E4">
            <w:pPr>
              <w:numPr>
                <w:ilvl w:val="0"/>
                <w:numId w:val="3"/>
              </w:numPr>
              <w:tabs>
                <w:tab w:val="clear" w:pos="720"/>
                <w:tab w:val="num" w:pos="252"/>
              </w:tabs>
              <w:ind w:hanging="720"/>
              <w:jc w:val="left"/>
              <w:rPr>
                <w:rFonts w:ascii="Arial" w:hAnsi="Arial" w:cs="Arial"/>
                <w:iCs/>
                <w:sz w:val="20"/>
              </w:rPr>
            </w:pPr>
            <w:r>
              <w:rPr>
                <w:rFonts w:ascii="Arial" w:hAnsi="Arial" w:cs="Arial"/>
                <w:iCs/>
                <w:sz w:val="20"/>
              </w:rPr>
              <w:t>IH-Com User Manual NA V1.2-02/2021, Chapter C, Section 4.8 and 4.10</w:t>
            </w:r>
          </w:p>
          <w:p w:rsidR="002F09E4" w:rsidRDefault="002F09E4" w:rsidP="002F09E4">
            <w:pPr>
              <w:jc w:val="left"/>
              <w:rPr>
                <w:rFonts w:ascii="Arial" w:hAnsi="Arial" w:cs="Arial"/>
                <w:iCs/>
                <w:sz w:val="20"/>
              </w:rPr>
            </w:pPr>
          </w:p>
        </w:tc>
      </w:tr>
      <w:tr w:rsidR="002F09E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rsidR="002F09E4" w:rsidRDefault="002F09E4" w:rsidP="002F09E4">
            <w:pPr>
              <w:rPr>
                <w:rFonts w:ascii="Arial" w:hAnsi="Arial" w:cs="Arial"/>
                <w:b/>
                <w:bCs/>
                <w:color w:val="3366FF"/>
                <w:sz w:val="20"/>
              </w:rPr>
            </w:pPr>
          </w:p>
          <w:p w:rsidR="002F09E4" w:rsidRDefault="002F09E4" w:rsidP="002F09E4">
            <w:pPr>
              <w:rPr>
                <w:rFonts w:ascii="Arial" w:hAnsi="Arial" w:cs="Arial"/>
                <w:b/>
                <w:bCs/>
                <w:color w:val="3366FF"/>
                <w:sz w:val="20"/>
              </w:rPr>
            </w:pPr>
            <w:r>
              <w:rPr>
                <w:rFonts w:ascii="Arial" w:hAnsi="Arial" w:cs="Arial"/>
                <w:b/>
                <w:bCs/>
                <w:color w:val="3366FF"/>
                <w:sz w:val="20"/>
              </w:rPr>
              <w:t>Approval</w:t>
            </w:r>
          </w:p>
          <w:p w:rsidR="002F09E4" w:rsidRDefault="002F09E4" w:rsidP="002F09E4">
            <w:pPr>
              <w:rPr>
                <w:rFonts w:ascii="Arial" w:hAnsi="Arial" w:cs="Arial"/>
                <w:b/>
                <w:bCs/>
                <w:color w:val="3366FF"/>
                <w:sz w:val="20"/>
              </w:rPr>
            </w:pPr>
            <w:r>
              <w:rPr>
                <w:rFonts w:ascii="Arial" w:hAnsi="Arial" w:cs="Arial"/>
                <w:b/>
                <w:bCs/>
                <w:color w:val="3366FF"/>
                <w:sz w:val="20"/>
              </w:rPr>
              <w:t>Workflow</w:t>
            </w:r>
          </w:p>
        </w:tc>
        <w:tc>
          <w:tcPr>
            <w:tcW w:w="9360" w:type="dxa"/>
            <w:gridSpan w:val="5"/>
            <w:tcBorders>
              <w:top w:val="single" w:sz="12" w:space="0" w:color="C0C0C0"/>
              <w:bottom w:val="single" w:sz="12" w:space="0" w:color="C0C0C0"/>
              <w:right w:val="nil"/>
            </w:tcBorders>
          </w:tcPr>
          <w:p w:rsidR="002F09E4" w:rsidRDefault="002F09E4" w:rsidP="002F09E4">
            <w:pPr>
              <w:jc w:val="left"/>
              <w:rPr>
                <w:rFonts w:ascii="Arial" w:hAnsi="Arial" w:cs="Arial"/>
                <w:iCs/>
                <w:sz w:val="20"/>
              </w:rPr>
            </w:pPr>
          </w:p>
          <w:p w:rsidR="002F09E4" w:rsidRDefault="002F09E4" w:rsidP="002F09E4">
            <w:pPr>
              <w:jc w:val="left"/>
              <w:rPr>
                <w:rFonts w:ascii="Arial" w:hAnsi="Arial" w:cs="Arial"/>
                <w:iCs/>
                <w:sz w:val="20"/>
              </w:rPr>
            </w:pPr>
            <w:r>
              <w:rPr>
                <w:rFonts w:ascii="Arial" w:hAnsi="Arial" w:cs="Arial"/>
                <w:iCs/>
                <w:sz w:val="20"/>
              </w:rPr>
              <w:t>Transfusion Service/Lab Director</w:t>
            </w:r>
          </w:p>
          <w:p w:rsidR="002F09E4" w:rsidRDefault="002F09E4" w:rsidP="002F09E4">
            <w:pPr>
              <w:jc w:val="left"/>
              <w:rPr>
                <w:rFonts w:ascii="Arial" w:hAnsi="Arial" w:cs="Arial"/>
                <w:iCs/>
                <w:sz w:val="20"/>
              </w:rPr>
            </w:pPr>
          </w:p>
          <w:p w:rsidR="002F09E4" w:rsidRDefault="002F09E4" w:rsidP="002F09E4">
            <w:pPr>
              <w:jc w:val="left"/>
              <w:rPr>
                <w:rFonts w:ascii="Arial" w:hAnsi="Arial" w:cs="Arial"/>
                <w:iCs/>
                <w:sz w:val="20"/>
              </w:rPr>
            </w:pPr>
          </w:p>
        </w:tc>
      </w:tr>
      <w:tr w:rsidR="002F09E4">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rsidR="002F09E4" w:rsidRDefault="002F09E4" w:rsidP="002F09E4">
            <w:pPr>
              <w:rPr>
                <w:rFonts w:ascii="Arial" w:hAnsi="Arial" w:cs="Arial"/>
                <w:color w:val="3366FF"/>
                <w:sz w:val="20"/>
              </w:rPr>
            </w:pPr>
          </w:p>
        </w:tc>
        <w:tc>
          <w:tcPr>
            <w:tcW w:w="9360" w:type="dxa"/>
            <w:gridSpan w:val="5"/>
            <w:tcBorders>
              <w:top w:val="single" w:sz="12" w:space="0" w:color="C0C0C0"/>
              <w:bottom w:val="single" w:sz="4" w:space="0" w:color="auto"/>
              <w:right w:val="nil"/>
            </w:tcBorders>
          </w:tcPr>
          <w:p w:rsidR="002F09E4" w:rsidRDefault="002F09E4" w:rsidP="002F09E4">
            <w:pPr>
              <w:pStyle w:val="TableText"/>
              <w:autoSpaceDE/>
              <w:autoSpaceDN/>
              <w:rPr>
                <w:rFonts w:ascii="Arial" w:hAnsi="Arial" w:cs="Arial"/>
                <w:iCs/>
              </w:rPr>
            </w:pPr>
          </w:p>
        </w:tc>
      </w:tr>
      <w:tr w:rsidR="002F09E4">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rsidR="002F09E4" w:rsidRDefault="002F09E4" w:rsidP="002F09E4">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2F09E4" w:rsidRDefault="002F09E4" w:rsidP="002F09E4">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2F09E4" w:rsidRDefault="002F09E4" w:rsidP="002F09E4">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2F09E4" w:rsidRDefault="002F09E4" w:rsidP="002F09E4">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rsidR="002F09E4" w:rsidRDefault="002F09E4" w:rsidP="002F09E4">
            <w:pPr>
              <w:jc w:val="left"/>
              <w:rPr>
                <w:rFonts w:ascii="Arial" w:hAnsi="Arial" w:cs="Arial"/>
                <w:b/>
                <w:bCs/>
                <w:iCs/>
                <w:sz w:val="20"/>
              </w:rPr>
            </w:pPr>
            <w:r>
              <w:rPr>
                <w:rFonts w:ascii="Arial" w:hAnsi="Arial" w:cs="Arial"/>
                <w:b/>
                <w:bCs/>
                <w:iCs/>
                <w:sz w:val="20"/>
              </w:rPr>
              <w:t>Summary of Revisions</w:t>
            </w:r>
          </w:p>
        </w:tc>
      </w:tr>
      <w:tr w:rsidR="002F09E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12" w:space="0" w:color="C0C0C0"/>
              <w:left w:val="nil"/>
              <w:bottom w:val="nil"/>
              <w:right w:val="single" w:sz="2" w:space="0" w:color="auto"/>
            </w:tcBorders>
          </w:tcPr>
          <w:p w:rsidR="002F09E4" w:rsidRDefault="002F09E4" w:rsidP="002F09E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2F09E4" w:rsidRDefault="002F09E4" w:rsidP="002F09E4">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rsidR="002F09E4" w:rsidRDefault="002F09E4" w:rsidP="002F09E4">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2F09E4" w:rsidRDefault="002F09E4" w:rsidP="002F09E4">
            <w:pPr>
              <w:jc w:val="left"/>
              <w:rPr>
                <w:rFonts w:ascii="Arial" w:hAnsi="Arial" w:cs="Arial"/>
                <w:iCs/>
                <w:sz w:val="20"/>
              </w:rPr>
            </w:pPr>
            <w:r>
              <w:rPr>
                <w:rFonts w:ascii="Arial" w:hAnsi="Arial" w:cs="Arial"/>
                <w:iCs/>
                <w:sz w:val="20"/>
              </w:rPr>
              <w:t>02/17/2023</w:t>
            </w:r>
          </w:p>
        </w:tc>
        <w:tc>
          <w:tcPr>
            <w:tcW w:w="3960" w:type="dxa"/>
            <w:tcBorders>
              <w:top w:val="single" w:sz="4" w:space="0" w:color="auto"/>
              <w:left w:val="single" w:sz="4" w:space="0" w:color="auto"/>
              <w:bottom w:val="single" w:sz="4" w:space="0" w:color="auto"/>
              <w:right w:val="single" w:sz="4" w:space="0" w:color="auto"/>
            </w:tcBorders>
          </w:tcPr>
          <w:p w:rsidR="002F09E4" w:rsidRDefault="002F09E4" w:rsidP="002F09E4">
            <w:pPr>
              <w:jc w:val="left"/>
              <w:rPr>
                <w:rFonts w:ascii="Arial" w:hAnsi="Arial" w:cs="Arial"/>
                <w:sz w:val="20"/>
              </w:rPr>
            </w:pPr>
            <w:r>
              <w:rPr>
                <w:rFonts w:ascii="Arial" w:hAnsi="Arial" w:cs="Arial"/>
                <w:sz w:val="20"/>
              </w:rPr>
              <w:t>Initial Version</w:t>
            </w:r>
          </w:p>
        </w:tc>
      </w:tr>
    </w:tbl>
    <w:p w:rsidR="000B2C18" w:rsidRDefault="000B2C18">
      <w:pPr>
        <w:pStyle w:val="Header"/>
        <w:tabs>
          <w:tab w:val="clear" w:pos="4320"/>
          <w:tab w:val="clear" w:pos="8640"/>
        </w:tabs>
        <w:rPr>
          <w:rFonts w:ascii="Arial" w:hAnsi="Arial" w:cs="Arial"/>
        </w:rPr>
      </w:pPr>
    </w:p>
    <w:sectPr w:rsidR="000B2C18">
      <w:headerReference w:type="even" r:id="rId7"/>
      <w:headerReference w:type="default" r:id="rId8"/>
      <w:footerReference w:type="even" r:id="rId9"/>
      <w:footerReference w:type="default" r:id="rId10"/>
      <w:headerReference w:type="first" r:id="rId11"/>
      <w:footerReference w:type="first" r:id="rId12"/>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C18" w:rsidRDefault="000B2C18">
      <w:r>
        <w:separator/>
      </w:r>
    </w:p>
  </w:endnote>
  <w:endnote w:type="continuationSeparator" w:id="0">
    <w:p w:rsidR="000B2C18" w:rsidRDefault="000B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7E" w:rsidRDefault="00942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0B2C18">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94287E">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94287E">
      <w:rPr>
        <w:rFonts w:ascii="Arial" w:hAnsi="Arial" w:cs="Arial"/>
        <w:noProof/>
        <w:sz w:val="16"/>
      </w:rPr>
      <w:t>1</w:t>
    </w:r>
    <w:r>
      <w:rPr>
        <w:rFonts w:ascii="Arial" w:hAnsi="Arial" w:cs="Arial"/>
        <w:sz w:val="16"/>
      </w:rPr>
      <w:fldChar w:fldCharType="end"/>
    </w:r>
  </w:p>
  <w:p w:rsidR="000B2C18" w:rsidRDefault="000B2C18">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7E" w:rsidRDefault="00942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C18" w:rsidRDefault="000B2C18">
      <w:r>
        <w:separator/>
      </w:r>
    </w:p>
  </w:footnote>
  <w:footnote w:type="continuationSeparator" w:id="0">
    <w:p w:rsidR="000B2C18" w:rsidRDefault="000B2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9428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0B2C18">
      <w:trPr>
        <w:cantSplit/>
        <w:trHeight w:val="245"/>
      </w:trPr>
      <w:tc>
        <w:tcPr>
          <w:tcW w:w="5760" w:type="dxa"/>
        </w:tcPr>
        <w:p w:rsidR="000B2C18" w:rsidRDefault="000B2C18" w:rsidP="00A726C2">
          <w:pPr>
            <w:pStyle w:val="Header"/>
            <w:tabs>
              <w:tab w:val="clear" w:pos="8640"/>
            </w:tabs>
            <w:rPr>
              <w:rFonts w:ascii="Arial" w:hAnsi="Arial" w:cs="Arial"/>
              <w:sz w:val="18"/>
            </w:rPr>
          </w:pPr>
          <w:r>
            <w:rPr>
              <w:rFonts w:ascii="Arial" w:hAnsi="Arial" w:cs="Arial"/>
              <w:sz w:val="18"/>
            </w:rPr>
            <w:t xml:space="preserve">Procedure: </w:t>
          </w:r>
          <w:r w:rsidR="00E15224">
            <w:rPr>
              <w:rFonts w:ascii="Arial" w:hAnsi="Arial" w:cs="Arial"/>
              <w:sz w:val="18"/>
            </w:rPr>
            <w:t>Handling of Failed Controls on the IH-500</w:t>
          </w:r>
        </w:p>
      </w:tc>
      <w:tc>
        <w:tcPr>
          <w:tcW w:w="5580" w:type="dxa"/>
          <w:vMerge w:val="restart"/>
        </w:tcPr>
        <w:p w:rsidR="000B2C18" w:rsidRDefault="000B2C18" w:rsidP="00673F2A">
          <w:pPr>
            <w:pStyle w:val="Header"/>
            <w:tabs>
              <w:tab w:val="clear" w:pos="8640"/>
            </w:tabs>
          </w:pPr>
          <w:r>
            <w:t xml:space="preserve">                                                          </w:t>
          </w:r>
          <w:r w:rsidR="00D80944" w:rsidRPr="00673F2A">
            <w:rPr>
              <w:noProof/>
            </w:rPr>
            <w:drawing>
              <wp:inline distT="0" distB="0" distL="0" distR="0">
                <wp:extent cx="1190625" cy="381000"/>
                <wp:effectExtent l="0" t="0" r="9525"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inline>
            </w:drawing>
          </w:r>
          <w:r>
            <w:t xml:space="preserve">          </w:t>
          </w:r>
        </w:p>
      </w:tc>
    </w:tr>
    <w:tr w:rsidR="000B2C18">
      <w:trPr>
        <w:cantSplit/>
        <w:trHeight w:val="245"/>
      </w:trPr>
      <w:tc>
        <w:tcPr>
          <w:tcW w:w="5760" w:type="dxa"/>
        </w:tcPr>
        <w:p w:rsidR="000B2C18" w:rsidRDefault="000B2C18" w:rsidP="00A726C2">
          <w:pPr>
            <w:pStyle w:val="Header"/>
            <w:tabs>
              <w:tab w:val="clear" w:pos="8640"/>
            </w:tabs>
            <w:rPr>
              <w:rFonts w:ascii="Arial" w:hAnsi="Arial" w:cs="Arial"/>
              <w:sz w:val="18"/>
            </w:rPr>
          </w:pPr>
          <w:r>
            <w:rPr>
              <w:rFonts w:ascii="Arial" w:hAnsi="Arial" w:cs="Arial"/>
              <w:sz w:val="18"/>
            </w:rPr>
            <w:t>Document:</w:t>
          </w:r>
          <w:r w:rsidR="0094287E">
            <w:rPr>
              <w:rFonts w:ascii="Arial" w:hAnsi="Arial" w:cs="Arial"/>
              <w:sz w:val="18"/>
            </w:rPr>
            <w:t xml:space="preserve"> TS </w:t>
          </w:r>
          <w:r w:rsidR="0094287E">
            <w:rPr>
              <w:rFonts w:ascii="Arial" w:hAnsi="Arial" w:cs="Arial"/>
              <w:sz w:val="18"/>
            </w:rPr>
            <w:t>18.18</w:t>
          </w:r>
          <w:bookmarkStart w:id="0" w:name="_GoBack"/>
          <w:bookmarkEnd w:id="0"/>
          <w:r>
            <w:rPr>
              <w:rFonts w:ascii="Arial" w:hAnsi="Arial" w:cs="Arial"/>
              <w:sz w:val="18"/>
            </w:rPr>
            <w:t xml:space="preserve"> Version </w:t>
          </w:r>
          <w:r w:rsidR="00313CCF">
            <w:rPr>
              <w:rFonts w:ascii="Arial" w:hAnsi="Arial" w:cs="Arial"/>
              <w:sz w:val="18"/>
            </w:rPr>
            <w:t>1</w:t>
          </w:r>
        </w:p>
      </w:tc>
      <w:tc>
        <w:tcPr>
          <w:tcW w:w="5580" w:type="dxa"/>
          <w:vMerge/>
        </w:tcPr>
        <w:p w:rsidR="000B2C18" w:rsidRDefault="000B2C18">
          <w:pPr>
            <w:pStyle w:val="Header"/>
            <w:tabs>
              <w:tab w:val="clear" w:pos="8640"/>
            </w:tabs>
          </w:pPr>
        </w:p>
      </w:tc>
    </w:tr>
    <w:tr w:rsidR="000B2C18">
      <w:trPr>
        <w:cantSplit/>
        <w:trHeight w:val="245"/>
      </w:trPr>
      <w:tc>
        <w:tcPr>
          <w:tcW w:w="5760" w:type="dxa"/>
        </w:tcPr>
        <w:p w:rsidR="000B2C18" w:rsidRDefault="000B2C18" w:rsidP="00E15224">
          <w:pPr>
            <w:pStyle w:val="Header"/>
            <w:tabs>
              <w:tab w:val="clear" w:pos="8640"/>
            </w:tabs>
            <w:rPr>
              <w:rFonts w:ascii="Arial" w:hAnsi="Arial" w:cs="Arial"/>
              <w:sz w:val="18"/>
            </w:rPr>
          </w:pPr>
          <w:r>
            <w:rPr>
              <w:rFonts w:ascii="Arial" w:hAnsi="Arial" w:cs="Arial"/>
              <w:sz w:val="18"/>
            </w:rPr>
            <w:t xml:space="preserve">Effective Date: </w:t>
          </w:r>
          <w:r w:rsidR="00E15224">
            <w:rPr>
              <w:rFonts w:ascii="Arial" w:hAnsi="Arial" w:cs="Arial"/>
              <w:sz w:val="18"/>
            </w:rPr>
            <w:t>02/17/2023</w:t>
          </w:r>
        </w:p>
      </w:tc>
      <w:tc>
        <w:tcPr>
          <w:tcW w:w="5580" w:type="dxa"/>
          <w:vMerge/>
        </w:tcPr>
        <w:p w:rsidR="000B2C18" w:rsidRDefault="000B2C18">
          <w:pPr>
            <w:pStyle w:val="Header"/>
            <w:tabs>
              <w:tab w:val="clear" w:pos="8640"/>
            </w:tabs>
          </w:pPr>
        </w:p>
      </w:tc>
    </w:tr>
  </w:tbl>
  <w:p w:rsidR="000B2C18" w:rsidRDefault="000B2C18">
    <w:pPr>
      <w:pStyle w:val="Header"/>
      <w:rPr>
        <w:rFonts w:ascii="Calibri" w:hAnsi="Calibri"/>
        <w:b/>
        <w:bCs/>
        <w:sz w:val="16"/>
      </w:rPr>
    </w:pPr>
  </w:p>
  <w:p w:rsidR="000B2C18" w:rsidRDefault="000B2C18">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9428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E203A6"/>
    <w:multiLevelType w:val="hybridMultilevel"/>
    <w:tmpl w:val="3684F8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6E08BE"/>
    <w:multiLevelType w:val="hybridMultilevel"/>
    <w:tmpl w:val="D2941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C7553"/>
    <w:multiLevelType w:val="hybridMultilevel"/>
    <w:tmpl w:val="EE16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90EA9"/>
    <w:multiLevelType w:val="hybridMultilevel"/>
    <w:tmpl w:val="23D63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4A5F0C"/>
    <w:multiLevelType w:val="hybridMultilevel"/>
    <w:tmpl w:val="45FA0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3C6D2A"/>
    <w:multiLevelType w:val="hybridMultilevel"/>
    <w:tmpl w:val="5F049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E4A2F"/>
    <w:multiLevelType w:val="hybridMultilevel"/>
    <w:tmpl w:val="7FE88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F25D78"/>
    <w:multiLevelType w:val="hybridMultilevel"/>
    <w:tmpl w:val="34480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0E4762"/>
    <w:multiLevelType w:val="hybridMultilevel"/>
    <w:tmpl w:val="6DF0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11"/>
  </w:num>
  <w:num w:numId="5">
    <w:abstractNumId w:val="9"/>
  </w:num>
  <w:num w:numId="6">
    <w:abstractNumId w:val="12"/>
  </w:num>
  <w:num w:numId="7">
    <w:abstractNumId w:val="8"/>
  </w:num>
  <w:num w:numId="8">
    <w:abstractNumId w:val="1"/>
  </w:num>
  <w:num w:numId="9">
    <w:abstractNumId w:val="4"/>
  </w:num>
  <w:num w:numId="10">
    <w:abstractNumId w:val="10"/>
  </w:num>
  <w:num w:numId="11">
    <w:abstractNumId w:val="7"/>
  </w:num>
  <w:num w:numId="12">
    <w:abstractNumId w:val="2"/>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2A"/>
    <w:rsid w:val="000B2C18"/>
    <w:rsid w:val="001A5933"/>
    <w:rsid w:val="002F09E4"/>
    <w:rsid w:val="00313CCF"/>
    <w:rsid w:val="00673F2A"/>
    <w:rsid w:val="0094287E"/>
    <w:rsid w:val="00A726C2"/>
    <w:rsid w:val="00D80944"/>
    <w:rsid w:val="00E1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2753D3BD-B6A2-44A7-AFCB-3E8C3119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paragraph" w:styleId="ListParagraph">
    <w:name w:val="List Paragraph"/>
    <w:basedOn w:val="Normal"/>
    <w:uiPriority w:val="34"/>
    <w:qFormat/>
    <w:rsid w:val="001A5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338</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CE139279</dc:creator>
  <cp:keywords/>
  <dc:description/>
  <cp:lastModifiedBy>Sandy Cassidy</cp:lastModifiedBy>
  <cp:revision>4</cp:revision>
  <cp:lastPrinted>2011-07-13T19:16:00Z</cp:lastPrinted>
  <dcterms:created xsi:type="dcterms:W3CDTF">2023-01-27T17:22:00Z</dcterms:created>
  <dcterms:modified xsi:type="dcterms:W3CDTF">2023-02-10T17:54:00Z</dcterms:modified>
</cp:coreProperties>
</file>