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DD2A1E" w:rsidTr="0060016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A1E" w:rsidRDefault="003C2CBF" w:rsidP="00DD2A1E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Gene</w:t>
            </w:r>
            <w:r w:rsidR="00B87F21">
              <w:rPr>
                <w:rFonts w:ascii="Arial" w:hAnsi="Arial"/>
                <w:color w:val="0000FF"/>
              </w:rPr>
              <w:t xml:space="preserve">Xpert </w:t>
            </w:r>
            <w:r w:rsidR="00461F94">
              <w:rPr>
                <w:rFonts w:ascii="Arial" w:hAnsi="Arial"/>
                <w:color w:val="0000FF"/>
              </w:rPr>
              <w:t>Xpress MVP</w:t>
            </w:r>
            <w:r w:rsidR="00DD2A1E">
              <w:rPr>
                <w:rFonts w:ascii="Arial" w:hAnsi="Arial"/>
                <w:color w:val="0000FF"/>
              </w:rPr>
              <w:t xml:space="preserve"> Assay Quality Control</w:t>
            </w:r>
          </w:p>
          <w:p w:rsidR="00DD2A1E" w:rsidRDefault="00DD2A1E" w:rsidP="0060016F">
            <w:pPr>
              <w:pStyle w:val="Custom"/>
            </w:pPr>
            <w:bookmarkStart w:id="0" w:name="_GoBack"/>
            <w:bookmarkEnd w:id="0"/>
          </w:p>
        </w:tc>
      </w:tr>
      <w:tr w:rsidR="00DD2A1E" w:rsidTr="0060016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</w:rPr>
            </w:pPr>
          </w:p>
          <w:p w:rsidR="00DD2A1E" w:rsidRDefault="00DD2A1E" w:rsidP="00B87F2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Quality Control pr</w:t>
            </w:r>
            <w:r w:rsidR="0053189C">
              <w:rPr>
                <w:rFonts w:ascii="Arial" w:hAnsi="Arial"/>
              </w:rPr>
              <w:t>ocedures requi</w:t>
            </w:r>
            <w:r w:rsidR="00461F94">
              <w:rPr>
                <w:rFonts w:ascii="Arial" w:hAnsi="Arial"/>
              </w:rPr>
              <w:t xml:space="preserve">red for the Xpert Xpress MVP </w:t>
            </w:r>
            <w:r>
              <w:rPr>
                <w:rFonts w:ascii="Arial" w:hAnsi="Arial"/>
              </w:rPr>
              <w:t xml:space="preserve">Assay. </w:t>
            </w:r>
          </w:p>
        </w:tc>
      </w:tr>
      <w:tr w:rsidR="00DD2A1E" w:rsidTr="00DD2A1E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3C2CBF" w:rsidRDefault="003C2CBF" w:rsidP="003C2CB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B01C7A">
              <w:rPr>
                <w:rFonts w:ascii="Arial" w:hAnsi="Arial"/>
                <w:sz w:val="20"/>
              </w:rPr>
              <w:t xml:space="preserve">This procedure applies to </w:t>
            </w:r>
            <w:r>
              <w:rPr>
                <w:rFonts w:ascii="Arial" w:hAnsi="Arial"/>
                <w:sz w:val="20"/>
              </w:rPr>
              <w:t>all empl</w:t>
            </w:r>
            <w:r w:rsidR="00A628D5">
              <w:rPr>
                <w:rFonts w:ascii="Arial" w:hAnsi="Arial"/>
                <w:sz w:val="20"/>
              </w:rPr>
              <w:t>oyees that work in microbiology that perform Quality Control.</w:t>
            </w:r>
          </w:p>
          <w:p w:rsidR="00DD2A1E" w:rsidRDefault="00DD2A1E" w:rsidP="0060016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pStyle w:val="Custom2"/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Sample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221CD1" w:rsidRDefault="00221CD1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2377C" w:rsidRDefault="00C2377C" w:rsidP="00C2377C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 w:rsidR="00791C9F"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2377C" w:rsidRDefault="00053173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</w:t>
            </w:r>
            <w:r w:rsidR="0053189C">
              <w:rPr>
                <w:rFonts w:ascii="Arial" w:hAnsi="Arial"/>
                <w:sz w:val="20"/>
              </w:rPr>
              <w:t>crobiolo</w:t>
            </w:r>
            <w:r w:rsidR="00461F94">
              <w:rPr>
                <w:rFonts w:ascii="Arial" w:hAnsi="Arial"/>
                <w:sz w:val="20"/>
              </w:rPr>
              <w:t>gics 8255 Multiplex Vaginal Control Panel-positive and</w:t>
            </w:r>
            <w:r w:rsidR="00C2377C">
              <w:rPr>
                <w:rFonts w:ascii="Arial" w:hAnsi="Arial"/>
                <w:sz w:val="20"/>
              </w:rPr>
              <w:t xml:space="preserve"> negative controls</w:t>
            </w:r>
          </w:p>
          <w:p w:rsidR="00461F94" w:rsidRPr="00461F94" w:rsidRDefault="00461F94" w:rsidP="00461F94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C2377C" w:rsidRPr="00CF4FF3" w:rsidRDefault="006D7624" w:rsidP="00C2377C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C2377C" w:rsidRPr="00CF4FF3">
              <w:rPr>
                <w:rFonts w:ascii="Arial" w:hAnsi="Arial"/>
                <w:b/>
                <w:sz w:val="20"/>
              </w:rPr>
              <w:t xml:space="preserve"> control</w:t>
            </w:r>
            <w:r w:rsidR="001065BA">
              <w:rPr>
                <w:rFonts w:ascii="Arial" w:hAnsi="Arial"/>
                <w:b/>
                <w:sz w:val="20"/>
              </w:rPr>
              <w:t xml:space="preserve"> (</w:t>
            </w:r>
            <w:r w:rsidR="00654DD9">
              <w:rPr>
                <w:rFonts w:ascii="Arial" w:hAnsi="Arial"/>
                <w:b/>
                <w:sz w:val="20"/>
              </w:rPr>
              <w:t>monthly</w:t>
            </w:r>
            <w:r w:rsidR="00791C9F">
              <w:rPr>
                <w:rFonts w:ascii="Arial" w:hAnsi="Arial"/>
                <w:b/>
                <w:sz w:val="20"/>
              </w:rPr>
              <w:t>)</w:t>
            </w:r>
            <w:r w:rsidR="00C2377C" w:rsidRPr="00CF4FF3">
              <w:rPr>
                <w:rFonts w:ascii="Arial" w:hAnsi="Arial"/>
                <w:b/>
                <w:sz w:val="20"/>
              </w:rPr>
              <w:t>:</w:t>
            </w:r>
          </w:p>
          <w:p w:rsidR="00C2377C" w:rsidRDefault="00461F94" w:rsidP="00C2377C">
            <w:pPr>
              <w:pStyle w:val="ListParagraph"/>
              <w:numPr>
                <w:ilvl w:val="0"/>
                <w:numId w:val="2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Swab collected with an Xpert Swab </w:t>
            </w:r>
            <w:r w:rsidR="00C2377C">
              <w:rPr>
                <w:rFonts w:ascii="Arial" w:hAnsi="Arial"/>
                <w:sz w:val="20"/>
              </w:rPr>
              <w:t>Specimen Collection Kit</w:t>
            </w:r>
          </w:p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C2377C" w:rsidRDefault="00C2377C" w:rsidP="0060016F">
            <w:pPr>
              <w:jc w:val="left"/>
              <w:rPr>
                <w:rFonts w:ascii="Arial" w:hAnsi="Arial"/>
                <w:b/>
                <w:sz w:val="20"/>
              </w:rPr>
            </w:pPr>
            <w:r w:rsidRPr="00C2377C">
              <w:rPr>
                <w:rFonts w:ascii="Arial" w:hAnsi="Arial"/>
                <w:b/>
                <w:sz w:val="20"/>
              </w:rPr>
              <w:t>Instrument Performance Verification after repairs:</w:t>
            </w:r>
          </w:p>
          <w:p w:rsidR="00DD2A1E" w:rsidRPr="00A628D5" w:rsidRDefault="00C2377C" w:rsidP="0060016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One known positive and one known negative patient sample OR Positive and Negative External Control swabs </w:t>
            </w:r>
          </w:p>
        </w:tc>
      </w:tr>
      <w:tr w:rsidR="0099604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9604E" w:rsidRDefault="0099604E" w:rsidP="0060016F">
            <w:pPr>
              <w:pStyle w:val="Custom2"/>
            </w:pPr>
            <w:r>
              <w:t>Frequency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53189C" w:rsidRDefault="0053189C" w:rsidP="00C2377C">
            <w:pPr>
              <w:jc w:val="left"/>
              <w:rPr>
                <w:rFonts w:ascii="Arial" w:hAnsi="Arial"/>
                <w:sz w:val="20"/>
              </w:rPr>
            </w:pP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-Every 30 days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shipments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-Receipt of new lots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 xml:space="preserve">-Drift in results (e.g., </w:t>
            </w:r>
            <w:r w:rsidR="00D3312F">
              <w:rPr>
                <w:rFonts w:ascii="Arial" w:hAnsi="Arial"/>
                <w:sz w:val="20"/>
              </w:rPr>
              <w:t xml:space="preserve">unexpected significantly </w:t>
            </w:r>
            <w:r w:rsidRPr="0099604E">
              <w:rPr>
                <w:rFonts w:ascii="Arial" w:hAnsi="Arial"/>
                <w:sz w:val="20"/>
              </w:rPr>
              <w:t>increasing/decreasing positivity rates)</w:t>
            </w:r>
          </w:p>
          <w:p w:rsidR="0099604E" w:rsidRP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-Potential contamination (negative control)</w:t>
            </w:r>
          </w:p>
          <w:p w:rsidR="0099604E" w:rsidRDefault="0099604E" w:rsidP="00C2377C">
            <w:pPr>
              <w:jc w:val="left"/>
              <w:rPr>
                <w:rFonts w:ascii="Arial" w:hAnsi="Arial"/>
                <w:sz w:val="20"/>
              </w:rPr>
            </w:pPr>
            <w:r w:rsidRPr="0099604E">
              <w:rPr>
                <w:rFonts w:ascii="Arial" w:hAnsi="Arial"/>
                <w:sz w:val="20"/>
              </w:rPr>
              <w:t>-After</w:t>
            </w:r>
            <w:r w:rsidR="00B64645">
              <w:rPr>
                <w:rFonts w:ascii="Arial" w:hAnsi="Arial"/>
                <w:sz w:val="20"/>
              </w:rPr>
              <w:t xml:space="preserve"> </w:t>
            </w:r>
            <w:r w:rsidRPr="0099604E">
              <w:rPr>
                <w:rFonts w:ascii="Arial" w:hAnsi="Arial"/>
                <w:sz w:val="20"/>
              </w:rPr>
              <w:t>drastic system maintenance</w:t>
            </w:r>
          </w:p>
          <w:p w:rsidR="009645B5" w:rsidRDefault="009645B5" w:rsidP="00C2377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-Wipe testing: Monthly </w:t>
            </w:r>
          </w:p>
          <w:p w:rsidR="0053189C" w:rsidRDefault="0053189C" w:rsidP="00C2377C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DD2A1E" w:rsidRDefault="00DD2A1E" w:rsidP="0060016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1CD1" w:rsidRDefault="00221CD1" w:rsidP="0060016F">
            <w:pPr>
              <w:spacing w:after="120"/>
              <w:jc w:val="left"/>
              <w:rPr>
                <w:rFonts w:ascii="Arial" w:hAnsi="Arial"/>
                <w:sz w:val="20"/>
              </w:rPr>
            </w:pPr>
          </w:p>
          <w:p w:rsidR="00DD2A1E" w:rsidRPr="00E16FFC" w:rsidRDefault="00A628D5" w:rsidP="0060016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Microbiologists</w:t>
            </w:r>
            <w:r w:rsidR="00DD2A1E" w:rsidRPr="00E16FFC">
              <w:rPr>
                <w:rFonts w:ascii="Arial" w:hAnsi="Arial" w:cs="Arial"/>
                <w:sz w:val="20"/>
                <w:szCs w:val="20"/>
              </w:rPr>
              <w:t xml:space="preserve"> are subject to occupational risks associated with specimen handling. Refer to the safety policies located in the safety section of the </w:t>
            </w:r>
            <w:r w:rsidR="00DD2A1E"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="00DD2A1E"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D2A1E"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Policy </w:t>
            </w:r>
            <w:r w:rsidR="00DD2A1E"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="00DD2A1E"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2A1E" w:rsidRPr="00A628D5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628D5">
              <w:rPr>
                <w:rFonts w:ascii="Arial" w:hAnsi="Arial" w:cs="Arial"/>
                <w:iCs/>
                <w:sz w:val="20"/>
                <w:szCs w:val="20"/>
              </w:rPr>
              <w:t>Biohazard Containment</w:t>
            </w:r>
          </w:p>
          <w:p w:rsidR="00DD2A1E" w:rsidRPr="00A628D5" w:rsidRDefault="00DD2A1E" w:rsidP="00DD2A1E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628D5">
              <w:rPr>
                <w:rFonts w:ascii="Arial" w:hAnsi="Arial" w:cs="Arial"/>
                <w:iCs/>
                <w:sz w:val="20"/>
                <w:szCs w:val="20"/>
              </w:rPr>
              <w:t xml:space="preserve">Safety in the </w:t>
            </w:r>
            <w:r w:rsidR="00A628D5">
              <w:rPr>
                <w:rFonts w:ascii="Arial" w:hAnsi="Arial" w:cs="Arial"/>
                <w:iCs/>
                <w:sz w:val="20"/>
                <w:szCs w:val="20"/>
              </w:rPr>
              <w:t>Microbiology</w:t>
            </w:r>
            <w:r w:rsidRPr="00A628D5">
              <w:rPr>
                <w:rFonts w:ascii="Arial" w:hAnsi="Arial" w:cs="Arial"/>
                <w:iCs/>
                <w:sz w:val="20"/>
                <w:szCs w:val="20"/>
              </w:rPr>
              <w:t xml:space="preserve"> Laboratory</w:t>
            </w:r>
          </w:p>
          <w:p w:rsidR="0053189C" w:rsidRPr="00A628D5" w:rsidRDefault="00DD2A1E" w:rsidP="0053189C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28D5">
              <w:rPr>
                <w:rFonts w:ascii="Arial" w:hAnsi="Arial" w:cs="Arial"/>
                <w:sz w:val="20"/>
                <w:szCs w:val="20"/>
              </w:rPr>
              <w:t>Biohazardous Spills</w:t>
            </w:r>
          </w:p>
          <w:p w:rsidR="0053189C" w:rsidRDefault="0053189C" w:rsidP="0053189C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3189C" w:rsidRDefault="0053189C" w:rsidP="0060016F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848"/>
              <w:gridCol w:w="2242"/>
            </w:tblGrid>
            <w:tr w:rsidR="00DD2A1E" w:rsidTr="00A628D5">
              <w:tc>
                <w:tcPr>
                  <w:tcW w:w="3044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848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2242" w:type="dxa"/>
                </w:tcPr>
                <w:p w:rsidR="00DD2A1E" w:rsidRDefault="00DD2A1E" w:rsidP="0060016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DD2A1E" w:rsidTr="00A628D5">
              <w:tc>
                <w:tcPr>
                  <w:tcW w:w="3044" w:type="dxa"/>
                </w:tcPr>
                <w:p w:rsidR="00053173" w:rsidRDefault="00053173" w:rsidP="00053173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Mi</w:t>
                  </w:r>
                  <w:r w:rsidR="00B87F21">
                    <w:rPr>
                      <w:rFonts w:ascii="Arial" w:hAnsi="Arial"/>
                      <w:sz w:val="20"/>
                    </w:rPr>
                    <w:t xml:space="preserve">crobiologics </w:t>
                  </w:r>
                  <w:r w:rsidR="00461F94">
                    <w:rPr>
                      <w:rFonts w:ascii="Arial" w:hAnsi="Arial"/>
                      <w:sz w:val="20"/>
                    </w:rPr>
                    <w:t>8255 Multiplex Vaginal Panel-</w:t>
                  </w:r>
                  <w:r>
                    <w:rPr>
                      <w:rFonts w:ascii="Arial" w:hAnsi="Arial"/>
                      <w:sz w:val="20"/>
                    </w:rPr>
                    <w:t xml:space="preserve">positive and negative controls </w:t>
                  </w:r>
                </w:p>
                <w:p w:rsidR="00DD2A1E" w:rsidRDefault="002417DC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Household</w:t>
                  </w:r>
                  <w:r w:rsidR="00DD2A1E">
                    <w:rPr>
                      <w:rFonts w:ascii="Arial" w:hAnsi="Arial"/>
                      <w:sz w:val="20"/>
                    </w:rPr>
                    <w:t xml:space="preserve"> bleach</w:t>
                  </w:r>
                </w:p>
                <w:p w:rsidR="00DD2A1E" w:rsidRPr="000823A8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848" w:type="dxa"/>
                </w:tcPr>
                <w:p w:rsidR="00DD2A1E" w:rsidRDefault="00461F94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Xpert Swab Specimen</w:t>
                  </w:r>
                  <w:r w:rsidR="0053189C">
                    <w:rPr>
                      <w:rFonts w:ascii="Arial" w:hAnsi="Arial"/>
                      <w:sz w:val="20"/>
                    </w:rPr>
                    <w:t xml:space="preserve"> collection kits</w:t>
                  </w:r>
                </w:p>
                <w:p w:rsidR="00DD2A1E" w:rsidRDefault="00B87F2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Xpert </w:t>
                  </w:r>
                  <w:r w:rsidR="00461F94">
                    <w:rPr>
                      <w:rFonts w:ascii="Arial" w:hAnsi="Arial"/>
                      <w:sz w:val="20"/>
                    </w:rPr>
                    <w:t>Xpress MVP</w:t>
                  </w:r>
                  <w:r w:rsidR="0053189C">
                    <w:rPr>
                      <w:rFonts w:ascii="Arial" w:hAnsi="Arial"/>
                      <w:sz w:val="20"/>
                    </w:rPr>
                    <w:t xml:space="preserve"> cartridges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Transfer pipettes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Simple racks</w:t>
                  </w:r>
                </w:p>
                <w:p w:rsidR="00DD2A1E" w:rsidRDefault="00DD2A1E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Cartridge transfer tray</w:t>
                  </w:r>
                </w:p>
                <w:p w:rsidR="007B2AF1" w:rsidRDefault="007B2AF1" w:rsidP="00DD2A1E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Absorbent biohazard squares </w:t>
                  </w:r>
                </w:p>
                <w:p w:rsidR="00C11295" w:rsidRPr="000823A8" w:rsidRDefault="00C11295" w:rsidP="0060016F">
                  <w:pPr>
                    <w:pStyle w:val="ListParagraph"/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242" w:type="dxa"/>
                </w:tcPr>
                <w:p w:rsidR="00C2377C" w:rsidRDefault="00DD2A1E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Biosafety Hood</w:t>
                  </w:r>
                </w:p>
                <w:p w:rsidR="00DD2A1E" w:rsidRPr="00C2377C" w:rsidRDefault="00C2377C" w:rsidP="00C2377C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77C">
                    <w:rPr>
                      <w:rFonts w:ascii="Arial" w:hAnsi="Arial" w:cs="Arial"/>
                      <w:sz w:val="20"/>
                      <w:szCs w:val="20"/>
                    </w:rPr>
                    <w:t xml:space="preserve">Cepheid </w:t>
                  </w:r>
                  <w:r w:rsidR="00DD2A1E" w:rsidRPr="00C2377C">
                    <w:rPr>
                      <w:rFonts w:ascii="Arial" w:hAnsi="Arial" w:cs="Arial"/>
                      <w:sz w:val="20"/>
                      <w:szCs w:val="20"/>
                    </w:rPr>
                    <w:t>GeneXpert Instrument and computer</w:t>
                  </w:r>
                </w:p>
                <w:p w:rsidR="00DD2A1E" w:rsidRPr="00A628D5" w:rsidRDefault="00DD2A1E" w:rsidP="001257D7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Printer</w:t>
                  </w:r>
                </w:p>
              </w:tc>
            </w:tr>
          </w:tbl>
          <w:p w:rsidR="00DD2A1E" w:rsidRDefault="00DD2A1E" w:rsidP="00DD2A1E">
            <w:pPr>
              <w:jc w:val="left"/>
              <w:rPr>
                <w:rFonts w:ascii="Arial" w:hAnsi="Arial"/>
                <w:sz w:val="20"/>
              </w:rPr>
            </w:pPr>
          </w:p>
          <w:p w:rsidR="00DD2A1E" w:rsidRDefault="00DD2A1E" w:rsidP="00D01E3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A628D5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A628D5" w:rsidRDefault="00A628D5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Storage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A628D5" w:rsidRDefault="00A628D5" w:rsidP="00A628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 w:rsidRPr="00A628D5">
              <w:rPr>
                <w:rFonts w:ascii="Arial" w:hAnsi="Arial"/>
                <w:sz w:val="20"/>
              </w:rPr>
              <w:t xml:space="preserve">Store kits at 2-28°C.  Kits are stable until the expiration date printed on the outer box.   </w:t>
            </w:r>
          </w:p>
          <w:p w:rsidR="00A628D5" w:rsidRPr="00A628D5" w:rsidRDefault="00A628D5" w:rsidP="00A628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/>
                <w:sz w:val="20"/>
              </w:rPr>
            </w:pPr>
            <w:r w:rsidRPr="00A628D5">
              <w:rPr>
                <w:rFonts w:ascii="Arial" w:hAnsi="Arial"/>
                <w:sz w:val="20"/>
              </w:rPr>
              <w:t>Store controls at 2-25°C.  Swabs are stable until the expiration date printed on the package.</w:t>
            </w:r>
          </w:p>
        </w:tc>
      </w:tr>
      <w:tr w:rsidR="00DD2A1E" w:rsidTr="0060016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628D5" w:rsidRDefault="00A628D5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A628D5" w:rsidRDefault="00A628D5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A628D5" w:rsidRDefault="00A628D5" w:rsidP="00791C9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DD2A1E" w:rsidRPr="00791C9F" w:rsidRDefault="00791C9F" w:rsidP="00791C9F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and supplies: 10% bleach</w:t>
            </w:r>
            <w:r w:rsidR="002417DC">
              <w:rPr>
                <w:rFonts w:ascii="Arial" w:hAnsi="Arial" w:cs="Arial"/>
                <w:sz w:val="20"/>
                <w:szCs w:val="20"/>
              </w:rPr>
              <w:t xml:space="preserve"> dilution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followed by 70% ethanol.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A628D5">
              <w:rPr>
                <w:rFonts w:ascii="Arial" w:hAnsi="Arial" w:cs="Arial"/>
                <w:sz w:val="20"/>
                <w:szCs w:val="20"/>
              </w:rPr>
              <w:t>Micr</w:t>
            </w:r>
            <w:r w:rsidR="00461F94">
              <w:rPr>
                <w:rFonts w:ascii="Arial" w:hAnsi="Arial" w:cs="Arial"/>
                <w:sz w:val="20"/>
                <w:szCs w:val="20"/>
              </w:rPr>
              <w:t>obiologics Multiplex Vaginal Panel</w:t>
            </w:r>
            <w:r w:rsidR="00A628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28D5"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  <w:r w:rsidR="00A628D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628D5">
              <w:rPr>
                <w:rFonts w:ascii="Arial" w:hAnsi="Arial" w:cs="Arial"/>
                <w:sz w:val="20"/>
                <w:szCs w:val="20"/>
              </w:rPr>
              <w:t>neg</w:t>
            </w:r>
            <w:proofErr w:type="spellEnd"/>
            <w:r w:rsidR="00A628D5">
              <w:rPr>
                <w:rFonts w:ascii="Arial" w:hAnsi="Arial" w:cs="Arial"/>
                <w:sz w:val="20"/>
                <w:szCs w:val="20"/>
              </w:rPr>
              <w:t xml:space="preserve"> controls, </w:t>
            </w:r>
            <w:r w:rsidRPr="00791C9F">
              <w:rPr>
                <w:rFonts w:ascii="Arial" w:hAnsi="Arial" w:cs="Arial"/>
                <w:sz w:val="20"/>
                <w:szCs w:val="20"/>
              </w:rPr>
              <w:t>two test cartridges</w:t>
            </w:r>
            <w:r w:rsidR="00053173">
              <w:rPr>
                <w:rFonts w:ascii="Arial" w:hAnsi="Arial" w:cs="Arial"/>
                <w:sz w:val="20"/>
                <w:szCs w:val="20"/>
              </w:rPr>
              <w:t xml:space="preserve"> and two </w:t>
            </w:r>
            <w:r w:rsidR="00461F94">
              <w:rPr>
                <w:rFonts w:ascii="Arial" w:hAnsi="Arial" w:cs="Arial"/>
                <w:sz w:val="20"/>
                <w:szCs w:val="20"/>
              </w:rPr>
              <w:t>Xpert Swab Specimen C</w:t>
            </w:r>
            <w:r w:rsidR="00053173">
              <w:rPr>
                <w:rFonts w:ascii="Arial" w:hAnsi="Arial" w:cs="Arial"/>
                <w:sz w:val="20"/>
                <w:szCs w:val="20"/>
              </w:rPr>
              <w:t>ollection sample tubes</w:t>
            </w:r>
            <w:r w:rsidRPr="00791C9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28D5" w:rsidRDefault="00053173" w:rsidP="00F47770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cartridges and collection tubes for the positive and negative controls</w:t>
            </w:r>
            <w:r w:rsidR="00C569EA">
              <w:rPr>
                <w:rFonts w:ascii="Arial" w:hAnsi="Arial" w:cs="Arial"/>
                <w:sz w:val="20"/>
                <w:szCs w:val="20"/>
              </w:rPr>
              <w:t>, write prep date (exp. 1 day)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3173" w:rsidRPr="00A628D5" w:rsidRDefault="00F47770" w:rsidP="00A628D5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28D5">
              <w:rPr>
                <w:rFonts w:ascii="Arial" w:hAnsi="Arial" w:cs="Arial"/>
                <w:sz w:val="20"/>
                <w:szCs w:val="20"/>
              </w:rPr>
              <w:t>Set</w:t>
            </w:r>
            <w:r w:rsidR="00A628D5">
              <w:rPr>
                <w:rFonts w:ascii="Arial" w:hAnsi="Arial" w:cs="Arial"/>
                <w:sz w:val="20"/>
                <w:szCs w:val="20"/>
              </w:rPr>
              <w:t>ting up the positive control first, o</w:t>
            </w:r>
            <w:r w:rsidRPr="00A628D5">
              <w:rPr>
                <w:rFonts w:ascii="Arial" w:hAnsi="Arial" w:cs="Arial"/>
                <w:sz w:val="20"/>
                <w:szCs w:val="20"/>
              </w:rPr>
              <w:t xml:space="preserve">pen the </w:t>
            </w:r>
            <w:r w:rsidR="00053173" w:rsidRPr="00A628D5">
              <w:rPr>
                <w:rFonts w:ascii="Arial" w:hAnsi="Arial" w:cs="Arial"/>
                <w:sz w:val="20"/>
                <w:szCs w:val="20"/>
              </w:rPr>
              <w:t>control swab</w:t>
            </w:r>
            <w:r w:rsidRPr="00A628D5">
              <w:rPr>
                <w:rFonts w:ascii="Arial" w:hAnsi="Arial" w:cs="Arial"/>
                <w:sz w:val="20"/>
                <w:szCs w:val="20"/>
              </w:rPr>
              <w:t>.</w:t>
            </w:r>
            <w:r w:rsidR="00053173" w:rsidRPr="00A628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50B" w:rsidRPr="0053189C" w:rsidRDefault="00053173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Insert the swab into the collection tube, 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lift it up (about 2cm from the bottom), and break the shaft off </w:t>
            </w:r>
            <w:r w:rsidR="00F47770" w:rsidRPr="0053189C">
              <w:rPr>
                <w:rFonts w:ascii="Arial" w:hAnsi="Arial" w:cs="Arial"/>
                <w:sz w:val="20"/>
                <w:szCs w:val="20"/>
              </w:rPr>
              <w:t>using an</w:t>
            </w:r>
            <w:r w:rsidRPr="0053189C">
              <w:rPr>
                <w:rFonts w:ascii="Arial" w:hAnsi="Arial" w:cs="Arial"/>
                <w:sz w:val="20"/>
                <w:szCs w:val="20"/>
              </w:rPr>
              <w:t xml:space="preserve"> absorbent biohazard pad (orange) </w:t>
            </w:r>
            <w:r w:rsidR="00F47770" w:rsidRPr="0053189C">
              <w:rPr>
                <w:rFonts w:ascii="Arial" w:hAnsi="Arial" w:cs="Arial"/>
                <w:sz w:val="20"/>
                <w:szCs w:val="20"/>
              </w:rPr>
              <w:t>as a barrier on the top of the tube.</w:t>
            </w:r>
          </w:p>
          <w:p w:rsidR="00791C9F" w:rsidRDefault="00BE050B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Vortex the vial for 10 seconds.</w:t>
            </w:r>
            <w:r w:rsidR="00F47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28D5" w:rsidRPr="00791C9F" w:rsidRDefault="00A628D5" w:rsidP="00A628D5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28D5">
              <w:rPr>
                <w:rFonts w:ascii="Arial" w:hAnsi="Arial" w:cs="Arial"/>
                <w:sz w:val="20"/>
                <w:szCs w:val="20"/>
              </w:rPr>
              <w:t>Using the in</w:t>
            </w:r>
            <w:r w:rsidR="00461F94">
              <w:rPr>
                <w:rFonts w:ascii="Arial" w:hAnsi="Arial" w:cs="Arial"/>
                <w:sz w:val="20"/>
                <w:szCs w:val="20"/>
              </w:rPr>
              <w:t>cluded kit pipet, transfer Swab Specimen Collection kit</w:t>
            </w:r>
            <w:r w:rsidRPr="00A628D5">
              <w:rPr>
                <w:rFonts w:ascii="Arial" w:hAnsi="Arial" w:cs="Arial"/>
                <w:sz w:val="20"/>
                <w:szCs w:val="20"/>
              </w:rPr>
              <w:t xml:space="preserve"> media into the proper cartridge.  </w:t>
            </w:r>
          </w:p>
          <w:p w:rsidR="00F47770" w:rsidRDefault="00F47770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791C9F" w:rsidRPr="00A628D5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</w:t>
            </w:r>
            <w:r w:rsidR="00A628D5">
              <w:rPr>
                <w:rFonts w:ascii="Arial" w:hAnsi="Arial" w:cs="Arial"/>
                <w:sz w:val="20"/>
                <w:szCs w:val="20"/>
              </w:rPr>
              <w:t>n cartridges as patient samples (S</w:t>
            </w:r>
            <w:r w:rsidR="00461F94">
              <w:rPr>
                <w:rFonts w:ascii="Arial" w:hAnsi="Arial" w:cs="Arial"/>
                <w:sz w:val="20"/>
                <w:szCs w:val="20"/>
              </w:rPr>
              <w:t>ee GeneXpert Xpress MVP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  <w:r w:rsidR="00A628D5">
              <w:rPr>
                <w:rFonts w:ascii="Arial" w:hAnsi="Arial" w:cs="Arial"/>
                <w:sz w:val="20"/>
                <w:szCs w:val="20"/>
              </w:rPr>
              <w:t xml:space="preserve"> labeled u</w:t>
            </w:r>
            <w:r w:rsidRPr="00A628D5">
              <w:rPr>
                <w:rFonts w:ascii="Arial" w:hAnsi="Arial" w:cs="Arial"/>
                <w:sz w:val="20"/>
                <w:szCs w:val="20"/>
              </w:rPr>
              <w:t>nder the “Test Type” field select “Positive Control 1” or “Negative Control 1”.</w:t>
            </w:r>
          </w:p>
          <w:p w:rsid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</w:t>
            </w:r>
            <w:r w:rsidR="002417DC">
              <w:rPr>
                <w:rFonts w:ascii="Arial" w:hAnsi="Arial" w:cs="Arial"/>
                <w:sz w:val="20"/>
                <w:szCs w:val="20"/>
              </w:rPr>
              <w:t xml:space="preserve"> dilution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followed by 70% ethanol.</w:t>
            </w:r>
          </w:p>
          <w:p w:rsidR="00791C9F" w:rsidRPr="00791C9F" w:rsidRDefault="00791C9F" w:rsidP="00791C9F">
            <w:pPr>
              <w:pStyle w:val="NoSpacing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B87F21">
              <w:rPr>
                <w:rFonts w:ascii="Arial" w:hAnsi="Arial" w:cs="Arial"/>
                <w:sz w:val="20"/>
                <w:szCs w:val="20"/>
              </w:rPr>
              <w:t>cument QC in the GeneXpert</w:t>
            </w:r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1C9F" w:rsidRPr="00791C9F" w:rsidRDefault="00791C9F" w:rsidP="00791C9F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628D5" w:rsidRDefault="00A628D5" w:rsidP="00A628D5">
            <w:pPr>
              <w:pStyle w:val="NoSpacing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628D5">
              <w:rPr>
                <w:rFonts w:ascii="Arial" w:hAnsi="Arial" w:cs="Arial"/>
                <w:sz w:val="20"/>
                <w:szCs w:val="20"/>
              </w:rPr>
              <w:t>ll co</w:t>
            </w:r>
            <w:r>
              <w:rPr>
                <w:rFonts w:ascii="Arial" w:hAnsi="Arial" w:cs="Arial"/>
                <w:sz w:val="20"/>
                <w:szCs w:val="20"/>
              </w:rPr>
              <w:t>ntrols must yield valid results before reporting patient results.</w:t>
            </w:r>
            <w:r w:rsidR="00791C9F"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69EA" w:rsidRPr="00A628D5" w:rsidRDefault="00C569EA" w:rsidP="00A628D5">
            <w:pPr>
              <w:pStyle w:val="NoSpacing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28D5">
              <w:rPr>
                <w:rFonts w:ascii="Arial" w:hAnsi="Arial" w:cs="Arial"/>
                <w:sz w:val="20"/>
                <w:szCs w:val="20"/>
              </w:rPr>
              <w:t>Rotate modules for QC testing.</w:t>
            </w:r>
          </w:p>
          <w:p w:rsidR="0099604E" w:rsidRDefault="0099604E" w:rsidP="0060016F">
            <w:pPr>
              <w:rPr>
                <w:rFonts w:ascii="Arial" w:hAnsi="Arial"/>
                <w:sz w:val="20"/>
              </w:rPr>
            </w:pPr>
          </w:p>
          <w:p w:rsidR="00791C9F" w:rsidRPr="00CF4FF3" w:rsidRDefault="00E901CE" w:rsidP="00791C9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Wipe test</w:t>
            </w:r>
            <w:r w:rsidR="00791C9F" w:rsidRPr="00CF4FF3">
              <w:rPr>
                <w:rFonts w:ascii="Arial" w:hAnsi="Arial"/>
                <w:b/>
                <w:sz w:val="20"/>
              </w:rPr>
              <w:t>:</w:t>
            </w:r>
          </w:p>
          <w:p w:rsidR="00E678AC" w:rsidRDefault="00AC3854" w:rsidP="00E678AC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624D82">
              <w:rPr>
                <w:rFonts w:ascii="Arial" w:hAnsi="Arial"/>
                <w:sz w:val="20"/>
              </w:rPr>
              <w:t>Obtain an Xpert</w:t>
            </w:r>
            <w:r>
              <w:rPr>
                <w:rFonts w:ascii="Arial" w:hAnsi="Arial"/>
                <w:sz w:val="20"/>
              </w:rPr>
              <w:t xml:space="preserve"> Swab</w:t>
            </w:r>
            <w:r w:rsidRPr="00624D82">
              <w:rPr>
                <w:rFonts w:ascii="Arial" w:hAnsi="Arial"/>
                <w:sz w:val="20"/>
              </w:rPr>
              <w:t xml:space="preserve"> Specimen Collection Kit. Label the pink capped tube for wipe testing. Using the small swab from the kit, </w:t>
            </w:r>
            <w:r>
              <w:rPr>
                <w:rFonts w:ascii="Arial" w:hAnsi="Arial"/>
                <w:sz w:val="20"/>
              </w:rPr>
              <w:t>wet</w:t>
            </w:r>
            <w:r w:rsidR="0053189C">
              <w:rPr>
                <w:rFonts w:ascii="Arial" w:hAnsi="Arial"/>
                <w:sz w:val="20"/>
              </w:rPr>
              <w:t xml:space="preserve"> the swab in transport media and</w:t>
            </w:r>
            <w:r w:rsidR="00791C9F">
              <w:rPr>
                <w:rFonts w:ascii="Arial" w:hAnsi="Arial"/>
                <w:sz w:val="20"/>
              </w:rPr>
              <w:t xml:space="preserve"> swab the processing </w:t>
            </w:r>
            <w:r w:rsidR="00791C9F" w:rsidRPr="00791C9F">
              <w:rPr>
                <w:rFonts w:ascii="Arial" w:hAnsi="Arial"/>
                <w:sz w:val="20"/>
              </w:rPr>
              <w:t>hood surface, counter around the GeneXpert instrument (including the keyboard, mouse, and scanner), and door handles on the instrument.</w:t>
            </w:r>
          </w:p>
          <w:p w:rsidR="00AC3854" w:rsidRPr="00624D82" w:rsidRDefault="00AC3854" w:rsidP="00AC3854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624D82">
              <w:rPr>
                <w:rFonts w:ascii="Arial" w:hAnsi="Arial"/>
                <w:sz w:val="20"/>
              </w:rPr>
              <w:t>Break swab off into the pink capped tube using an absorbent biohazard square as a barrier.</w:t>
            </w:r>
          </w:p>
          <w:p w:rsidR="00AC3854" w:rsidRPr="00AC3854" w:rsidRDefault="00AC3854" w:rsidP="00AC3854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Pr="00624D82">
              <w:rPr>
                <w:rFonts w:ascii="Arial" w:hAnsi="Arial"/>
                <w:sz w:val="20"/>
              </w:rPr>
              <w:t>he SAME pink capped tube</w:t>
            </w:r>
            <w:r>
              <w:rPr>
                <w:rFonts w:ascii="Arial" w:hAnsi="Arial"/>
                <w:sz w:val="20"/>
              </w:rPr>
              <w:t xml:space="preserve"> can be used for CTNG and TV wipe testing.</w:t>
            </w:r>
          </w:p>
          <w:p w:rsidR="00D1329A" w:rsidRDefault="00D1329A" w:rsidP="00C9045D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Process and run as a patient sample. </w:t>
            </w:r>
          </w:p>
          <w:p w:rsidR="00A628D5" w:rsidRDefault="00D1329A" w:rsidP="00164703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</w:t>
            </w:r>
            <w:r w:rsidR="00B87F21">
              <w:rPr>
                <w:rFonts w:ascii="Arial" w:hAnsi="Arial"/>
                <w:sz w:val="20"/>
              </w:rPr>
              <w:t>t testing in the GeneXpert QC</w:t>
            </w:r>
            <w:r>
              <w:rPr>
                <w:rFonts w:ascii="Arial" w:hAnsi="Arial"/>
                <w:sz w:val="20"/>
              </w:rPr>
              <w:t xml:space="preserve"> binder. </w:t>
            </w:r>
          </w:p>
          <w:p w:rsidR="00DD2A1E" w:rsidRDefault="00D1329A" w:rsidP="00164703">
            <w:pPr>
              <w:pStyle w:val="ListParagraph"/>
              <w:numPr>
                <w:ilvl w:val="0"/>
                <w:numId w:val="8"/>
              </w:numPr>
              <w:ind w:left="720"/>
              <w:jc w:val="left"/>
              <w:rPr>
                <w:rFonts w:ascii="Arial" w:hAnsi="Arial"/>
                <w:sz w:val="20"/>
              </w:rPr>
            </w:pPr>
            <w:r w:rsidRPr="00A628D5">
              <w:rPr>
                <w:rFonts w:ascii="Arial" w:hAnsi="Arial"/>
                <w:sz w:val="20"/>
              </w:rPr>
              <w:t xml:space="preserve">In the event of positive result notify the tech specialist, decontaminate, and re-test. </w:t>
            </w:r>
          </w:p>
          <w:p w:rsidR="00A628D5" w:rsidRPr="00A628D5" w:rsidRDefault="00A628D5" w:rsidP="00A628D5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B87F2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DD2A1E" w:rsidRDefault="00DD2A1E" w:rsidP="00CE491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  <w:r w:rsidR="00CE491B">
              <w:rPr>
                <w:rFonts w:ascii="Arial" w:hAnsi="Arial"/>
                <w:b/>
                <w:color w:val="0000FF"/>
                <w:sz w:val="20"/>
              </w:rPr>
              <w:t xml:space="preserve"> and Documentation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E901CE" w:rsidRDefault="00E901CE" w:rsidP="00E901CE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A628D5" w:rsidRDefault="00D01E37" w:rsidP="00A628D5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Ensure that the printer is turned on. </w:t>
            </w:r>
            <w:r w:rsidRPr="00A628D5">
              <w:rPr>
                <w:rFonts w:ascii="Arial" w:hAnsi="Arial" w:cs="Arial"/>
                <w:sz w:val="20"/>
                <w:szCs w:val="20"/>
              </w:rPr>
              <w:t>Reports will print automatically.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Click on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 xml:space="preserve">View Results 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on the top drop-down menu bar and select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View Test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E37" w:rsidRDefault="00D01E37" w:rsidP="00D01E37">
            <w:pPr>
              <w:pStyle w:val="NoSpacing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Select the result you would like to review: Click </w:t>
            </w:r>
            <w:r w:rsidRPr="00D01E37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D01E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28D5" w:rsidRDefault="00A628D5" w:rsidP="00A628D5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628D5" w:rsidRDefault="00A628D5" w:rsidP="00A628D5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628D5" w:rsidRPr="00925CBF" w:rsidRDefault="00A628D5" w:rsidP="00A628D5">
            <w:pPr>
              <w:pStyle w:val="NoSpacing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25CBF">
              <w:rPr>
                <w:rFonts w:ascii="Arial" w:hAnsi="Arial" w:cs="Arial"/>
                <w:b/>
                <w:sz w:val="20"/>
                <w:szCs w:val="20"/>
              </w:rPr>
              <w:t>Valid Results:</w:t>
            </w:r>
          </w:p>
          <w:p w:rsidR="00A628D5" w:rsidRPr="00AC3854" w:rsidRDefault="00A628D5" w:rsidP="00A628D5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3854">
              <w:rPr>
                <w:rFonts w:ascii="Arial" w:hAnsi="Arial" w:cs="Arial"/>
                <w:b/>
                <w:sz w:val="20"/>
                <w:szCs w:val="20"/>
              </w:rPr>
              <w:t>Microbiolo</w:t>
            </w:r>
            <w:r w:rsidR="00461F94" w:rsidRPr="00AC3854">
              <w:rPr>
                <w:rFonts w:ascii="Arial" w:hAnsi="Arial" w:cs="Arial"/>
                <w:b/>
                <w:sz w:val="20"/>
                <w:szCs w:val="20"/>
              </w:rPr>
              <w:t>gics Multiplex Vaginal positive control:</w:t>
            </w:r>
            <w:r w:rsidR="00461F94" w:rsidRPr="00AC38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8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854" w:rsidRPr="00AC3854">
              <w:rPr>
                <w:rFonts w:ascii="Arial" w:hAnsi="Arial" w:cs="Arial"/>
                <w:sz w:val="20"/>
                <w:szCs w:val="20"/>
              </w:rPr>
              <w:t xml:space="preserve">BV Positive, Candida group </w:t>
            </w:r>
            <w:r w:rsidR="00AC3854">
              <w:rPr>
                <w:rFonts w:ascii="Arial" w:hAnsi="Arial" w:cs="Arial"/>
                <w:sz w:val="20"/>
                <w:szCs w:val="20"/>
              </w:rPr>
              <w:t>D</w:t>
            </w:r>
            <w:r w:rsidRPr="00AC3854">
              <w:rPr>
                <w:rFonts w:ascii="Arial" w:hAnsi="Arial" w:cs="Arial"/>
                <w:sz w:val="20"/>
                <w:szCs w:val="20"/>
              </w:rPr>
              <w:t>etected</w:t>
            </w:r>
            <w:r w:rsidR="00AC3854" w:rsidRPr="00AC3854">
              <w:rPr>
                <w:rFonts w:ascii="Arial" w:hAnsi="Arial" w:cs="Arial"/>
                <w:sz w:val="20"/>
                <w:szCs w:val="20"/>
              </w:rPr>
              <w:t xml:space="preserve">, Candida </w:t>
            </w:r>
            <w:proofErr w:type="spellStart"/>
            <w:r w:rsidR="00AC3854" w:rsidRPr="00AC3854">
              <w:rPr>
                <w:rFonts w:ascii="Arial" w:hAnsi="Arial" w:cs="Arial"/>
                <w:sz w:val="20"/>
                <w:szCs w:val="20"/>
              </w:rPr>
              <w:t>glab</w:t>
            </w:r>
            <w:proofErr w:type="spellEnd"/>
            <w:r w:rsidR="00AC3854" w:rsidRPr="00AC385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C3854" w:rsidRPr="00AC3854">
              <w:rPr>
                <w:rFonts w:ascii="Arial" w:hAnsi="Arial" w:cs="Arial"/>
                <w:sz w:val="20"/>
                <w:szCs w:val="20"/>
              </w:rPr>
              <w:t>krus</w:t>
            </w:r>
            <w:proofErr w:type="spellEnd"/>
            <w:r w:rsidR="00AC3854" w:rsidRPr="00AC3854">
              <w:rPr>
                <w:rFonts w:ascii="Arial" w:hAnsi="Arial" w:cs="Arial"/>
                <w:sz w:val="20"/>
                <w:szCs w:val="20"/>
              </w:rPr>
              <w:t xml:space="preserve"> Detected, TV Detected</w:t>
            </w:r>
          </w:p>
          <w:p w:rsidR="00A628D5" w:rsidRPr="00AC3854" w:rsidRDefault="00A628D5" w:rsidP="00A628D5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3854">
              <w:rPr>
                <w:rFonts w:ascii="Arial" w:hAnsi="Arial" w:cs="Arial"/>
                <w:b/>
                <w:sz w:val="20"/>
                <w:szCs w:val="20"/>
              </w:rPr>
              <w:t>Microbiolo</w:t>
            </w:r>
            <w:r w:rsidR="00461F94" w:rsidRPr="00AC3854">
              <w:rPr>
                <w:rFonts w:ascii="Arial" w:hAnsi="Arial" w:cs="Arial"/>
                <w:b/>
                <w:sz w:val="20"/>
                <w:szCs w:val="20"/>
              </w:rPr>
              <w:t>gics Multiplex Vaginal negative control</w:t>
            </w:r>
            <w:r w:rsidR="00461F94" w:rsidRPr="00AC385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C3854" w:rsidRPr="00AC3854">
              <w:rPr>
                <w:rFonts w:ascii="Arial" w:hAnsi="Arial" w:cs="Arial"/>
                <w:sz w:val="20"/>
                <w:szCs w:val="20"/>
              </w:rPr>
              <w:t xml:space="preserve">BV Negative, Candida group Not Detected, Candida </w:t>
            </w:r>
            <w:proofErr w:type="spellStart"/>
            <w:r w:rsidR="00AC3854" w:rsidRPr="00AC3854">
              <w:rPr>
                <w:rFonts w:ascii="Arial" w:hAnsi="Arial" w:cs="Arial"/>
                <w:sz w:val="20"/>
                <w:szCs w:val="20"/>
              </w:rPr>
              <w:t>glab</w:t>
            </w:r>
            <w:proofErr w:type="spellEnd"/>
            <w:r w:rsidR="00AC3854" w:rsidRPr="00AC385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C3854" w:rsidRPr="00AC3854">
              <w:rPr>
                <w:rFonts w:ascii="Arial" w:hAnsi="Arial" w:cs="Arial"/>
                <w:sz w:val="20"/>
                <w:szCs w:val="20"/>
              </w:rPr>
              <w:t>krus</w:t>
            </w:r>
            <w:proofErr w:type="spellEnd"/>
            <w:r w:rsidR="00AC3854" w:rsidRPr="00AC3854">
              <w:rPr>
                <w:rFonts w:ascii="Arial" w:hAnsi="Arial" w:cs="Arial"/>
                <w:sz w:val="20"/>
                <w:szCs w:val="20"/>
              </w:rPr>
              <w:t xml:space="preserve"> Not Detected, TV Not De</w:t>
            </w:r>
            <w:r w:rsidRPr="00AC3854">
              <w:rPr>
                <w:rFonts w:ascii="Arial" w:hAnsi="Arial" w:cs="Arial"/>
                <w:sz w:val="20"/>
                <w:szCs w:val="20"/>
              </w:rPr>
              <w:t>tected</w:t>
            </w:r>
          </w:p>
          <w:p w:rsidR="00A628D5" w:rsidRPr="00AC3854" w:rsidRDefault="00461F94" w:rsidP="00A628D5">
            <w:pPr>
              <w:pStyle w:val="NoSpacing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3854">
              <w:rPr>
                <w:rFonts w:ascii="Arial" w:hAnsi="Arial" w:cs="Arial"/>
                <w:b/>
                <w:sz w:val="20"/>
                <w:szCs w:val="20"/>
              </w:rPr>
              <w:t>Wipe test control:</w:t>
            </w:r>
            <w:r w:rsidRPr="00AC38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854" w:rsidRPr="00AC3854">
              <w:rPr>
                <w:rFonts w:ascii="Arial" w:hAnsi="Arial" w:cs="Arial"/>
                <w:sz w:val="20"/>
                <w:szCs w:val="20"/>
              </w:rPr>
              <w:t xml:space="preserve"> BV Negative, Candida group Not Detected, Candida </w:t>
            </w:r>
            <w:proofErr w:type="spellStart"/>
            <w:r w:rsidR="00AC3854" w:rsidRPr="00AC3854">
              <w:rPr>
                <w:rFonts w:ascii="Arial" w:hAnsi="Arial" w:cs="Arial"/>
                <w:sz w:val="20"/>
                <w:szCs w:val="20"/>
              </w:rPr>
              <w:t>glab</w:t>
            </w:r>
            <w:proofErr w:type="spellEnd"/>
            <w:r w:rsidR="00AC3854" w:rsidRPr="00AC385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AC3854" w:rsidRPr="00AC3854">
              <w:rPr>
                <w:rFonts w:ascii="Arial" w:hAnsi="Arial" w:cs="Arial"/>
                <w:sz w:val="20"/>
                <w:szCs w:val="20"/>
              </w:rPr>
              <w:t>krus</w:t>
            </w:r>
            <w:proofErr w:type="spellEnd"/>
            <w:r w:rsidR="00AC3854" w:rsidRPr="00AC3854">
              <w:rPr>
                <w:rFonts w:ascii="Arial" w:hAnsi="Arial" w:cs="Arial"/>
                <w:sz w:val="20"/>
                <w:szCs w:val="20"/>
              </w:rPr>
              <w:t xml:space="preserve"> Not Detected, TV Not Detected</w:t>
            </w:r>
          </w:p>
          <w:p w:rsidR="00A628D5" w:rsidRPr="00D01E37" w:rsidRDefault="00A628D5" w:rsidP="00A628D5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SPC do</w:t>
            </w:r>
            <w:r w:rsidR="0053189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not need to pass for a positive result to be valid. </w:t>
            </w:r>
          </w:p>
          <w:p w:rsidR="00D01E37" w:rsidRPr="00B87F21" w:rsidRDefault="00D01E37" w:rsidP="00B87F21">
            <w:pPr>
              <w:pStyle w:val="NoSpacing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NOTE: SPC do</w:t>
            </w:r>
            <w:r w:rsidR="0053189C">
              <w:rPr>
                <w:rFonts w:ascii="Arial" w:hAnsi="Arial" w:cs="Arial"/>
                <w:sz w:val="20"/>
                <w:szCs w:val="20"/>
              </w:rPr>
              <w:t>es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need to pass for a negative result to be valid.</w:t>
            </w: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E37" w:rsidRPr="00D01E37" w:rsidRDefault="00D01E37" w:rsidP="00D01E3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E37">
              <w:rPr>
                <w:rFonts w:ascii="Arial" w:hAnsi="Arial" w:cs="Arial"/>
                <w:b/>
                <w:sz w:val="20"/>
                <w:szCs w:val="20"/>
              </w:rPr>
              <w:t>Reasons to retest: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INVALID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sample was not properly processed.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PCR was inhibited.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7B2AF1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result.  This may indicate: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reaction tube was filled improperly.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lastRenderedPageBreak/>
              <w:t xml:space="preserve">A reagent probe integrity problem was detected.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The maximum pressure limit was exceeded. 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A valve positioning error was detected. </w:t>
            </w:r>
          </w:p>
          <w:p w:rsidR="00D01E37" w:rsidRPr="00D01E37" w:rsidRDefault="00D01E37" w:rsidP="00D01E37">
            <w:pPr>
              <w:pStyle w:val="NoSpacing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B2AF1">
              <w:rPr>
                <w:rFonts w:ascii="Arial" w:hAnsi="Arial" w:cs="Arial"/>
                <w:b/>
                <w:sz w:val="20"/>
                <w:szCs w:val="20"/>
              </w:rPr>
              <w:t>NO RESULT</w:t>
            </w:r>
            <w:r w:rsidRPr="00D01E3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01E37" w:rsidRPr="00D01E37" w:rsidRDefault="00D01E37" w:rsidP="00D01E37">
            <w:pPr>
              <w:pStyle w:val="NoSpacing"/>
              <w:numPr>
                <w:ilvl w:val="1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>This result indicated that insufficient data were collected. (</w:t>
            </w:r>
            <w:proofErr w:type="gramStart"/>
            <w:r w:rsidRPr="00D01E37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01E37">
              <w:rPr>
                <w:rFonts w:ascii="Arial" w:hAnsi="Arial" w:cs="Arial"/>
                <w:sz w:val="20"/>
                <w:szCs w:val="20"/>
              </w:rPr>
              <w:t>. test stopped while in progress or power failure occurred.</w:t>
            </w:r>
            <w:r w:rsidR="00636E62">
              <w:rPr>
                <w:rFonts w:ascii="Arial" w:hAnsi="Arial" w:cs="Arial"/>
                <w:sz w:val="20"/>
                <w:szCs w:val="20"/>
              </w:rPr>
              <w:t>)</w:t>
            </w:r>
            <w:r w:rsidRPr="00D01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E37" w:rsidRPr="00D01E37" w:rsidRDefault="00D01E37" w:rsidP="00D01E37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01E37" w:rsidRDefault="00D01E37" w:rsidP="00D01E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E37">
              <w:rPr>
                <w:rFonts w:ascii="Arial" w:hAnsi="Arial" w:cs="Arial"/>
                <w:sz w:val="20"/>
                <w:szCs w:val="20"/>
              </w:rPr>
              <w:t xml:space="preserve">Record any failures on the “GeneXpert Service and Error Log” log. </w:t>
            </w:r>
          </w:p>
          <w:p w:rsidR="00DD2A1E" w:rsidRDefault="00DD2A1E" w:rsidP="00684903">
            <w:pPr>
              <w:jc w:val="left"/>
              <w:rPr>
                <w:rFonts w:ascii="Arial" w:hAnsi="Arial"/>
              </w:rPr>
            </w:pPr>
          </w:p>
          <w:p w:rsidR="00684903" w:rsidRDefault="00684903" w:rsidP="006849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there is a QC failure, document observation and correction action.  Report QC problems that cannot be resolved to the tech specialist.  For repeated failures contact Cepheid Technical Support.  </w:t>
            </w:r>
          </w:p>
          <w:p w:rsidR="00325F26" w:rsidRDefault="00325F26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84903" w:rsidRDefault="00684903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report patient results until problem is resolved.</w:t>
            </w:r>
          </w:p>
          <w:p w:rsidR="00B87F21" w:rsidRPr="00B87F21" w:rsidRDefault="00B87F21" w:rsidP="00B87F2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F21" w:rsidRPr="002C6A23" w:rsidRDefault="00B87F21" w:rsidP="00B87F21">
            <w:pPr>
              <w:pStyle w:val="List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C6A23" w:rsidRPr="00325F26" w:rsidRDefault="00461F94" w:rsidP="00325F26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Xpert Xpress MVP </w:t>
            </w:r>
            <w:r w:rsidR="0053189C" w:rsidRPr="0053189C">
              <w:rPr>
                <w:rFonts w:ascii="Arial" w:eastAsiaTheme="minorHAnsi" w:hAnsi="Arial" w:cs="Arial"/>
                <w:sz w:val="20"/>
                <w:szCs w:val="20"/>
              </w:rPr>
              <w:t>Package In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sert, 301-8994, Rev. E, October 2022</w:t>
            </w:r>
            <w:r w:rsidR="0053189C" w:rsidRPr="0053189C">
              <w:rPr>
                <w:rFonts w:ascii="Arial" w:eastAsiaTheme="minorHAnsi" w:hAnsi="Arial" w:cs="Arial"/>
                <w:sz w:val="20"/>
                <w:szCs w:val="20"/>
              </w:rPr>
              <w:t>Sunnyvale, CA: Cepheid.</w:t>
            </w:r>
          </w:p>
          <w:p w:rsidR="000F3854" w:rsidRPr="00325F26" w:rsidRDefault="0060016F" w:rsidP="000F3854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hAnsi="Arial" w:cs="Arial"/>
                <w:sz w:val="20"/>
                <w:szCs w:val="20"/>
              </w:rPr>
              <w:t xml:space="preserve">CAP Microbiology Checklist, College of American Pathologists, 325 </w:t>
            </w:r>
            <w:proofErr w:type="spellStart"/>
            <w:r w:rsidRPr="002C6A23">
              <w:rPr>
                <w:rFonts w:ascii="Arial" w:hAnsi="Arial" w:cs="Arial"/>
                <w:sz w:val="20"/>
                <w:szCs w:val="20"/>
              </w:rPr>
              <w:t>Wakegan</w:t>
            </w:r>
            <w:proofErr w:type="spellEnd"/>
            <w:r w:rsidRPr="002C6A23">
              <w:rPr>
                <w:rFonts w:ascii="Arial" w:hAnsi="Arial" w:cs="Arial"/>
                <w:sz w:val="20"/>
                <w:szCs w:val="20"/>
              </w:rPr>
              <w:t xml:space="preserve"> Road, Northfield, IL 60093-2750, 08/17/2016.</w:t>
            </w:r>
          </w:p>
          <w:p w:rsidR="000F3854" w:rsidRPr="002C6A23" w:rsidRDefault="000F3854" w:rsidP="0060016F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A23">
              <w:rPr>
                <w:rFonts w:ascii="Arial" w:eastAsiaTheme="minorHAnsi" w:hAnsi="Arial" w:cs="Arial"/>
                <w:sz w:val="20"/>
                <w:szCs w:val="20"/>
              </w:rPr>
              <w:t>Microbiologics. Instructions for Use: Helix Elite Molecular Standards (Inactivated Swabs) Products, PI.2252 Rev D. St. Cloud, MN, 2019.</w:t>
            </w:r>
          </w:p>
          <w:p w:rsidR="00B87F21" w:rsidRPr="0060016F" w:rsidRDefault="00B87F21" w:rsidP="00B87F21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A1E" w:rsidRDefault="00DD2A1E" w:rsidP="0060016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 w:rsidRPr="00E678AC"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461F94" w:rsidP="00B87F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AC3854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6/6</w:t>
            </w:r>
            <w:r w:rsidR="00461F94">
              <w:rPr>
                <w:rFonts w:ascii="Arial" w:hAnsi="Arial"/>
                <w:sz w:val="20"/>
              </w:rPr>
              <w:t>/2023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DD2A1E" w:rsidRDefault="00DD2A1E" w:rsidP="0060016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D2A1E" w:rsidTr="006001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1E" w:rsidRDefault="00DD2A1E" w:rsidP="0060016F">
            <w:pPr>
              <w:rPr>
                <w:rFonts w:ascii="Arial" w:hAnsi="Arial"/>
                <w:sz w:val="20"/>
              </w:rPr>
            </w:pPr>
          </w:p>
        </w:tc>
      </w:tr>
    </w:tbl>
    <w:p w:rsidR="007B0D03" w:rsidRDefault="007B0D03" w:rsidP="0087480A">
      <w:pPr>
        <w:pStyle w:val="NoSpacing"/>
      </w:pPr>
    </w:p>
    <w:sectPr w:rsidR="007B0D03" w:rsidSect="0060016F">
      <w:headerReference w:type="default" r:id="rId8"/>
      <w:footerReference w:type="default" r:id="rId9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73" w:rsidRDefault="00053173" w:rsidP="00DD2A1E">
      <w:r>
        <w:separator/>
      </w:r>
    </w:p>
  </w:endnote>
  <w:endnote w:type="continuationSeparator" w:id="0">
    <w:p w:rsidR="00053173" w:rsidRDefault="00053173" w:rsidP="00D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Pr="00634740" w:rsidRDefault="00053173" w:rsidP="0060016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053173" w:rsidRDefault="00053173" w:rsidP="0060016F">
    <w:pPr>
      <w:pStyle w:val="Footer"/>
      <w:ind w:hanging="1350"/>
    </w:pPr>
  </w:p>
  <w:p w:rsidR="00053173" w:rsidRDefault="004B5A67" w:rsidP="0060016F">
    <w:pPr>
      <w:pStyle w:val="Footer"/>
      <w:ind w:hanging="135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Children’s </w:t>
    </w:r>
    <w:r w:rsidR="00053173">
      <w:rPr>
        <w:rFonts w:ascii="Arial" w:hAnsi="Arial" w:cs="Arial"/>
        <w:sz w:val="18"/>
        <w:szCs w:val="18"/>
      </w:rPr>
      <w:t>Minnesota Laboratory, Minneapolis</w:t>
    </w:r>
    <w:r w:rsidR="00053173" w:rsidRPr="00634740">
      <w:rPr>
        <w:rFonts w:ascii="Arial" w:hAnsi="Arial" w:cs="Arial"/>
        <w:sz w:val="18"/>
        <w:szCs w:val="18"/>
      </w:rPr>
      <w:t>/St Paul MN</w:t>
    </w:r>
    <w:r w:rsidR="00053173">
      <w:rPr>
        <w:rFonts w:ascii="Arial" w:hAnsi="Arial" w:cs="Arial"/>
        <w:sz w:val="18"/>
        <w:szCs w:val="18"/>
      </w:rPr>
      <w:tab/>
    </w:r>
    <w:r w:rsidR="00053173" w:rsidRPr="0036171A">
      <w:rPr>
        <w:rFonts w:ascii="Arial" w:hAnsi="Arial" w:cs="Arial"/>
        <w:sz w:val="18"/>
        <w:szCs w:val="18"/>
      </w:rPr>
      <w:t xml:space="preserve">Page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="00053173" w:rsidRPr="0036171A">
      <w:rPr>
        <w:rFonts w:ascii="Arial" w:hAnsi="Arial" w:cs="Arial"/>
        <w:sz w:val="18"/>
        <w:szCs w:val="18"/>
      </w:rPr>
      <w:instrText xml:space="preserve"> PAGE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9147B1">
      <w:rPr>
        <w:rFonts w:ascii="Arial" w:hAnsi="Arial" w:cs="Arial"/>
        <w:noProof/>
        <w:sz w:val="18"/>
        <w:szCs w:val="18"/>
      </w:rPr>
      <w:t>2</w:t>
    </w:r>
    <w:r w:rsidR="005D3B51" w:rsidRPr="0036171A">
      <w:rPr>
        <w:rFonts w:ascii="Arial" w:hAnsi="Arial" w:cs="Arial"/>
        <w:sz w:val="18"/>
        <w:szCs w:val="18"/>
      </w:rPr>
      <w:fldChar w:fldCharType="end"/>
    </w:r>
    <w:r w:rsidR="00053173" w:rsidRPr="0036171A">
      <w:rPr>
        <w:rFonts w:ascii="Arial" w:hAnsi="Arial" w:cs="Arial"/>
        <w:sz w:val="18"/>
        <w:szCs w:val="18"/>
      </w:rPr>
      <w:t xml:space="preserve"> of </w:t>
    </w:r>
    <w:r w:rsidR="005D3B51" w:rsidRPr="0036171A">
      <w:rPr>
        <w:rFonts w:ascii="Arial" w:hAnsi="Arial" w:cs="Arial"/>
        <w:sz w:val="18"/>
        <w:szCs w:val="18"/>
      </w:rPr>
      <w:fldChar w:fldCharType="begin"/>
    </w:r>
    <w:r w:rsidR="00053173" w:rsidRPr="0036171A">
      <w:rPr>
        <w:rFonts w:ascii="Arial" w:hAnsi="Arial" w:cs="Arial"/>
        <w:sz w:val="18"/>
        <w:szCs w:val="18"/>
      </w:rPr>
      <w:instrText xml:space="preserve"> NUMPAGES </w:instrText>
    </w:r>
    <w:r w:rsidR="005D3B51" w:rsidRPr="0036171A">
      <w:rPr>
        <w:rFonts w:ascii="Arial" w:hAnsi="Arial" w:cs="Arial"/>
        <w:sz w:val="18"/>
        <w:szCs w:val="18"/>
      </w:rPr>
      <w:fldChar w:fldCharType="separate"/>
    </w:r>
    <w:r w:rsidR="009147B1">
      <w:rPr>
        <w:rFonts w:ascii="Arial" w:hAnsi="Arial" w:cs="Arial"/>
        <w:noProof/>
        <w:sz w:val="18"/>
        <w:szCs w:val="18"/>
      </w:rPr>
      <w:t>3</w:t>
    </w:r>
    <w:r w:rsidR="005D3B51" w:rsidRPr="0036171A">
      <w:rPr>
        <w:rFonts w:ascii="Arial" w:hAnsi="Arial" w:cs="Arial"/>
        <w:sz w:val="18"/>
        <w:szCs w:val="18"/>
      </w:rPr>
      <w:fldChar w:fldCharType="end"/>
    </w:r>
  </w:p>
  <w:p w:rsidR="00053173" w:rsidRDefault="00053173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73" w:rsidRDefault="00053173" w:rsidP="00DD2A1E">
      <w:r>
        <w:separator/>
      </w:r>
    </w:p>
  </w:footnote>
  <w:footnote w:type="continuationSeparator" w:id="0">
    <w:p w:rsidR="00053173" w:rsidRDefault="00053173" w:rsidP="00DD2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3" w:rsidRDefault="009147B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9.4</w:t>
    </w:r>
    <w:r w:rsidR="004B5A67">
      <w:rPr>
        <w:rFonts w:ascii="Arial" w:hAnsi="Arial"/>
        <w:sz w:val="18"/>
      </w:rPr>
      <w:t>1</w:t>
    </w:r>
    <w:r w:rsidR="00B87F21">
      <w:rPr>
        <w:rFonts w:ascii="Arial" w:hAnsi="Arial"/>
        <w:sz w:val="18"/>
      </w:rPr>
      <w:t xml:space="preserve"> GeneXpert </w:t>
    </w:r>
    <w:r w:rsidR="00461F94">
      <w:rPr>
        <w:rFonts w:ascii="Arial" w:hAnsi="Arial"/>
        <w:sz w:val="18"/>
      </w:rPr>
      <w:t>Xpress MVP</w:t>
    </w:r>
    <w:r w:rsidR="0053189C">
      <w:rPr>
        <w:rFonts w:ascii="Arial" w:hAnsi="Arial"/>
        <w:sz w:val="18"/>
      </w:rPr>
      <w:t xml:space="preserve"> Assay Quality Control</w:t>
    </w:r>
    <w:r w:rsidR="004B5A67">
      <w:rPr>
        <w:rFonts w:ascii="Arial" w:hAnsi="Arial"/>
        <w:sz w:val="18"/>
      </w:rPr>
      <w:tab/>
    </w:r>
    <w:r w:rsidR="004B5A67">
      <w:rPr>
        <w:rFonts w:ascii="Arial" w:hAnsi="Arial"/>
        <w:sz w:val="18"/>
      </w:rPr>
      <w:tab/>
    </w:r>
    <w:r w:rsidR="004B5A67">
      <w:rPr>
        <w:rFonts w:ascii="Arial" w:hAnsi="Arial"/>
        <w:sz w:val="18"/>
      </w:rPr>
      <w:tab/>
    </w:r>
    <w:r w:rsidR="004B5A67">
      <w:rPr>
        <w:rFonts w:ascii="Arial" w:hAnsi="Arial"/>
        <w:sz w:val="18"/>
      </w:rPr>
      <w:tab/>
    </w:r>
    <w:r w:rsidR="004B5A67">
      <w:rPr>
        <w:rFonts w:ascii="Arial" w:hAnsi="Arial"/>
        <w:sz w:val="18"/>
      </w:rPr>
      <w:tab/>
    </w:r>
    <w:r w:rsidR="004B5A67">
      <w:rPr>
        <w:rFonts w:ascii="Arial" w:hAnsi="Arial"/>
        <w:sz w:val="18"/>
      </w:rPr>
      <w:tab/>
    </w:r>
    <w:r w:rsidR="004B5A67">
      <w:rPr>
        <w:rFonts w:ascii="Arial" w:hAnsi="Arial"/>
        <w:sz w:val="18"/>
      </w:rPr>
      <w:tab/>
    </w:r>
    <w:r w:rsidR="004B5A67">
      <w:rPr>
        <w:rFonts w:ascii="Arial" w:hAnsi="Arial"/>
        <w:sz w:val="18"/>
      </w:rPr>
      <w:tab/>
    </w:r>
  </w:p>
  <w:p w:rsidR="00053173" w:rsidRDefault="00B87F21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053173">
      <w:rPr>
        <w:rFonts w:ascii="Arial" w:hAnsi="Arial"/>
        <w:sz w:val="18"/>
      </w:rPr>
      <w:tab/>
    </w:r>
    <w:r w:rsidR="00053173">
      <w:rPr>
        <w:sz w:val="18"/>
      </w:rPr>
      <w:t xml:space="preserve"> </w:t>
    </w:r>
  </w:p>
  <w:p w:rsidR="00053173" w:rsidRDefault="00D3312F">
    <w:pPr>
      <w:ind w:left="-1260" w:right="-1260"/>
      <w:rPr>
        <w:b/>
        <w:sz w:val="18"/>
      </w:rPr>
    </w:pPr>
    <w:r w:rsidRPr="00E678AC"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1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173" w:rsidRPr="00E678AC">
      <w:rPr>
        <w:rFonts w:ascii="Arial" w:hAnsi="Arial"/>
        <w:sz w:val="18"/>
      </w:rPr>
      <w:t>Effective Date:</w:t>
    </w:r>
    <w:r w:rsidR="00053173">
      <w:rPr>
        <w:rFonts w:ascii="Arial" w:hAnsi="Arial"/>
        <w:sz w:val="18"/>
      </w:rPr>
      <w:t xml:space="preserve"> </w:t>
    </w:r>
    <w:r w:rsidR="00AC3854">
      <w:rPr>
        <w:rFonts w:ascii="Arial" w:hAnsi="Arial"/>
        <w:sz w:val="18"/>
      </w:rPr>
      <w:t>6/6</w:t>
    </w:r>
    <w:r w:rsidR="00461F94">
      <w:rPr>
        <w:rFonts w:ascii="Arial" w:hAnsi="Arial"/>
        <w:sz w:val="18"/>
      </w:rPr>
      <w:t>/2023</w:t>
    </w:r>
  </w:p>
  <w:p w:rsidR="00053173" w:rsidRDefault="00053173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6D20"/>
    <w:multiLevelType w:val="hybridMultilevel"/>
    <w:tmpl w:val="D912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5AB5"/>
    <w:multiLevelType w:val="hybridMultilevel"/>
    <w:tmpl w:val="57A24B5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B0C1F89"/>
    <w:multiLevelType w:val="hybridMultilevel"/>
    <w:tmpl w:val="27CE6B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F6272"/>
    <w:multiLevelType w:val="hybridMultilevel"/>
    <w:tmpl w:val="9110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7BC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17790"/>
    <w:multiLevelType w:val="hybridMultilevel"/>
    <w:tmpl w:val="59906D60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4100848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B118D"/>
    <w:multiLevelType w:val="hybridMultilevel"/>
    <w:tmpl w:val="71763FB6"/>
    <w:lvl w:ilvl="0" w:tplc="0A62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1E"/>
    <w:rsid w:val="000210B4"/>
    <w:rsid w:val="00033C3F"/>
    <w:rsid w:val="00053173"/>
    <w:rsid w:val="000F3854"/>
    <w:rsid w:val="001065BA"/>
    <w:rsid w:val="001257D7"/>
    <w:rsid w:val="00164703"/>
    <w:rsid w:val="00173016"/>
    <w:rsid w:val="001F640D"/>
    <w:rsid w:val="00221CD1"/>
    <w:rsid w:val="00226E9C"/>
    <w:rsid w:val="002417DC"/>
    <w:rsid w:val="002507FC"/>
    <w:rsid w:val="00252691"/>
    <w:rsid w:val="002C6A23"/>
    <w:rsid w:val="00300283"/>
    <w:rsid w:val="00325F26"/>
    <w:rsid w:val="00357F8D"/>
    <w:rsid w:val="003858D9"/>
    <w:rsid w:val="00394694"/>
    <w:rsid w:val="003C2CBF"/>
    <w:rsid w:val="00404B1B"/>
    <w:rsid w:val="00440A24"/>
    <w:rsid w:val="00461F94"/>
    <w:rsid w:val="004B5A67"/>
    <w:rsid w:val="004D42FD"/>
    <w:rsid w:val="004F4C42"/>
    <w:rsid w:val="005020AB"/>
    <w:rsid w:val="00525131"/>
    <w:rsid w:val="0053189C"/>
    <w:rsid w:val="005A5D29"/>
    <w:rsid w:val="005D3B51"/>
    <w:rsid w:val="0060016F"/>
    <w:rsid w:val="0060659A"/>
    <w:rsid w:val="006276E6"/>
    <w:rsid w:val="00636E62"/>
    <w:rsid w:val="006507C0"/>
    <w:rsid w:val="00654DD9"/>
    <w:rsid w:val="00684903"/>
    <w:rsid w:val="006D7624"/>
    <w:rsid w:val="00725385"/>
    <w:rsid w:val="00791C9F"/>
    <w:rsid w:val="007B0D03"/>
    <w:rsid w:val="007B2AF1"/>
    <w:rsid w:val="008237C6"/>
    <w:rsid w:val="0087480A"/>
    <w:rsid w:val="008876A5"/>
    <w:rsid w:val="008E666A"/>
    <w:rsid w:val="009147B1"/>
    <w:rsid w:val="00925CBF"/>
    <w:rsid w:val="00926191"/>
    <w:rsid w:val="009645B5"/>
    <w:rsid w:val="009946C2"/>
    <w:rsid w:val="0099604E"/>
    <w:rsid w:val="009979BF"/>
    <w:rsid w:val="009C0845"/>
    <w:rsid w:val="00A07841"/>
    <w:rsid w:val="00A52B2F"/>
    <w:rsid w:val="00A628D5"/>
    <w:rsid w:val="00A95C33"/>
    <w:rsid w:val="00AB788B"/>
    <w:rsid w:val="00AC3854"/>
    <w:rsid w:val="00B64645"/>
    <w:rsid w:val="00B70F85"/>
    <w:rsid w:val="00B87F21"/>
    <w:rsid w:val="00BE050B"/>
    <w:rsid w:val="00C11295"/>
    <w:rsid w:val="00C11789"/>
    <w:rsid w:val="00C20351"/>
    <w:rsid w:val="00C2377C"/>
    <w:rsid w:val="00C569EA"/>
    <w:rsid w:val="00C9045D"/>
    <w:rsid w:val="00CC1E03"/>
    <w:rsid w:val="00CE491B"/>
    <w:rsid w:val="00D01E37"/>
    <w:rsid w:val="00D1329A"/>
    <w:rsid w:val="00D3312F"/>
    <w:rsid w:val="00DA2A54"/>
    <w:rsid w:val="00DA2DF8"/>
    <w:rsid w:val="00DD2A1E"/>
    <w:rsid w:val="00E678AC"/>
    <w:rsid w:val="00E901CE"/>
    <w:rsid w:val="00EC6250"/>
    <w:rsid w:val="00ED1ADD"/>
    <w:rsid w:val="00EE53EC"/>
    <w:rsid w:val="00EE6412"/>
    <w:rsid w:val="00F1134A"/>
    <w:rsid w:val="00F47770"/>
    <w:rsid w:val="00F71AB1"/>
    <w:rsid w:val="00FA1D64"/>
    <w:rsid w:val="00FA70EC"/>
    <w:rsid w:val="00FD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7A6C8C9-F6BB-4816-B0FA-4AE2579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E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D2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A1E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D2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A1E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DD2A1E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DD2A1E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DD2A1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DD2A1E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DD2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B0BA-2CDF-405D-B887-8F7B08ED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Susan Demeyere</cp:lastModifiedBy>
  <cp:revision>5</cp:revision>
  <dcterms:created xsi:type="dcterms:W3CDTF">2023-04-12T19:50:00Z</dcterms:created>
  <dcterms:modified xsi:type="dcterms:W3CDTF">2023-05-18T16:00:00Z</dcterms:modified>
</cp:coreProperties>
</file>