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7D" w:rsidP="0034687D" w:rsidRDefault="0034687D" w14:paraId="512CB204" w14:textId="77777777">
      <w:pPr>
        <w:pStyle w:val="Header"/>
        <w:jc w:val="center"/>
        <w:rPr>
          <w:b/>
          <w:color w:val="0B0FB5"/>
          <w:sz w:val="36"/>
        </w:rPr>
      </w:pPr>
      <w:proofErr w:type="gramStart"/>
      <w:r w:rsidRPr="0034687D">
        <w:rPr>
          <w:b/>
          <w:color w:val="0B0FB5"/>
          <w:sz w:val="36"/>
        </w:rPr>
        <w:t>SO</w:t>
      </w:r>
      <w:proofErr w:type="gramEnd"/>
      <w:r w:rsidRPr="0034687D">
        <w:rPr>
          <w:b/>
          <w:color w:val="0B0FB5"/>
          <w:sz w:val="36"/>
        </w:rPr>
        <w:t xml:space="preserve"> 7.03 PHTY Phenylalanine &amp; Tyrosine Blood Spot Card </w:t>
      </w:r>
    </w:p>
    <w:p w:rsidRPr="0034687D" w:rsidR="0034687D" w:rsidP="0034687D" w:rsidRDefault="0034687D" w14:paraId="6A9D6A08" w14:textId="5274429F">
      <w:pPr>
        <w:pStyle w:val="Header"/>
        <w:jc w:val="center"/>
        <w:rPr>
          <w:b/>
          <w:bCs/>
          <w:color w:val="0B0FB5"/>
          <w:sz w:val="36"/>
          <w:u w:val="single"/>
        </w:rPr>
      </w:pPr>
      <w:r w:rsidRPr="0034687D">
        <w:rPr>
          <w:b/>
          <w:color w:val="0B0FB5"/>
          <w:sz w:val="36"/>
        </w:rPr>
        <w:t>Home Collection and Reporting</w:t>
      </w:r>
    </w:p>
    <w:p w:rsidR="0034687D" w:rsidP="0034687D" w:rsidRDefault="0034687D" w14:paraId="460F04BD" w14:textId="77777777">
      <w:pPr>
        <w:pStyle w:val="Header"/>
        <w:rPr>
          <w:b/>
          <w:bCs/>
          <w:u w:val="single"/>
        </w:rPr>
      </w:pPr>
    </w:p>
    <w:p w:rsidRPr="0034687D" w:rsidR="006D57BF" w:rsidP="0034687D" w:rsidRDefault="00477997" w14:paraId="47BC3E1C" w14:textId="25F2B1D8">
      <w:pPr>
        <w:pStyle w:val="Header"/>
        <w:rPr>
          <w:b/>
          <w:color w:val="0B0FB5"/>
          <w:sz w:val="28"/>
          <w:u w:val="single"/>
        </w:rPr>
      </w:pPr>
      <w:r w:rsidRPr="0034687D">
        <w:rPr>
          <w:b/>
          <w:color w:val="0B0FB5"/>
          <w:sz w:val="28"/>
          <w:u w:val="single"/>
        </w:rPr>
        <w:t>Purpose:</w:t>
      </w:r>
      <w:r w:rsidRPr="0034687D" w:rsidR="3D482D61">
        <w:rPr>
          <w:b/>
          <w:color w:val="0B0FB5"/>
          <w:sz w:val="28"/>
          <w:u w:val="single"/>
        </w:rPr>
        <w:t xml:space="preserve"> </w:t>
      </w:r>
    </w:p>
    <w:p w:rsidR="00477997" w:rsidP="5CC55964" w:rsidRDefault="3D482D61" w14:paraId="4FB3E2D4" w14:textId="588A2BB9">
      <w:pPr>
        <w:rPr>
          <w:b/>
          <w:bCs/>
        </w:rPr>
      </w:pPr>
      <w:r w:rsidRPr="006D57BF">
        <w:rPr>
          <w:bCs/>
        </w:rPr>
        <w:t>The purpose of this document is to describe the procedure for collecting, ordering and resulting Patient Home Collections of Phenylalanine &amp; Tyrosine Diet</w:t>
      </w:r>
      <w:r w:rsidRPr="006D57BF" w:rsidR="78FA8FA7">
        <w:rPr>
          <w:bCs/>
        </w:rPr>
        <w:t>ary Screen reference lab testing.</w:t>
      </w:r>
    </w:p>
    <w:p w:rsidRPr="0034687D" w:rsidR="006D57BF" w:rsidP="0034687D" w:rsidRDefault="00477997" w14:paraId="5C7D9356" w14:textId="77777777">
      <w:pPr>
        <w:pStyle w:val="Header"/>
        <w:rPr>
          <w:b/>
          <w:color w:val="0B0FB5"/>
          <w:sz w:val="28"/>
          <w:u w:val="single"/>
        </w:rPr>
      </w:pPr>
      <w:r w:rsidRPr="0034687D">
        <w:rPr>
          <w:b/>
          <w:color w:val="0B0FB5"/>
          <w:sz w:val="28"/>
          <w:u w:val="single"/>
        </w:rPr>
        <w:t>Policy Statements:</w:t>
      </w:r>
      <w:r w:rsidRPr="0034687D" w:rsidR="006D57BF">
        <w:rPr>
          <w:b/>
          <w:color w:val="0B0FB5"/>
          <w:sz w:val="28"/>
          <w:u w:val="single"/>
        </w:rPr>
        <w:t xml:space="preserve"> </w:t>
      </w:r>
    </w:p>
    <w:p w:rsidR="00477997" w:rsidRDefault="006D57BF" w14:paraId="48D92034" w14:textId="08D1360A">
      <w:pPr>
        <w:rPr>
          <w:b/>
          <w:u w:val="single"/>
        </w:rPr>
      </w:pPr>
      <w:r w:rsidRPr="006D57BF">
        <w:t>This procedure applies to any laboratory technician</w:t>
      </w:r>
      <w:r>
        <w:t xml:space="preserve">, medical laboratory scientist, or Lab Information System </w:t>
      </w:r>
      <w:r w:rsidR="006160A4">
        <w:t xml:space="preserve">(LIS) </w:t>
      </w:r>
      <w:r>
        <w:t>analyst</w:t>
      </w:r>
      <w:r w:rsidRPr="006D57BF">
        <w:t xml:space="preserve"> preparing </w:t>
      </w:r>
      <w:r>
        <w:t xml:space="preserve">result reports following patient home collections of Phenylalanine &amp; Tyrosine blood spot cards (test code </w:t>
      </w:r>
      <w:r w:rsidRPr="006D57BF">
        <w:rPr>
          <w:b/>
        </w:rPr>
        <w:t>PHTY</w:t>
      </w:r>
      <w:r>
        <w:t>).</w:t>
      </w:r>
    </w:p>
    <w:p w:rsidRPr="0034687D" w:rsidR="006D57BF" w:rsidP="0034687D" w:rsidRDefault="00477997" w14:paraId="76B09CE1" w14:textId="77777777">
      <w:pPr>
        <w:pStyle w:val="Header"/>
        <w:rPr>
          <w:b/>
          <w:color w:val="0B0FB5"/>
          <w:sz w:val="28"/>
          <w:u w:val="single"/>
        </w:rPr>
      </w:pPr>
      <w:r w:rsidRPr="0034687D">
        <w:rPr>
          <w:b/>
          <w:color w:val="0B0FB5"/>
          <w:sz w:val="28"/>
          <w:u w:val="single"/>
        </w:rPr>
        <w:t>Principle:</w:t>
      </w:r>
      <w:r w:rsidRPr="0034687D" w:rsidR="006D57BF">
        <w:rPr>
          <w:b/>
          <w:color w:val="0B0FB5"/>
          <w:sz w:val="28"/>
          <w:u w:val="single"/>
        </w:rPr>
        <w:t xml:space="preserve"> </w:t>
      </w:r>
    </w:p>
    <w:p w:rsidR="00477997" w:rsidRDefault="006D57BF" w14:paraId="0462CDB8" w14:textId="0063C290">
      <w:r w:rsidRPr="006D57BF">
        <w:t xml:space="preserve">The </w:t>
      </w:r>
      <w:r>
        <w:t>Phenylalanine &amp; Tyrosine</w:t>
      </w:r>
      <w:r>
        <w:t xml:space="preserve"> (Test code: PHTY) assay is performed by MHealth Fairview University of Minnesota Medical Center Biochemical Genetics reference lab (UM). Acceptable specimens are blood collected by venipuncture in vacutainers or blood spots collected on filter paper by capillary puncture.</w:t>
      </w:r>
    </w:p>
    <w:p w:rsidR="006D57BF" w:rsidRDefault="006D57BF" w14:paraId="5C708EE0" w14:textId="4C706991">
      <w:r w:rsidRPr="006D57BF">
        <w:t xml:space="preserve">Patients </w:t>
      </w:r>
      <w:r>
        <w:t>that are being monitored by nurses and dieticians through the Children’s Minnesota genetics clinic and nutrition services can perform home collections using blood spot card kits. These specimens are mailed by the patient’s family directly to the testing reference lab.</w:t>
      </w:r>
      <w:r w:rsidR="006160A4">
        <w:t xml:space="preserve"> Results will be made available by UM through the Atlas interface system.</w:t>
      </w:r>
    </w:p>
    <w:p w:rsidRPr="006D57BF" w:rsidR="006D57BF" w:rsidRDefault="006D57BF" w14:paraId="2567BF3D" w14:textId="5F3EC050">
      <w:r>
        <w:t>Children’s Minnesota</w:t>
      </w:r>
      <w:r w:rsidR="006160A4">
        <w:t xml:space="preserve"> Sendouts lab staff and LIS monitor the results from UM and follow the procedure below to complete the result interface process.</w:t>
      </w:r>
    </w:p>
    <w:p w:rsidRPr="0034687D" w:rsidR="00477997" w:rsidP="0034687D" w:rsidRDefault="00477997" w14:paraId="33B61418" w14:textId="18141103">
      <w:pPr>
        <w:pStyle w:val="Header"/>
        <w:rPr>
          <w:b/>
          <w:color w:val="0B0FB5"/>
          <w:sz w:val="28"/>
          <w:u w:val="single"/>
        </w:rPr>
      </w:pPr>
      <w:r w:rsidRPr="0034687D">
        <w:rPr>
          <w:b/>
          <w:color w:val="0B0FB5"/>
          <w:sz w:val="28"/>
          <w:u w:val="single"/>
        </w:rPr>
        <w:t>Clinical Significance:</w:t>
      </w:r>
      <w:r w:rsidRPr="0034687D" w:rsidR="006160A4">
        <w:rPr>
          <w:b/>
          <w:color w:val="0B0FB5"/>
          <w:sz w:val="28"/>
          <w:u w:val="single"/>
        </w:rPr>
        <w:t xml:space="preserve"> </w:t>
      </w:r>
    </w:p>
    <w:p w:rsidR="006160A4" w:rsidRDefault="006160A4" w14:paraId="54DD63C0" w14:textId="607ECA9D">
      <w:pPr>
        <w:rPr>
          <w:b/>
          <w:u w:val="single"/>
        </w:rPr>
      </w:pPr>
      <w:r>
        <w:t xml:space="preserve">Phenylalanine </w:t>
      </w:r>
      <w:r>
        <w:t>and t</w:t>
      </w:r>
      <w:r>
        <w:t xml:space="preserve">yrosine </w:t>
      </w:r>
      <w:r>
        <w:t xml:space="preserve">testing </w:t>
      </w:r>
      <w:proofErr w:type="gramStart"/>
      <w:r>
        <w:t>is</w:t>
      </w:r>
      <w:proofErr w:type="gramEnd"/>
      <w:r>
        <w:t xml:space="preserve"> u</w:t>
      </w:r>
      <w:r>
        <w:t xml:space="preserve">seful </w:t>
      </w:r>
      <w:r>
        <w:t xml:space="preserve">to aid in </w:t>
      </w:r>
      <w:r>
        <w:t>diagnos</w:t>
      </w:r>
      <w:r>
        <w:t>ing of</w:t>
      </w:r>
      <w:r>
        <w:t xml:space="preserve"> phenylketonuria (PKU) and </w:t>
      </w:r>
      <w:r>
        <w:t>to</w:t>
      </w:r>
      <w:r>
        <w:t xml:space="preserve"> monitor phenylalanine and tyrosine levels in PKU patients on low phenylalanine diets.</w:t>
      </w:r>
    </w:p>
    <w:p w:rsidRPr="0034687D" w:rsidR="00477997" w:rsidP="0034687D" w:rsidRDefault="00477997" w14:paraId="6295CC76" w14:textId="796155E0">
      <w:pPr>
        <w:pStyle w:val="Header"/>
        <w:rPr>
          <w:b/>
          <w:color w:val="0B0FB5"/>
          <w:sz w:val="28"/>
          <w:u w:val="single"/>
        </w:rPr>
      </w:pPr>
      <w:r w:rsidRPr="0034687D">
        <w:rPr>
          <w:b/>
          <w:color w:val="0B0FB5"/>
          <w:sz w:val="28"/>
          <w:u w:val="single"/>
        </w:rPr>
        <w:t>Test Code</w:t>
      </w:r>
      <w:r w:rsidRPr="0034687D" w:rsidR="001A5D09">
        <w:rPr>
          <w:b/>
          <w:color w:val="0B0FB5"/>
          <w:sz w:val="28"/>
          <w:u w:val="single"/>
        </w:rPr>
        <w:t xml:space="preserve"> and Worksheet</w:t>
      </w:r>
      <w:r w:rsidRPr="0034687D">
        <w:rPr>
          <w:b/>
          <w:color w:val="0B0FB5"/>
          <w:sz w:val="28"/>
          <w:u w:val="single"/>
        </w:rPr>
        <w:t>:</w:t>
      </w:r>
    </w:p>
    <w:p w:rsidR="00BD6399" w:rsidRDefault="006160A4" w14:paraId="6A05A809" w14:textId="19E09331">
      <w:r>
        <w:t>PHTY (U test code LAB3799)</w:t>
      </w:r>
      <w:r w:rsidR="001A5D09">
        <w:t xml:space="preserve"> on worksheet UMA.</w:t>
      </w:r>
    </w:p>
    <w:p w:rsidRPr="0034687D" w:rsidR="00477997" w:rsidP="0034687D" w:rsidRDefault="00477997" w14:paraId="7A38AB97" w14:textId="20C8C2FC">
      <w:pPr>
        <w:pStyle w:val="Header"/>
        <w:rPr>
          <w:b/>
          <w:color w:val="0B0FB5"/>
          <w:sz w:val="28"/>
          <w:u w:val="single"/>
        </w:rPr>
      </w:pPr>
      <w:r w:rsidRPr="0034687D">
        <w:rPr>
          <w:b/>
          <w:color w:val="0B0FB5"/>
          <w:sz w:val="28"/>
          <w:u w:val="single"/>
        </w:rPr>
        <w:t>Materials</w:t>
      </w:r>
      <w:r w:rsidRPr="0034687D" w:rsidR="004C35D4">
        <w:rPr>
          <w:b/>
          <w:color w:val="0B0FB5"/>
          <w:sz w:val="28"/>
          <w:u w:val="single"/>
        </w:rPr>
        <w:t xml:space="preserve"> and </w:t>
      </w:r>
      <w:r w:rsidRPr="0034687D" w:rsidR="00661C40">
        <w:rPr>
          <w:b/>
          <w:color w:val="0B0FB5"/>
          <w:sz w:val="28"/>
          <w:u w:val="single"/>
        </w:rPr>
        <w:t>Applications</w:t>
      </w:r>
      <w:r w:rsidRPr="0034687D">
        <w:rPr>
          <w:b/>
          <w:color w:val="0B0FB5"/>
          <w:sz w:val="28"/>
          <w:u w:val="single"/>
        </w:rPr>
        <w:t>:</w:t>
      </w:r>
    </w:p>
    <w:p w:rsidR="00661C40" w:rsidRDefault="006160A4" w14:paraId="2D871306" w14:textId="77777777">
      <w:r>
        <w:t xml:space="preserve">Home collection kit: </w:t>
      </w:r>
    </w:p>
    <w:p w:rsidR="00661C40" w:rsidP="00661C40" w:rsidRDefault="006160A4" w14:paraId="1C6AF5F8" w14:textId="302C7AEE">
      <w:pPr>
        <w:pStyle w:val="ListParagraph"/>
        <w:numPr>
          <w:ilvl w:val="0"/>
          <w:numId w:val="1"/>
        </w:numPr>
      </w:pPr>
      <w:r>
        <w:t>Lancet</w:t>
      </w:r>
    </w:p>
    <w:p w:rsidR="00661C40" w:rsidP="00661C40" w:rsidRDefault="00661C40" w14:paraId="3574CDAF" w14:textId="0EFBA63E">
      <w:pPr>
        <w:pStyle w:val="ListParagraph"/>
        <w:numPr>
          <w:ilvl w:val="0"/>
          <w:numId w:val="1"/>
        </w:numPr>
      </w:pPr>
      <w:r>
        <w:t>Alcohol wipe</w:t>
      </w:r>
    </w:p>
    <w:p w:rsidR="00661C40" w:rsidP="00661C40" w:rsidRDefault="006160A4" w14:paraId="55133171" w14:textId="77777777">
      <w:pPr>
        <w:pStyle w:val="ListParagraph"/>
        <w:numPr>
          <w:ilvl w:val="0"/>
          <w:numId w:val="1"/>
        </w:numPr>
      </w:pPr>
      <w:r>
        <w:t>Whatman 903 filter paper</w:t>
      </w:r>
    </w:p>
    <w:p w:rsidR="00661C40" w:rsidP="00661C40" w:rsidRDefault="006160A4" w14:paraId="246FC437" w14:textId="1AEB987B">
      <w:pPr>
        <w:pStyle w:val="ListParagraph"/>
        <w:numPr>
          <w:ilvl w:val="0"/>
          <w:numId w:val="1"/>
        </w:numPr>
      </w:pPr>
      <w:r>
        <w:t xml:space="preserve">UM Outreach requisition form </w:t>
      </w:r>
      <w:r w:rsidR="00661C40">
        <w:t xml:space="preserve">- </w:t>
      </w:r>
      <w:r w:rsidR="00661C40">
        <w:t xml:space="preserve">Additional copies of the requisition form can be found in </w:t>
      </w:r>
      <w:hyperlink w:history="1" r:id="rId10">
        <w:r w:rsidRPr="00107F51" w:rsidR="00661C40">
          <w:rPr>
            <w:rStyle w:val="Hyperlink"/>
          </w:rPr>
          <w:t>Lab Sharepoint Support Services</w:t>
        </w:r>
        <w:r w:rsidR="00661C40">
          <w:rPr>
            <w:rStyle w:val="Hyperlink"/>
          </w:rPr>
          <w:t xml:space="preserve"> </w:t>
        </w:r>
        <w:r w:rsidRPr="00107F51" w:rsidR="00661C40">
          <w:rPr>
            <w:rStyle w:val="Hyperlink"/>
          </w:rPr>
          <w:t>- Referrals folder.</w:t>
        </w:r>
      </w:hyperlink>
    </w:p>
    <w:p w:rsidR="00661C40" w:rsidP="00661C40" w:rsidRDefault="00661C40" w14:paraId="6E4A2DBE" w14:textId="12B9D95E">
      <w:pPr>
        <w:pStyle w:val="ListParagraph"/>
        <w:numPr>
          <w:ilvl w:val="0"/>
          <w:numId w:val="1"/>
        </w:numPr>
      </w:pPr>
      <w:r>
        <w:t>P</w:t>
      </w:r>
      <w:r w:rsidR="006160A4">
        <w:t xml:space="preserve">lastic </w:t>
      </w:r>
      <w:proofErr w:type="spellStart"/>
      <w:r w:rsidR="006160A4">
        <w:t>ziptop</w:t>
      </w:r>
      <w:proofErr w:type="spellEnd"/>
      <w:r w:rsidR="006160A4">
        <w:t xml:space="preserve"> bag</w:t>
      </w:r>
    </w:p>
    <w:p w:rsidR="00661C40" w:rsidP="00661C40" w:rsidRDefault="00661C40" w14:paraId="0F5F0F26" w14:textId="3C916069">
      <w:pPr>
        <w:pStyle w:val="ListParagraph"/>
        <w:numPr>
          <w:ilvl w:val="0"/>
          <w:numId w:val="1"/>
        </w:numPr>
      </w:pPr>
      <w:r>
        <w:t>R</w:t>
      </w:r>
      <w:r w:rsidR="006160A4">
        <w:t>eturn envelope</w:t>
      </w:r>
    </w:p>
    <w:p w:rsidR="00661C40" w:rsidRDefault="006160A4" w14:paraId="1EC17814" w14:textId="77777777">
      <w:r>
        <w:t xml:space="preserve">Reporting system requirements: </w:t>
      </w:r>
    </w:p>
    <w:p w:rsidR="00661C40" w:rsidP="00661C40" w:rsidRDefault="006160A4" w14:paraId="48100976" w14:textId="2752D7A2">
      <w:pPr>
        <w:pStyle w:val="ListParagraph"/>
        <w:numPr>
          <w:ilvl w:val="0"/>
          <w:numId w:val="2"/>
        </w:numPr>
      </w:pPr>
      <w:r>
        <w:lastRenderedPageBreak/>
        <w:t>Atlas login for report access</w:t>
      </w:r>
    </w:p>
    <w:p w:rsidR="00661C40" w:rsidP="00661C40" w:rsidRDefault="006160A4" w14:paraId="216BD641" w14:textId="45B06E31">
      <w:pPr>
        <w:pStyle w:val="ListParagraph"/>
        <w:numPr>
          <w:ilvl w:val="0"/>
          <w:numId w:val="2"/>
        </w:numPr>
        <w:rPr/>
      </w:pPr>
      <w:r w:rsidR="006160A4">
        <w:rPr/>
        <w:t xml:space="preserve">Cerner </w:t>
      </w:r>
      <w:r w:rsidR="006160A4">
        <w:rPr/>
        <w:t>Rev</w:t>
      </w:r>
      <w:r w:rsidR="4FB331DB">
        <w:rPr/>
        <w:t xml:space="preserve">enue </w:t>
      </w:r>
      <w:r w:rsidR="006160A4">
        <w:rPr/>
        <w:t>Cycle</w:t>
      </w:r>
      <w:r w:rsidR="006160A4">
        <w:rPr/>
        <w:t xml:space="preserve"> access for creation of </w:t>
      </w:r>
      <w:r w:rsidR="006160A4">
        <w:rPr/>
        <w:t>Non-patient</w:t>
      </w:r>
      <w:r w:rsidR="006160A4">
        <w:rPr/>
        <w:t xml:space="preserve"> encounter</w:t>
      </w:r>
    </w:p>
    <w:p w:rsidR="00661C40" w:rsidP="00661C40" w:rsidRDefault="006160A4" w14:paraId="4CF987C4" w14:textId="33D2ECDB">
      <w:pPr>
        <w:pStyle w:val="ListParagraph"/>
        <w:numPr>
          <w:ilvl w:val="0"/>
          <w:numId w:val="2"/>
        </w:numPr>
      </w:pPr>
      <w:r>
        <w:t xml:space="preserve">Teams access for </w:t>
      </w:r>
      <w:r w:rsidR="004C35D4">
        <w:t>Sendouts/LIS shared data and tracking</w:t>
      </w:r>
    </w:p>
    <w:p w:rsidR="00661C40" w:rsidP="00661C40" w:rsidRDefault="004C35D4" w14:paraId="3FA74704" w14:textId="3AD0750F">
      <w:pPr>
        <w:pStyle w:val="ListParagraph"/>
        <w:numPr>
          <w:ilvl w:val="0"/>
          <w:numId w:val="2"/>
        </w:numPr>
      </w:pPr>
      <w:r>
        <w:t>SAM access for LIS accession modification</w:t>
      </w:r>
    </w:p>
    <w:p w:rsidR="00661C40" w:rsidP="00661C40" w:rsidRDefault="004C35D4" w14:paraId="624CE3B7" w14:textId="0E174662">
      <w:pPr>
        <w:pStyle w:val="ListParagraph"/>
        <w:numPr>
          <w:ilvl w:val="0"/>
          <w:numId w:val="2"/>
        </w:numPr>
      </w:pPr>
      <w:r>
        <w:t xml:space="preserve">Cerner </w:t>
      </w:r>
      <w:proofErr w:type="spellStart"/>
      <w:r>
        <w:t>PowerChart</w:t>
      </w:r>
      <w:proofErr w:type="spellEnd"/>
      <w:r>
        <w:t xml:space="preserve"> access for activating the Future-state lab order</w:t>
      </w:r>
    </w:p>
    <w:p w:rsidRPr="00BD6399" w:rsidR="006160A4" w:rsidP="00661C40" w:rsidRDefault="004C35D4" w14:paraId="072ACCF4" w14:textId="2DF3D9EC">
      <w:pPr>
        <w:pStyle w:val="ListParagraph"/>
        <w:numPr>
          <w:ilvl w:val="0"/>
          <w:numId w:val="2"/>
        </w:numPr>
      </w:pPr>
      <w:r>
        <w:t>Sunquest access for order receiving and to confirm report completion</w:t>
      </w:r>
    </w:p>
    <w:p w:rsidRPr="0034687D" w:rsidR="00477997" w:rsidP="0034687D" w:rsidRDefault="004C35D4" w14:paraId="05DE704E" w14:textId="32CBAC27">
      <w:pPr>
        <w:pStyle w:val="Header"/>
        <w:rPr>
          <w:b/>
          <w:color w:val="0B0FB5"/>
          <w:sz w:val="28"/>
          <w:u w:val="single"/>
        </w:rPr>
      </w:pPr>
      <w:r w:rsidRPr="0034687D">
        <w:rPr>
          <w:b/>
          <w:color w:val="0B0FB5"/>
          <w:sz w:val="28"/>
          <w:u w:val="single"/>
        </w:rPr>
        <w:t>Supply Management:</w:t>
      </w:r>
    </w:p>
    <w:p w:rsidR="004C35D4" w:rsidRDefault="004C35D4" w14:paraId="4A98216B" w14:textId="6747A84A">
      <w:r w:rsidRPr="004C35D4">
        <w:t xml:space="preserve">Blood spot home specimen collection kits </w:t>
      </w:r>
      <w:r>
        <w:t xml:space="preserve">are provided by the University of Minnesota Physicians (UMP) Outreach program. </w:t>
      </w:r>
      <w:r w:rsidR="00235BAE">
        <w:t xml:space="preserve">The kit inventory is managed by Children’s Minnesota Sendouts Lab department. Orders can be placed by emailing </w:t>
      </w:r>
      <w:r w:rsidRPr="00235BAE" w:rsidR="00235BAE">
        <w:t>laboutreach@umphysicians.umn.edu</w:t>
      </w:r>
      <w:r w:rsidR="00235BAE">
        <w:t xml:space="preserve"> or by directly emailing the UMP Outreach project manager representative assigned to our account (ZA010).</w:t>
      </w:r>
    </w:p>
    <w:p w:rsidRPr="00BD6399" w:rsidR="00BD6399" w:rsidRDefault="00235BAE" w14:paraId="41C8F396" w14:textId="720DD04C">
      <w:r>
        <w:t xml:space="preserve">Sendouts will supply the Children’s Genetic Dietary program with kits upon request. </w:t>
      </w:r>
    </w:p>
    <w:p w:rsidRPr="0034687D" w:rsidR="00477997" w:rsidP="0034687D" w:rsidRDefault="00477997" w14:paraId="620A145D" w14:textId="77777777">
      <w:pPr>
        <w:pStyle w:val="Header"/>
        <w:rPr>
          <w:b/>
          <w:color w:val="0B0FB5"/>
          <w:sz w:val="28"/>
          <w:u w:val="single"/>
        </w:rPr>
      </w:pPr>
      <w:r w:rsidRPr="0034687D">
        <w:rPr>
          <w:b/>
          <w:color w:val="0B0FB5"/>
          <w:sz w:val="28"/>
          <w:u w:val="single"/>
        </w:rPr>
        <w:t>Special Safety Precautions:</w:t>
      </w:r>
    </w:p>
    <w:p w:rsidR="004C35D4" w:rsidP="004C35D4" w:rsidRDefault="004C35D4" w14:paraId="398E8718" w14:textId="77777777">
      <w:r>
        <w:t>Avoid direct contact with potentially infected material by wearing appropriate PPE</w:t>
      </w:r>
    </w:p>
    <w:p w:rsidRPr="00D24302" w:rsidR="00D24302" w:rsidP="004C35D4" w:rsidRDefault="004C35D4" w14:paraId="72A3D3EC" w14:textId="5FAABBF6">
      <w:r>
        <w:t>All samples and reagents containing biological materials used for the assay must be considered as potentially able to transmit infectious agents. The</w:t>
      </w:r>
      <w:r>
        <w:t xml:space="preserve"> specimens and</w:t>
      </w:r>
      <w:r>
        <w:t xml:space="preserve"> waste must be handled with care and disposed of in compliance with the laboratory guidelines and the statutory provisions in force in each country.</w:t>
      </w:r>
    </w:p>
    <w:p w:rsidRPr="0034687D" w:rsidR="00477997" w:rsidP="0034687D" w:rsidRDefault="00477997" w14:paraId="7EA824D2" w14:textId="77777777">
      <w:pPr>
        <w:pStyle w:val="Header"/>
        <w:rPr>
          <w:b/>
          <w:color w:val="0B0FB5"/>
          <w:sz w:val="28"/>
          <w:u w:val="single"/>
        </w:rPr>
      </w:pPr>
      <w:r w:rsidRPr="0034687D">
        <w:rPr>
          <w:b/>
          <w:color w:val="0B0FB5"/>
          <w:sz w:val="28"/>
          <w:u w:val="single"/>
        </w:rPr>
        <w:t>Procedure:</w:t>
      </w:r>
    </w:p>
    <w:p w:rsidRPr="007113D4" w:rsidR="00235BAE" w:rsidP="00C81194" w:rsidRDefault="00235BAE" w14:paraId="7DE60B80" w14:textId="4F283530">
      <w:pPr>
        <w:pStyle w:val="ListParagraph"/>
        <w:numPr>
          <w:ilvl w:val="0"/>
          <w:numId w:val="3"/>
        </w:numPr>
        <w:rPr>
          <w:b/>
        </w:rPr>
      </w:pPr>
      <w:r w:rsidRPr="007113D4">
        <w:rPr>
          <w:b/>
        </w:rPr>
        <w:t xml:space="preserve">Order </w:t>
      </w:r>
    </w:p>
    <w:p w:rsidR="00235BAE" w:rsidP="00C81194" w:rsidRDefault="00235BAE" w14:paraId="21086889" w14:textId="77777777">
      <w:pPr>
        <w:pStyle w:val="ListParagraph"/>
        <w:numPr>
          <w:ilvl w:val="1"/>
          <w:numId w:val="3"/>
        </w:numPr>
      </w:pPr>
      <w:r>
        <w:t xml:space="preserve">The patient’s provider enters a Future status order in the Children’s Electronic Health Record </w:t>
      </w:r>
      <w:r>
        <w:t xml:space="preserve">(e.g., Cerner </w:t>
      </w:r>
      <w:proofErr w:type="spellStart"/>
      <w:r>
        <w:t>PowerChart</w:t>
      </w:r>
      <w:proofErr w:type="spellEnd"/>
      <w:r>
        <w:t>)</w:t>
      </w:r>
      <w:r>
        <w:t xml:space="preserve">. </w:t>
      </w:r>
    </w:p>
    <w:p w:rsidR="00D24302" w:rsidP="00C81194" w:rsidRDefault="00235BAE" w14:paraId="60061E4C" w14:textId="7D542B27">
      <w:pPr>
        <w:pStyle w:val="ListParagraph"/>
        <w:numPr>
          <w:ilvl w:val="1"/>
          <w:numId w:val="3"/>
        </w:numPr>
      </w:pPr>
      <w:r>
        <w:t>The provider must ensure that there are adequate Future orders for every home collection, ideally the same number of Future (On Hold) orders as the number of collection kits provided to the patient.</w:t>
      </w:r>
    </w:p>
    <w:p w:rsidRPr="007113D4" w:rsidR="00235BAE" w:rsidP="00C81194" w:rsidRDefault="00235BAE" w14:paraId="126AF62F" w14:textId="1D28ECA9">
      <w:pPr>
        <w:pStyle w:val="ListParagraph"/>
        <w:numPr>
          <w:ilvl w:val="0"/>
          <w:numId w:val="3"/>
        </w:numPr>
        <w:rPr>
          <w:b/>
        </w:rPr>
      </w:pPr>
      <w:r w:rsidRPr="007113D4">
        <w:rPr>
          <w:b/>
        </w:rPr>
        <w:t>Collection</w:t>
      </w:r>
    </w:p>
    <w:p w:rsidR="00235BAE" w:rsidP="00C81194" w:rsidRDefault="00235BAE" w14:paraId="260962FC" w14:textId="5A367E8E">
      <w:pPr>
        <w:pStyle w:val="ListParagraph"/>
        <w:numPr>
          <w:ilvl w:val="1"/>
          <w:numId w:val="3"/>
        </w:numPr>
        <w:rPr/>
      </w:pPr>
      <w:r w:rsidR="00235BAE">
        <w:rPr/>
        <w:t xml:space="preserve">The clinical team </w:t>
      </w:r>
      <w:r w:rsidR="00793F27">
        <w:rPr/>
        <w:t>provide</w:t>
      </w:r>
      <w:r w:rsidR="00661C40">
        <w:rPr/>
        <w:t>s</w:t>
      </w:r>
      <w:r w:rsidR="00793F27">
        <w:rPr/>
        <w:t xml:space="preserve"> the patient’s family with the collection kit/s.</w:t>
      </w:r>
      <w:r w:rsidR="00107F51">
        <w:rPr/>
        <w:t xml:space="preserve"> The requisitions forms will ideally have the patient’s information completed prior to giving </w:t>
      </w:r>
      <w:r w:rsidR="66D821C2">
        <w:rPr/>
        <w:t xml:space="preserve">them </w:t>
      </w:r>
      <w:r w:rsidR="00107F51">
        <w:rPr/>
        <w:t>to the patient.</w:t>
      </w:r>
    </w:p>
    <w:p w:rsidR="00793F27" w:rsidP="00C81194" w:rsidRDefault="00793F27" w14:paraId="372C93A5" w14:textId="4A991F82">
      <w:pPr>
        <w:pStyle w:val="ListParagraph"/>
        <w:numPr>
          <w:ilvl w:val="1"/>
          <w:numId w:val="3"/>
        </w:numPr>
        <w:rPr/>
      </w:pPr>
      <w:r w:rsidR="00793F27">
        <w:rPr/>
        <w:t>The patient’s family perform</w:t>
      </w:r>
      <w:r w:rsidR="00661C40">
        <w:rPr/>
        <w:t>s</w:t>
      </w:r>
      <w:r w:rsidR="00107F51">
        <w:rPr/>
        <w:t xml:space="preserve"> a</w:t>
      </w:r>
      <w:r w:rsidR="00793F27">
        <w:rPr/>
        <w:t xml:space="preserve"> </w:t>
      </w:r>
      <w:r w:rsidR="00107F51">
        <w:rPr/>
        <w:t xml:space="preserve">‘heel </w:t>
      </w:r>
      <w:r w:rsidR="462D86D9">
        <w:rPr/>
        <w:t xml:space="preserve">or finger </w:t>
      </w:r>
      <w:r w:rsidR="00107F51">
        <w:rPr/>
        <w:t xml:space="preserve">stick’ </w:t>
      </w:r>
      <w:r w:rsidR="00793F27">
        <w:rPr/>
        <w:t>capillary puncture</w:t>
      </w:r>
      <w:r w:rsidR="00107F51">
        <w:rPr/>
        <w:t xml:space="preserve"> and fill</w:t>
      </w:r>
      <w:r w:rsidR="00661C40">
        <w:rPr/>
        <w:t>s</w:t>
      </w:r>
      <w:r w:rsidR="00107F51">
        <w:rPr/>
        <w:t xml:space="preserve"> the blood spot card filter paper according to the instructions provided on the requisition form and the nurse/dietician. The interval and frequency of collection is to be </w:t>
      </w:r>
      <w:r w:rsidR="00107F51">
        <w:rPr/>
        <w:t>determined</w:t>
      </w:r>
      <w:r w:rsidR="00107F51">
        <w:rPr/>
        <w:t xml:space="preserve"> by the clinical team.</w:t>
      </w:r>
    </w:p>
    <w:p w:rsidR="00107F51" w:rsidP="00C81194" w:rsidRDefault="00107F51" w14:paraId="0230DFDC" w14:textId="632E352A">
      <w:pPr>
        <w:pStyle w:val="ListParagraph"/>
        <w:numPr>
          <w:ilvl w:val="1"/>
          <w:numId w:val="3"/>
        </w:numPr>
      </w:pPr>
      <w:r>
        <w:t>The patient’s family complete</w:t>
      </w:r>
      <w:r w:rsidR="00661C40">
        <w:t>s</w:t>
      </w:r>
      <w:r>
        <w:t xml:space="preserve"> the collection date and time on the requisition form.</w:t>
      </w:r>
    </w:p>
    <w:p w:rsidRPr="007113D4" w:rsidR="00107F51" w:rsidP="00C81194" w:rsidRDefault="00107F51" w14:paraId="6A95623C" w14:textId="488F4C1B">
      <w:pPr>
        <w:pStyle w:val="ListParagraph"/>
        <w:numPr>
          <w:ilvl w:val="0"/>
          <w:numId w:val="3"/>
        </w:numPr>
        <w:rPr>
          <w:b/>
        </w:rPr>
      </w:pPr>
      <w:r w:rsidRPr="007113D4">
        <w:rPr>
          <w:b/>
        </w:rPr>
        <w:t>Specimen delivery</w:t>
      </w:r>
    </w:p>
    <w:p w:rsidR="00107F51" w:rsidP="00C81194" w:rsidRDefault="00107F51" w14:paraId="3C677C54" w14:textId="38B688CB">
      <w:pPr>
        <w:pStyle w:val="ListParagraph"/>
        <w:numPr>
          <w:ilvl w:val="1"/>
          <w:numId w:val="3"/>
        </w:numPr>
      </w:pPr>
      <w:r>
        <w:t xml:space="preserve">The patient’s family </w:t>
      </w:r>
      <w:r w:rsidR="00661C40">
        <w:t>mails</w:t>
      </w:r>
      <w:r>
        <w:t xml:space="preserve"> the dried blood spot card and requisition directly to University of Minnesota Medical Center East Bank Specimen Receiving.</w:t>
      </w:r>
    </w:p>
    <w:p w:rsidRPr="007113D4" w:rsidR="00107F51" w:rsidP="00C81194" w:rsidRDefault="00107F51" w14:paraId="7A786E9A" w14:textId="7BBEC18D">
      <w:pPr>
        <w:pStyle w:val="ListParagraph"/>
        <w:numPr>
          <w:ilvl w:val="0"/>
          <w:numId w:val="3"/>
        </w:numPr>
        <w:rPr>
          <w:b/>
        </w:rPr>
      </w:pPr>
      <w:r w:rsidRPr="007113D4">
        <w:rPr>
          <w:b/>
        </w:rPr>
        <w:t>Testing</w:t>
      </w:r>
    </w:p>
    <w:p w:rsidR="001A5D09" w:rsidP="00C81194" w:rsidRDefault="001A5D09" w14:paraId="6014271F" w14:textId="1B51E554">
      <w:pPr>
        <w:pStyle w:val="ListParagraph"/>
        <w:numPr>
          <w:ilvl w:val="1"/>
          <w:numId w:val="3"/>
        </w:numPr>
      </w:pPr>
      <w:r>
        <w:lastRenderedPageBreak/>
        <w:t xml:space="preserve">The MHealth Fairview Biochemical Genetics Lab </w:t>
      </w:r>
      <w:r w:rsidR="00661C40">
        <w:t>performs</w:t>
      </w:r>
      <w:r>
        <w:t xml:space="preserve"> testing. See the Lab Test Directory for expected turnaround time.</w:t>
      </w:r>
    </w:p>
    <w:p w:rsidRPr="007113D4" w:rsidR="00661C40" w:rsidP="00C81194" w:rsidRDefault="00661C40" w14:paraId="2FD78B54" w14:textId="1507127F">
      <w:pPr>
        <w:pStyle w:val="ListParagraph"/>
        <w:numPr>
          <w:ilvl w:val="0"/>
          <w:numId w:val="3"/>
        </w:numPr>
        <w:rPr>
          <w:b/>
        </w:rPr>
      </w:pPr>
      <w:r w:rsidRPr="007113D4">
        <w:rPr>
          <w:b/>
        </w:rPr>
        <w:t>Resulting</w:t>
      </w:r>
    </w:p>
    <w:p w:rsidR="00661C40" w:rsidP="00C81194" w:rsidRDefault="00661C40" w14:paraId="12C9AC77" w14:textId="274807E2">
      <w:pPr>
        <w:pStyle w:val="ListParagraph"/>
        <w:numPr>
          <w:ilvl w:val="1"/>
          <w:numId w:val="3"/>
        </w:numPr>
        <w:rPr/>
      </w:pPr>
      <w:r w:rsidR="00661C40">
        <w:rPr/>
        <w:t>Results post to</w:t>
      </w:r>
      <w:r w:rsidR="007113D4">
        <w:rPr/>
        <w:t xml:space="preserve"> UM</w:t>
      </w:r>
      <w:r w:rsidR="00661C40">
        <w:rPr/>
        <w:t xml:space="preserve"> </w:t>
      </w:r>
      <w:r w:rsidRPr="7F77C811" w:rsidR="00661C40">
        <w:rPr>
          <w:b w:val="1"/>
          <w:bCs w:val="1"/>
        </w:rPr>
        <w:t>Atlas</w:t>
      </w:r>
      <w:r w:rsidR="00661C40">
        <w:rPr/>
        <w:t xml:space="preserve">, the intermediate </w:t>
      </w:r>
      <w:r w:rsidR="00F50BF1">
        <w:rPr/>
        <w:t>application</w:t>
      </w:r>
      <w:r w:rsidR="00661C40">
        <w:rPr/>
        <w:t xml:space="preserve"> between MHealth Fairview’s EHR/LIS and Children’s Minnesota LIS.</w:t>
      </w:r>
    </w:p>
    <w:p w:rsidR="5F190225" w:rsidP="7F77C811" w:rsidRDefault="5F190225" w14:paraId="17845CA3" w14:textId="319C8201">
      <w:pPr>
        <w:pStyle w:val="ListParagraph"/>
        <w:numPr>
          <w:ilvl w:val="1"/>
          <w:numId w:val="3"/>
        </w:numPr>
        <w:rPr>
          <w:color w:val="000000" w:themeColor="text1" w:themeTint="FF" w:themeShade="FF"/>
        </w:rPr>
      </w:pPr>
      <w:r w:rsidRPr="7F77C811" w:rsidR="5F190225">
        <w:rPr>
          <w:color w:val="000000" w:themeColor="text1" w:themeTint="FF" w:themeShade="FF"/>
        </w:rPr>
        <w:t>Children’s MN lab systems will receive the information about results being completed in two ways</w:t>
      </w:r>
      <w:r w:rsidRPr="7F77C811" w:rsidR="6BA9BC33">
        <w:rPr>
          <w:color w:val="000000" w:themeColor="text1" w:themeTint="FF" w:themeShade="FF"/>
        </w:rPr>
        <w:t>:</w:t>
      </w:r>
    </w:p>
    <w:p w:rsidR="00661C40" w:rsidP="7F77C811" w:rsidRDefault="00661C40" w14:paraId="55B73906" w14:textId="3EC392B7">
      <w:pPr>
        <w:pStyle w:val="ListParagraph"/>
        <w:numPr>
          <w:ilvl w:val="2"/>
          <w:numId w:val="3"/>
        </w:numPr>
        <w:rPr>
          <w:color w:val="000000" w:themeColor="text1" w:themeTint="FF" w:themeShade="FF"/>
          <w:highlight w:val="yellow"/>
        </w:rPr>
      </w:pPr>
      <w:r w:rsidRPr="7F77C811" w:rsidR="00661C40">
        <w:rPr>
          <w:b w:val="1"/>
          <w:bCs w:val="1"/>
          <w:color w:val="000000" w:themeColor="text1" w:themeTint="FF" w:themeShade="FF"/>
        </w:rPr>
        <w:t>LIS</w:t>
      </w:r>
      <w:r w:rsidRPr="7F77C811" w:rsidR="00661C40">
        <w:rPr>
          <w:color w:val="000000" w:themeColor="text1" w:themeTint="FF" w:themeShade="FF"/>
        </w:rPr>
        <w:t xml:space="preserve"> </w:t>
      </w:r>
      <w:r w:rsidRPr="7F77C811" w:rsidR="00661C40">
        <w:rPr>
          <w:color w:val="000000" w:themeColor="text1" w:themeTint="FF" w:themeShade="FF"/>
        </w:rPr>
        <w:t xml:space="preserve">receives an </w:t>
      </w:r>
      <w:r w:rsidRPr="7F77C811" w:rsidR="523914D5">
        <w:rPr>
          <w:color w:val="000000" w:themeColor="text1" w:themeTint="FF" w:themeShade="FF"/>
        </w:rPr>
        <w:t xml:space="preserve">HRP </w:t>
      </w:r>
      <w:r w:rsidRPr="7F77C811" w:rsidR="00661C40">
        <w:rPr>
          <w:color w:val="000000" w:themeColor="text1" w:themeTint="FF" w:themeShade="FF"/>
        </w:rPr>
        <w:t>error message</w:t>
      </w:r>
      <w:r w:rsidRPr="7F77C811" w:rsidR="5CB8DF7F">
        <w:rPr>
          <w:color w:val="000000" w:themeColor="text1" w:themeTint="FF" w:themeShade="FF"/>
        </w:rPr>
        <w:t xml:space="preserve">: </w:t>
      </w:r>
      <w:r w:rsidRPr="7F77C811" w:rsidR="03A720A1">
        <w:rPr>
          <w:color w:val="000000" w:themeColor="text1" w:themeTint="FF" w:themeShade="FF"/>
        </w:rPr>
        <w:t>Accession number format is invalid</w:t>
      </w:r>
      <w:r w:rsidRPr="7F77C811" w:rsidR="00661C40">
        <w:rPr>
          <w:color w:val="000000" w:themeColor="text1" w:themeTint="FF" w:themeShade="FF"/>
        </w:rPr>
        <w:t>.</w:t>
      </w:r>
      <w:r w:rsidRPr="7F77C811" w:rsidR="3BEB41FC">
        <w:rPr>
          <w:color w:val="000000" w:themeColor="text1" w:themeTint="FF" w:themeShade="FF"/>
        </w:rPr>
        <w:t xml:space="preserve">  </w:t>
      </w:r>
      <w:r w:rsidRPr="7F77C811" w:rsidR="3BEB41FC">
        <w:rPr>
          <w:color w:val="000000" w:themeColor="text1" w:themeTint="FF" w:themeShade="FF"/>
        </w:rPr>
        <w:t xml:space="preserve">After investigating </w:t>
      </w:r>
      <w:r w:rsidRPr="7F77C811" w:rsidR="75CAF1FF">
        <w:rPr>
          <w:color w:val="000000" w:themeColor="text1" w:themeTint="FF" w:themeShade="FF"/>
        </w:rPr>
        <w:t xml:space="preserve">using HSSR </w:t>
      </w:r>
      <w:r w:rsidRPr="7F77C811" w:rsidR="3BEB41FC">
        <w:rPr>
          <w:color w:val="000000" w:themeColor="text1" w:themeTint="FF" w:themeShade="FF"/>
        </w:rPr>
        <w:t xml:space="preserve">and </w:t>
      </w:r>
      <w:r w:rsidRPr="7F77C811" w:rsidR="3BEB41FC">
        <w:rPr>
          <w:color w:val="000000" w:themeColor="text1" w:themeTint="FF" w:themeShade="FF"/>
        </w:rPr>
        <w:t>determining</w:t>
      </w:r>
      <w:r w:rsidRPr="7F77C811" w:rsidR="3BEB41FC">
        <w:rPr>
          <w:color w:val="000000" w:themeColor="text1" w:themeTint="FF" w:themeShade="FF"/>
        </w:rPr>
        <w:t xml:space="preserve"> it is due to </w:t>
      </w:r>
      <w:r w:rsidRPr="7F77C811" w:rsidR="053B173B">
        <w:rPr>
          <w:color w:val="000000" w:themeColor="text1" w:themeTint="FF" w:themeShade="FF"/>
        </w:rPr>
        <w:t>LAB3799^TYROSINE AND PHENYLALANINE testing,</w:t>
      </w:r>
      <w:r w:rsidRPr="7F77C811" w:rsidR="5F49FD75">
        <w:rPr>
          <w:color w:val="000000" w:themeColor="text1" w:themeTint="FF" w:themeShade="FF"/>
        </w:rPr>
        <w:t xml:space="preserve"> </w:t>
      </w:r>
      <w:r w:rsidRPr="7F77C811" w:rsidR="5F49FD75">
        <w:rPr>
          <w:color w:val="000000" w:themeColor="text1" w:themeTint="FF" w:themeShade="FF"/>
        </w:rPr>
        <w:t xml:space="preserve">LIS adds </w:t>
      </w:r>
      <w:r w:rsidRPr="7F77C811" w:rsidR="7E376387">
        <w:rPr>
          <w:color w:val="000000" w:themeColor="text1" w:themeTint="FF" w:themeShade="FF"/>
        </w:rPr>
        <w:t>Patient Name, MRN (either Fairview or Children’s), error date and initials.</w:t>
      </w:r>
    </w:p>
    <w:p w:rsidR="00661C40" w:rsidP="7F77C811" w:rsidRDefault="00661C40" w14:paraId="7628DE0E" w14:textId="37094A35">
      <w:pPr>
        <w:pStyle w:val="ListParagraph"/>
        <w:numPr>
          <w:ilvl w:val="2"/>
          <w:numId w:val="3"/>
        </w:numPr>
        <w:rPr/>
      </w:pPr>
      <w:r w:rsidRPr="7F77C811" w:rsidR="00661C40">
        <w:rPr>
          <w:b w:val="1"/>
          <w:bCs w:val="1"/>
          <w:color w:val="000000" w:themeColor="text1" w:themeTint="FF" w:themeShade="FF"/>
        </w:rPr>
        <w:t>Sendouts</w:t>
      </w:r>
      <w:r w:rsidRPr="7F77C811" w:rsidR="00661C40">
        <w:rPr>
          <w:color w:val="000000" w:themeColor="text1" w:themeTint="FF" w:themeShade="FF"/>
        </w:rPr>
        <w:t xml:space="preserve"> prints and assesses all </w:t>
      </w:r>
      <w:r w:rsidRPr="7F77C811" w:rsidR="007113D4">
        <w:rPr>
          <w:color w:val="000000" w:themeColor="text1" w:themeTint="FF" w:themeShade="FF"/>
        </w:rPr>
        <w:t xml:space="preserve">UM Atlas </w:t>
      </w:r>
      <w:r w:rsidRPr="7F77C811" w:rsidR="00661C40">
        <w:rPr>
          <w:color w:val="000000" w:themeColor="text1" w:themeTint="FF" w:themeShade="FF"/>
        </w:rPr>
        <w:t>reports according to standard department</w:t>
      </w:r>
      <w:r w:rsidRPr="7F77C811" w:rsidR="00EA4535">
        <w:rPr>
          <w:color w:val="000000" w:themeColor="text1" w:themeTint="FF" w:themeShade="FF"/>
        </w:rPr>
        <w:t>al</w:t>
      </w:r>
      <w:bookmarkStart w:name="_GoBack" w:id="0"/>
      <w:bookmarkEnd w:id="0"/>
      <w:r w:rsidRPr="7F77C811" w:rsidR="00661C40">
        <w:rPr>
          <w:color w:val="000000" w:themeColor="text1" w:themeTint="FF" w:themeShade="FF"/>
        </w:rPr>
        <w:t xml:space="preserve"> practice. See </w:t>
      </w:r>
      <w:hyperlink r:id="R393b399c685e4dca">
        <w:r w:rsidRPr="7F77C811" w:rsidR="00661C40">
          <w:rPr>
            <w:rStyle w:val="Hyperlink"/>
            <w:color w:val="000000" w:themeColor="text1" w:themeTint="FF" w:themeShade="FF"/>
          </w:rPr>
          <w:t>SO 4.10 Atlas Order Entry for University of MN</w:t>
        </w:r>
      </w:hyperlink>
      <w:r w:rsidRPr="7F77C811" w:rsidR="00661C40">
        <w:rPr>
          <w:color w:val="000000" w:themeColor="text1" w:themeTint="FF" w:themeShade="FF"/>
        </w:rPr>
        <w:t xml:space="preserve"> for furthe</w:t>
      </w:r>
      <w:r w:rsidR="00661C40">
        <w:rPr/>
        <w:t>r details.</w:t>
      </w:r>
    </w:p>
    <w:p w:rsidR="00661C40" w:rsidP="00C81194" w:rsidRDefault="00661C40" w14:paraId="72E2D006" w14:textId="6826572F">
      <w:pPr>
        <w:pStyle w:val="ListParagraph"/>
        <w:numPr>
          <w:ilvl w:val="1"/>
          <w:numId w:val="3"/>
        </w:numPr>
        <w:rPr/>
      </w:pPr>
      <w:r w:rsidRPr="7F77C811" w:rsidR="00661C40">
        <w:rPr>
          <w:b w:val="1"/>
          <w:bCs w:val="1"/>
        </w:rPr>
        <w:t>Sendouts</w:t>
      </w:r>
      <w:r w:rsidR="00661C40">
        <w:rPr/>
        <w:t xml:space="preserve"> </w:t>
      </w:r>
      <w:r w:rsidR="00661C40">
        <w:rPr/>
        <w:t>identifies</w:t>
      </w:r>
      <w:r w:rsidR="00661C40">
        <w:rPr/>
        <w:t xml:space="preserve"> a result report for </w:t>
      </w:r>
      <w:r w:rsidR="00661C40">
        <w:rPr/>
        <w:t>PHTY (LAB3799)</w:t>
      </w:r>
      <w:r w:rsidR="00661C40">
        <w:rPr/>
        <w:t>.</w:t>
      </w:r>
    </w:p>
    <w:p w:rsidR="00661C40" w:rsidP="00C81194" w:rsidRDefault="00C81194" w14:paraId="6803035A" w14:textId="2CE6069F">
      <w:pPr>
        <w:pStyle w:val="ListParagraph"/>
        <w:numPr>
          <w:ilvl w:val="2"/>
          <w:numId w:val="3"/>
        </w:numPr>
        <w:rPr/>
      </w:pPr>
      <w:r w:rsidR="41AF9E45">
        <w:rPr/>
        <w:t xml:space="preserve">If </w:t>
      </w:r>
      <w:r w:rsidR="00C81194">
        <w:rPr/>
        <w:t xml:space="preserve">Sendouts </w:t>
      </w:r>
      <w:r w:rsidR="00C81194">
        <w:rPr/>
        <w:t>determines</w:t>
      </w:r>
      <w:r w:rsidR="00C81194">
        <w:rPr/>
        <w:t xml:space="preserve"> </w:t>
      </w:r>
      <w:r w:rsidR="6E223D4E">
        <w:rPr/>
        <w:t>that</w:t>
      </w:r>
      <w:r w:rsidR="00C81194">
        <w:rPr/>
        <w:t xml:space="preserve"> the result has not </w:t>
      </w:r>
      <w:r w:rsidR="00C81194">
        <w:rPr/>
        <w:t>interfaced</w:t>
      </w:r>
      <w:r w:rsidR="00C81194">
        <w:rPr/>
        <w:t xml:space="preserve"> with</w:t>
      </w:r>
      <w:r w:rsidR="26EC59F2">
        <w:rPr/>
        <w:t>/completed</w:t>
      </w:r>
      <w:r w:rsidR="00C81194">
        <w:rPr/>
        <w:t xml:space="preserve"> an active Sunquest order (i.e., the collection was performed remotely</w:t>
      </w:r>
      <w:r w:rsidR="321C2128">
        <w:rPr/>
        <w:t>)</w:t>
      </w:r>
      <w:r w:rsidR="00C81194">
        <w:rPr/>
        <w:t xml:space="preserve">, </w:t>
      </w:r>
      <w:r w:rsidR="00C81194">
        <w:rPr/>
        <w:t>proceed</w:t>
      </w:r>
      <w:r w:rsidR="00C81194">
        <w:rPr/>
        <w:t xml:space="preserve"> as below.</w:t>
      </w:r>
    </w:p>
    <w:p w:rsidR="00C81194" w:rsidP="00C81194" w:rsidRDefault="00C81194" w14:paraId="6B8AAC27" w14:textId="24D27D6D">
      <w:pPr>
        <w:pStyle w:val="ListParagraph"/>
        <w:numPr>
          <w:ilvl w:val="1"/>
          <w:numId w:val="3"/>
        </w:numPr>
      </w:pPr>
      <w:r w:rsidRPr="00C81194">
        <w:rPr>
          <w:b/>
        </w:rPr>
        <w:t>Sendouts</w:t>
      </w:r>
      <w:r>
        <w:t xml:space="preserve"> verifies that there is a Future PHTY order in Cerner </w:t>
      </w:r>
      <w:proofErr w:type="spellStart"/>
      <w:r>
        <w:t>PowerChart</w:t>
      </w:r>
      <w:proofErr w:type="spellEnd"/>
      <w:r>
        <w:t>.</w:t>
      </w:r>
    </w:p>
    <w:p w:rsidR="00C81194" w:rsidP="00C81194" w:rsidRDefault="00C81194" w14:paraId="3A229750" w14:textId="70131859">
      <w:pPr>
        <w:pStyle w:val="ListParagraph"/>
        <w:numPr>
          <w:ilvl w:val="1"/>
          <w:numId w:val="3"/>
        </w:numPr>
      </w:pPr>
      <w:r w:rsidRPr="00C81194">
        <w:rPr>
          <w:b/>
        </w:rPr>
        <w:t>Sendouts</w:t>
      </w:r>
      <w:r>
        <w:t xml:space="preserve"> logs into Cerner </w:t>
      </w:r>
      <w:proofErr w:type="spellStart"/>
      <w:r>
        <w:t>RevCycle</w:t>
      </w:r>
      <w:proofErr w:type="spellEnd"/>
      <w:r>
        <w:t xml:space="preserve"> to create a Non-Patient Ref Lab encounter per procedure </w:t>
      </w:r>
      <w:hyperlink w:history="1" r:id="rId12">
        <w:r w:rsidRPr="00C81194">
          <w:rPr>
            <w:rStyle w:val="Hyperlink"/>
          </w:rPr>
          <w:t>SO 1.20 Creating Encounters for Remote Collections</w:t>
        </w:r>
      </w:hyperlink>
      <w:r>
        <w:t xml:space="preserve"> and </w:t>
      </w:r>
      <w:hyperlink w:history="1" r:id="rId13">
        <w:r w:rsidRPr="00C81194">
          <w:rPr>
            <w:rStyle w:val="Hyperlink"/>
          </w:rPr>
          <w:t xml:space="preserve">SO 1.21 </w:t>
        </w:r>
        <w:proofErr w:type="spellStart"/>
        <w:r w:rsidRPr="00C81194">
          <w:rPr>
            <w:rStyle w:val="Hyperlink"/>
          </w:rPr>
          <w:t>Tipsheet</w:t>
        </w:r>
        <w:proofErr w:type="spellEnd"/>
        <w:r w:rsidRPr="00C81194">
          <w:rPr>
            <w:rStyle w:val="Hyperlink"/>
          </w:rPr>
          <w:t xml:space="preserve"> for Creating or Editing a Reg Patient OP Ref Lab Encounter</w:t>
        </w:r>
      </w:hyperlink>
    </w:p>
    <w:p w:rsidR="00C81194" w:rsidP="00C81194" w:rsidRDefault="00C81194" w14:paraId="2799FFC6" w14:textId="6C33092B">
      <w:pPr>
        <w:pStyle w:val="ListParagraph"/>
        <w:numPr>
          <w:ilvl w:val="1"/>
          <w:numId w:val="3"/>
        </w:numPr>
      </w:pPr>
      <w:r w:rsidRPr="00C81194">
        <w:rPr>
          <w:b/>
        </w:rPr>
        <w:t>Sendouts</w:t>
      </w:r>
      <w:r>
        <w:t xml:space="preserve"> activates the Future PHTY order from Cerner </w:t>
      </w:r>
      <w:proofErr w:type="spellStart"/>
      <w:r>
        <w:t>PowerChart</w:t>
      </w:r>
      <w:proofErr w:type="spellEnd"/>
    </w:p>
    <w:p w:rsidR="00C81194" w:rsidP="00C81194" w:rsidRDefault="00C81194" w14:paraId="7CF39FAB" w14:textId="02B10F2B">
      <w:pPr>
        <w:pStyle w:val="ListParagraph"/>
        <w:numPr>
          <w:ilvl w:val="1"/>
          <w:numId w:val="3"/>
        </w:numPr>
      </w:pPr>
      <w:r w:rsidRPr="00C81194">
        <w:rPr>
          <w:b/>
        </w:rPr>
        <w:t>Sendouts</w:t>
      </w:r>
      <w:r>
        <w:t xml:space="preserve"> receives the PHTY order in Sunquest GUI Gen Lab</w:t>
      </w:r>
    </w:p>
    <w:p w:rsidR="00C81194" w:rsidP="00C81194" w:rsidRDefault="00C81194" w14:paraId="5D9F9553" w14:textId="221DDF5A">
      <w:pPr>
        <w:pStyle w:val="ListParagraph"/>
        <w:numPr>
          <w:ilvl w:val="1"/>
          <w:numId w:val="3"/>
        </w:numPr>
        <w:rPr/>
      </w:pPr>
      <w:r w:rsidRPr="7F77C811" w:rsidR="609DE25C">
        <w:rPr>
          <w:b w:val="1"/>
          <w:bCs w:val="1"/>
        </w:rPr>
        <w:t>*</w:t>
      </w:r>
      <w:r w:rsidRPr="7F77C811" w:rsidR="00C81194">
        <w:rPr>
          <w:b w:val="1"/>
          <w:bCs w:val="1"/>
        </w:rPr>
        <w:t xml:space="preserve">Sendouts </w:t>
      </w:r>
      <w:r w:rsidR="663314B1">
        <w:rPr>
          <w:b w:val="0"/>
          <w:bCs w:val="0"/>
        </w:rPr>
        <w:t>checks</w:t>
      </w:r>
      <w:r w:rsidR="663314B1">
        <w:rPr>
          <w:b w:val="0"/>
          <w:bCs w:val="0"/>
        </w:rPr>
        <w:t xml:space="preserve"> the tracking spreadsheet for the patient’s information. If not yet documented, Sendouts </w:t>
      </w:r>
      <w:r w:rsidR="00C81194">
        <w:rPr/>
        <w:t>enters</w:t>
      </w:r>
      <w:r w:rsidR="20A9A5F7">
        <w:rPr/>
        <w:t xml:space="preserve"> </w:t>
      </w:r>
      <w:r w:rsidR="00C81194">
        <w:rPr/>
        <w:t>th</w:t>
      </w:r>
      <w:r w:rsidR="00C81194">
        <w:rPr/>
        <w:t>e patie</w:t>
      </w:r>
      <w:r w:rsidR="00C81194">
        <w:rPr/>
        <w:t>nt</w:t>
      </w:r>
      <w:r w:rsidR="00C81194">
        <w:rPr/>
        <w:t xml:space="preserve"> name,</w:t>
      </w:r>
      <w:r w:rsidR="00C81194">
        <w:rPr/>
        <w:t xml:space="preserve"> MRN, order accession number</w:t>
      </w:r>
      <w:r w:rsidR="00C81194">
        <w:rPr/>
        <w:t xml:space="preserve">, collection date, report date, and tech initials on the tracking </w:t>
      </w:r>
      <w:r w:rsidR="5364F0D5">
        <w:rPr/>
        <w:t xml:space="preserve">Excel file </w:t>
      </w:r>
      <w:r w:rsidR="00C81194">
        <w:rPr/>
        <w:t xml:space="preserve">found in the </w:t>
      </w:r>
      <w:hyperlink r:id="Ra635eec91c94471b">
        <w:r w:rsidRPr="7F77C811" w:rsidR="00C81194">
          <w:rPr>
            <w:rStyle w:val="Hyperlink"/>
          </w:rPr>
          <w:t>Teams LIS/</w:t>
        </w:r>
        <w:r w:rsidRPr="7F77C811" w:rsidR="00C81194">
          <w:rPr>
            <w:rStyle w:val="Hyperlink"/>
          </w:rPr>
          <w:t>S</w:t>
        </w:r>
        <w:r w:rsidRPr="7F77C811" w:rsidR="00C81194">
          <w:rPr>
            <w:rStyle w:val="Hyperlink"/>
          </w:rPr>
          <w:t xml:space="preserve">endouts </w:t>
        </w:r>
        <w:r w:rsidRPr="7F77C811" w:rsidR="00F50BF1">
          <w:rPr>
            <w:rStyle w:val="Hyperlink"/>
          </w:rPr>
          <w:t>PHTY Tracking channel.</w:t>
        </w:r>
      </w:hyperlink>
    </w:p>
    <w:p w:rsidRPr="00F50BF1" w:rsidR="00F50BF1" w:rsidP="00C81194" w:rsidRDefault="00F50BF1" w14:paraId="2266EA02" w14:textId="60174D87">
      <w:pPr>
        <w:pStyle w:val="ListParagraph"/>
        <w:numPr>
          <w:ilvl w:val="1"/>
          <w:numId w:val="3"/>
        </w:numPr>
        <w:rPr/>
      </w:pPr>
      <w:r w:rsidRPr="7F77C811" w:rsidR="0C950992">
        <w:rPr>
          <w:b w:val="1"/>
          <w:bCs w:val="1"/>
        </w:rPr>
        <w:t>*</w:t>
      </w:r>
      <w:r w:rsidRPr="7F77C811" w:rsidR="00F50BF1">
        <w:rPr>
          <w:b w:val="1"/>
          <w:bCs w:val="1"/>
        </w:rPr>
        <w:t xml:space="preserve">LIS </w:t>
      </w:r>
      <w:r w:rsidR="2219E604">
        <w:rPr>
          <w:b w:val="0"/>
          <w:bCs w:val="0"/>
        </w:rPr>
        <w:t xml:space="preserve">checks the tracking spreadsheet for the patient’s information. </w:t>
      </w:r>
      <w:r w:rsidR="0AA61734">
        <w:rPr>
          <w:b w:val="0"/>
          <w:bCs w:val="0"/>
        </w:rPr>
        <w:t xml:space="preserve">If not yet documented, </w:t>
      </w:r>
      <w:r w:rsidR="2219E604">
        <w:rPr>
          <w:b w:val="0"/>
          <w:bCs w:val="0"/>
        </w:rPr>
        <w:t xml:space="preserve">LIS either </w:t>
      </w:r>
      <w:r w:rsidR="715DF9DC">
        <w:rPr>
          <w:b w:val="0"/>
          <w:bCs w:val="0"/>
        </w:rPr>
        <w:t>enters</w:t>
      </w:r>
      <w:r w:rsidR="670159A9">
        <w:rPr>
          <w:b w:val="0"/>
          <w:bCs w:val="0"/>
        </w:rPr>
        <w:t xml:space="preserve"> the </w:t>
      </w:r>
      <w:r w:rsidR="670159A9">
        <w:rPr>
          <w:b w:val="0"/>
          <w:bCs w:val="0"/>
        </w:rPr>
        <w:t>patient</w:t>
      </w:r>
      <w:r w:rsidR="670159A9">
        <w:rPr>
          <w:b w:val="0"/>
          <w:bCs w:val="0"/>
        </w:rPr>
        <w:t xml:space="preserve"> name and MRN</w:t>
      </w:r>
      <w:r w:rsidR="7AF14BFC">
        <w:rPr>
          <w:b w:val="0"/>
          <w:bCs w:val="0"/>
        </w:rPr>
        <w:t xml:space="preserve"> </w:t>
      </w:r>
      <w:r w:rsidR="03F8CD84">
        <w:rPr/>
        <w:t>and/or gathers</w:t>
      </w:r>
      <w:r w:rsidR="00F50BF1">
        <w:rPr/>
        <w:t xml:space="preserve"> the data from the tracking log and correct</w:t>
      </w:r>
      <w:r w:rsidR="3F059338">
        <w:rPr/>
        <w:t>s</w:t>
      </w:r>
      <w:r w:rsidR="490F08C3">
        <w:rPr/>
        <w:t xml:space="preserve"> the</w:t>
      </w:r>
      <w:r w:rsidR="00F50BF1">
        <w:rPr/>
        <w:t xml:space="preserve"> accession number</w:t>
      </w:r>
      <w:r w:rsidR="2ED4B98E">
        <w:rPr/>
        <w:t xml:space="preserve"> and </w:t>
      </w:r>
      <w:r w:rsidR="2ED4B98E">
        <w:rPr/>
        <w:t>MRN, if</w:t>
      </w:r>
      <w:r w:rsidR="2ED4B98E">
        <w:rPr/>
        <w:t xml:space="preserve"> needed,</w:t>
      </w:r>
      <w:r w:rsidR="00F50BF1">
        <w:rPr/>
        <w:t xml:space="preserve"> in SAM</w:t>
      </w:r>
      <w:r w:rsidR="23FB2168">
        <w:rPr/>
        <w:t xml:space="preserve"> (interface 22) and retransmits </w:t>
      </w:r>
      <w:r w:rsidR="23FB2168">
        <w:rPr/>
        <w:t>result</w:t>
      </w:r>
      <w:r w:rsidR="00F50BF1">
        <w:rPr/>
        <w:t>.</w:t>
      </w:r>
      <w:r w:rsidR="010860F6">
        <w:rPr/>
        <w:t xml:space="preserve"> If Sendouts has not yet documented their part from h. above, LIS checks back </w:t>
      </w:r>
      <w:r w:rsidR="010860F6">
        <w:rPr/>
        <w:t>at a later time</w:t>
      </w:r>
      <w:r w:rsidR="010860F6">
        <w:rPr/>
        <w:t xml:space="preserve"> for the accession number.</w:t>
      </w:r>
    </w:p>
    <w:p w:rsidR="00F50BF1" w:rsidP="00C81194" w:rsidRDefault="00F50BF1" w14:paraId="364CDB07" w14:textId="181FF946">
      <w:pPr>
        <w:pStyle w:val="ListParagraph"/>
        <w:numPr>
          <w:ilvl w:val="1"/>
          <w:numId w:val="3"/>
        </w:numPr>
        <w:rPr/>
      </w:pPr>
      <w:r w:rsidRPr="7F77C811" w:rsidR="00F50BF1">
        <w:rPr>
          <w:b w:val="1"/>
          <w:bCs w:val="1"/>
        </w:rPr>
        <w:t>LIS</w:t>
      </w:r>
      <w:r w:rsidR="00F50BF1">
        <w:rPr/>
        <w:t xml:space="preserve"> confirms the Sunquest order completed</w:t>
      </w:r>
      <w:r w:rsidR="76305E5F">
        <w:rPr/>
        <w:t xml:space="preserve"> and documents the date of result transmission on the tracking spreadsheet.</w:t>
      </w:r>
    </w:p>
    <w:p w:rsidRPr="00C81194" w:rsidR="00F50BF1" w:rsidP="7F77C811" w:rsidRDefault="00F50BF1" w14:paraId="252E484B" w14:textId="735C3F2B">
      <w:pPr>
        <w:pStyle w:val="ListParagraph"/>
        <w:rPr>
          <w:i w:val="1"/>
          <w:iCs w:val="1"/>
        </w:rPr>
      </w:pPr>
      <w:r w:rsidRPr="7F77C811" w:rsidR="75F5C6F5">
        <w:rPr>
          <w:i w:val="1"/>
          <w:iCs w:val="1"/>
        </w:rPr>
        <w:t>*</w:t>
      </w:r>
      <w:r w:rsidRPr="7F77C811" w:rsidR="0BDD48D6">
        <w:rPr>
          <w:b w:val="1"/>
          <w:bCs w:val="1"/>
          <w:i w:val="1"/>
          <w:iCs w:val="1"/>
        </w:rPr>
        <w:t>NOTE</w:t>
      </w:r>
      <w:r w:rsidRPr="7F77C811" w:rsidR="0BDD48D6">
        <w:rPr>
          <w:i w:val="1"/>
          <w:iCs w:val="1"/>
        </w:rPr>
        <w:t xml:space="preserve">: Either Sendouts or LIS might document the patient on the tracking spreadsheet first. Both departments should be </w:t>
      </w:r>
      <w:r w:rsidRPr="7F77C811" w:rsidR="0BDD48D6">
        <w:rPr>
          <w:i w:val="1"/>
          <w:iCs w:val="1"/>
        </w:rPr>
        <w:t>aware</w:t>
      </w:r>
      <w:r w:rsidRPr="7F77C811" w:rsidR="0BDD48D6">
        <w:rPr>
          <w:i w:val="1"/>
          <w:iCs w:val="1"/>
        </w:rPr>
        <w:t xml:space="preserve"> and ensure they are not adding a duplicate patient entry.</w:t>
      </w:r>
    </w:p>
    <w:p w:rsidRPr="0034687D" w:rsidR="00477997" w:rsidP="0034687D" w:rsidRDefault="00477997" w14:paraId="324F486A" w14:textId="77777777">
      <w:pPr>
        <w:pStyle w:val="Header"/>
        <w:rPr>
          <w:b/>
          <w:color w:val="0B0FB5"/>
          <w:sz w:val="28"/>
          <w:u w:val="single"/>
        </w:rPr>
      </w:pPr>
      <w:r w:rsidRPr="0034687D">
        <w:rPr>
          <w:b/>
          <w:color w:val="0B0FB5"/>
          <w:sz w:val="28"/>
          <w:u w:val="single"/>
        </w:rPr>
        <w:t>Interpretation/Results/Alert/Values:</w:t>
      </w:r>
    </w:p>
    <w:p w:rsidRPr="00D24302" w:rsidR="00D24302" w:rsidRDefault="004C35D4" w14:paraId="4B94D5A5" w14:textId="1F1E4C5B">
      <w:r>
        <w:t xml:space="preserve">See the </w:t>
      </w:r>
      <w:hyperlink w:history="1" r:id="rId18">
        <w:r w:rsidRPr="004C35D4">
          <w:rPr>
            <w:rStyle w:val="Hyperlink"/>
          </w:rPr>
          <w:t>Lab Test Directory entry for PHTY</w:t>
        </w:r>
      </w:hyperlink>
      <w:r>
        <w:t xml:space="preserve"> </w:t>
      </w:r>
    </w:p>
    <w:p w:rsidRPr="0034687D" w:rsidR="00477997" w:rsidP="0034687D" w:rsidRDefault="00477997" w14:paraId="2A65E940" w14:textId="77777777">
      <w:pPr>
        <w:pStyle w:val="Header"/>
        <w:rPr>
          <w:b/>
          <w:color w:val="0B0FB5"/>
          <w:sz w:val="28"/>
          <w:u w:val="single"/>
        </w:rPr>
      </w:pPr>
      <w:r w:rsidRPr="0034687D">
        <w:rPr>
          <w:b/>
          <w:color w:val="0B0FB5"/>
          <w:sz w:val="28"/>
          <w:u w:val="single"/>
        </w:rPr>
        <w:t>Limitations:</w:t>
      </w:r>
    </w:p>
    <w:p w:rsidRPr="00D24302" w:rsidR="00D24302" w:rsidRDefault="004C35D4" w14:paraId="3656B9AB" w14:textId="6E463B82">
      <w:r>
        <w:t xml:space="preserve">This procedure does </w:t>
      </w:r>
      <w:r w:rsidRPr="004C35D4">
        <w:rPr>
          <w:b/>
        </w:rPr>
        <w:t>not</w:t>
      </w:r>
      <w:r>
        <w:t xml:space="preserve"> apply to blood specimens collected via venipuncture into vacutainers at a Children’s Minnesota location. Such specimens would follow standard ordering, receiving, transport, and resulting procedures.</w:t>
      </w:r>
    </w:p>
    <w:p w:rsidRPr="0034687D" w:rsidR="00477997" w:rsidP="0034687D" w:rsidRDefault="00477997" w14:paraId="503AD8BC" w14:textId="77777777">
      <w:pPr>
        <w:pStyle w:val="Header"/>
        <w:rPr>
          <w:b/>
          <w:color w:val="0B0FB5"/>
          <w:sz w:val="28"/>
          <w:u w:val="single"/>
        </w:rPr>
      </w:pPr>
      <w:r w:rsidRPr="0034687D">
        <w:rPr>
          <w:b/>
          <w:color w:val="0B0FB5"/>
          <w:sz w:val="28"/>
          <w:u w:val="single"/>
        </w:rPr>
        <w:t>Reference Intervals:</w:t>
      </w:r>
    </w:p>
    <w:p w:rsidRPr="00D24302" w:rsidR="00D24302" w:rsidRDefault="004C35D4" w14:paraId="45FB0818" w14:textId="3BD0F06E">
      <w:r>
        <w:t xml:space="preserve">See the </w:t>
      </w:r>
      <w:hyperlink w:history="1" r:id="rId19">
        <w:r w:rsidRPr="004C35D4">
          <w:rPr>
            <w:rStyle w:val="Hyperlink"/>
          </w:rPr>
          <w:t>Lab Test Directory entry for PHTY</w:t>
        </w:r>
      </w:hyperlink>
    </w:p>
    <w:p w:rsidRPr="0034687D" w:rsidR="00477997" w:rsidP="0034687D" w:rsidRDefault="00477997" w14:paraId="054F7A79" w14:textId="4E1F765A">
      <w:pPr>
        <w:pStyle w:val="Header"/>
        <w:rPr>
          <w:b/>
          <w:color w:val="0B0FB5"/>
          <w:sz w:val="28"/>
          <w:u w:val="single"/>
        </w:rPr>
      </w:pPr>
      <w:r w:rsidRPr="0034687D">
        <w:rPr>
          <w:b/>
          <w:color w:val="0B0FB5"/>
          <w:sz w:val="28"/>
          <w:u w:val="single"/>
        </w:rPr>
        <w:t>Result Reporting:</w:t>
      </w:r>
    </w:p>
    <w:p w:rsidR="00F50BF1" w:rsidRDefault="00F50BF1" w14:paraId="6BD09A3B" w14:textId="3BCD22BE">
      <w:r w:rsidRPr="00F50BF1">
        <w:lastRenderedPageBreak/>
        <w:t xml:space="preserve">See Procedure </w:t>
      </w:r>
      <w:r>
        <w:t>S</w:t>
      </w:r>
      <w:r w:rsidRPr="00F50BF1">
        <w:t>tep 5</w:t>
      </w:r>
      <w:r>
        <w:t xml:space="preserve"> above. </w:t>
      </w:r>
    </w:p>
    <w:p w:rsidRPr="00D24302" w:rsidR="00D24302" w:rsidRDefault="00F50BF1" w14:paraId="53128261" w14:textId="6810E93C">
      <w:r>
        <w:t>There is no critical value defined for this assay.</w:t>
      </w:r>
    </w:p>
    <w:p w:rsidRPr="0034687D" w:rsidR="00477997" w:rsidP="0034687D" w:rsidRDefault="00477997" w14:paraId="0DF43999" w14:textId="77777777">
      <w:pPr>
        <w:pStyle w:val="Header"/>
        <w:rPr>
          <w:b/>
          <w:color w:val="0B0FB5"/>
          <w:sz w:val="28"/>
          <w:u w:val="single"/>
        </w:rPr>
      </w:pPr>
      <w:r w:rsidRPr="0034687D">
        <w:rPr>
          <w:b/>
          <w:color w:val="0B0FB5"/>
          <w:sz w:val="28"/>
          <w:u w:val="single"/>
        </w:rPr>
        <w:t>References:</w:t>
      </w:r>
    </w:p>
    <w:p w:rsidR="00D24302" w:rsidRDefault="00F50BF1" w14:paraId="62486C05" w14:textId="52BD8C18">
      <w:hyperlink w:history="1" r:id="rId20">
        <w:r w:rsidRPr="00F50BF1">
          <w:rPr>
            <w:rStyle w:val="Hyperlink"/>
          </w:rPr>
          <w:t>MHealth Fairview Lab Catalog</w:t>
        </w:r>
      </w:hyperlink>
    </w:p>
    <w:p w:rsidRPr="00D24302" w:rsidR="00F50BF1" w:rsidRDefault="00F50BF1" w14:paraId="4CB448DD" w14:textId="765DFAC5">
      <w:hyperlink w:history="1" r:id="rId21">
        <w:r w:rsidRPr="00F50BF1">
          <w:rPr>
            <w:rStyle w:val="Hyperlink"/>
          </w:rPr>
          <w:t>Children’s Minnesota Lab Test Directory</w:t>
        </w:r>
      </w:hyperlink>
    </w:p>
    <w:p w:rsidRPr="0034687D" w:rsidR="00477997" w:rsidP="0034687D" w:rsidRDefault="00477997" w14:paraId="5C5291D7" w14:textId="77777777">
      <w:pPr>
        <w:pStyle w:val="Header"/>
        <w:rPr>
          <w:b/>
          <w:color w:val="0B0FB5"/>
          <w:sz w:val="28"/>
          <w:u w:val="single"/>
        </w:rPr>
      </w:pPr>
      <w:r w:rsidRPr="0034687D">
        <w:rPr>
          <w:b/>
          <w:color w:val="0B0FB5"/>
          <w:sz w:val="28"/>
          <w:u w:val="single"/>
        </w:rPr>
        <w:t>Training Plan/Competency Assessment:</w:t>
      </w:r>
    </w:p>
    <w:p w:rsidR="00D24302" w:rsidP="00F50BF1" w:rsidRDefault="00F50BF1" w14:paraId="4B99056E" w14:textId="3D9048BC">
      <w:pPr>
        <w:pStyle w:val="ListParagraph"/>
        <w:numPr>
          <w:ilvl w:val="0"/>
          <w:numId w:val="4"/>
        </w:numPr>
      </w:pPr>
      <w:r>
        <w:t>Employee will read the procedure.</w:t>
      </w:r>
    </w:p>
    <w:p w:rsidR="00F50BF1" w:rsidP="00F50BF1" w:rsidRDefault="00F50BF1" w14:paraId="3C837765" w14:textId="1D9DB574">
      <w:pPr>
        <w:pStyle w:val="ListParagraph"/>
        <w:numPr>
          <w:ilvl w:val="0"/>
          <w:numId w:val="4"/>
        </w:numPr>
      </w:pPr>
      <w:r>
        <w:t>Employee will observe the procedure.</w:t>
      </w:r>
    </w:p>
    <w:p w:rsidRPr="00D24302" w:rsidR="00F50BF1" w:rsidP="00F50BF1" w:rsidRDefault="00F50BF1" w14:paraId="4646EEE5" w14:textId="1F699C35">
      <w:pPr>
        <w:pStyle w:val="ListParagraph"/>
        <w:numPr>
          <w:ilvl w:val="0"/>
          <w:numId w:val="4"/>
        </w:numPr>
      </w:pPr>
      <w:r>
        <w:t>Employee will perform the procedure under supervision.</w:t>
      </w:r>
    </w:p>
    <w:p w:rsidRPr="0034687D" w:rsidR="00477997" w:rsidP="0034687D" w:rsidRDefault="00477997" w14:paraId="6F0A3D82" w14:textId="77777777">
      <w:pPr>
        <w:pStyle w:val="Header"/>
        <w:rPr>
          <w:b/>
          <w:color w:val="0B0FB5"/>
          <w:sz w:val="28"/>
          <w:u w:val="single"/>
        </w:rPr>
      </w:pPr>
      <w:r w:rsidRPr="0034687D">
        <w:rPr>
          <w:b/>
          <w:color w:val="0B0FB5"/>
          <w:sz w:val="28"/>
          <w:u w:val="single"/>
        </w:rPr>
        <w:t>Historical Record:</w:t>
      </w:r>
    </w:p>
    <w:tbl>
      <w:tblPr>
        <w:tblStyle w:val="TableGrid"/>
        <w:tblW w:w="0" w:type="auto"/>
        <w:tblLook w:val="04A0" w:firstRow="1" w:lastRow="0" w:firstColumn="1" w:lastColumn="0" w:noHBand="0" w:noVBand="1"/>
      </w:tblPr>
      <w:tblGrid>
        <w:gridCol w:w="1165"/>
        <w:gridCol w:w="2610"/>
        <w:gridCol w:w="2070"/>
        <w:gridCol w:w="3505"/>
      </w:tblGrid>
      <w:tr w:rsidR="00D24302" w:rsidTr="7F77C811" w14:paraId="3C5797D9" w14:textId="77777777">
        <w:tc>
          <w:tcPr>
            <w:tcW w:w="1165" w:type="dxa"/>
            <w:tcMar/>
          </w:tcPr>
          <w:p w:rsidRPr="00D24302" w:rsidR="00D24302" w:rsidRDefault="00D24302" w14:paraId="6B814A1E" w14:textId="77777777">
            <w:pPr>
              <w:rPr>
                <w:b/>
              </w:rPr>
            </w:pPr>
            <w:r w:rsidRPr="00D24302">
              <w:rPr>
                <w:b/>
              </w:rPr>
              <w:t>Version</w:t>
            </w:r>
          </w:p>
        </w:tc>
        <w:tc>
          <w:tcPr>
            <w:tcW w:w="2610" w:type="dxa"/>
            <w:tcMar/>
          </w:tcPr>
          <w:p w:rsidRPr="00D24302" w:rsidR="00D24302" w:rsidRDefault="00D24302" w14:paraId="6E8E84D7" w14:textId="77777777">
            <w:pPr>
              <w:rPr>
                <w:b/>
              </w:rPr>
            </w:pPr>
            <w:r w:rsidRPr="00D24302">
              <w:rPr>
                <w:b/>
              </w:rPr>
              <w:t>Written/Revised by:</w:t>
            </w:r>
          </w:p>
        </w:tc>
        <w:tc>
          <w:tcPr>
            <w:tcW w:w="2070" w:type="dxa"/>
            <w:tcMar/>
          </w:tcPr>
          <w:p w:rsidRPr="00D24302" w:rsidR="00D24302" w:rsidRDefault="00D24302" w14:paraId="700F2D74" w14:textId="77777777">
            <w:pPr>
              <w:rPr>
                <w:b/>
              </w:rPr>
            </w:pPr>
            <w:r w:rsidRPr="00D24302">
              <w:rPr>
                <w:b/>
              </w:rPr>
              <w:t>Effective Date:</w:t>
            </w:r>
          </w:p>
        </w:tc>
        <w:tc>
          <w:tcPr>
            <w:tcW w:w="3505" w:type="dxa"/>
            <w:tcMar/>
          </w:tcPr>
          <w:p w:rsidRPr="00D24302" w:rsidR="00D24302" w:rsidRDefault="00D24302" w14:paraId="514BD546" w14:textId="77777777">
            <w:pPr>
              <w:rPr>
                <w:b/>
              </w:rPr>
            </w:pPr>
            <w:r w:rsidRPr="00D24302">
              <w:rPr>
                <w:b/>
              </w:rPr>
              <w:t>Summary of Revisions</w:t>
            </w:r>
          </w:p>
        </w:tc>
      </w:tr>
      <w:tr w:rsidR="00D24302" w:rsidTr="7F77C811" w14:paraId="1299C43A" w14:textId="77777777">
        <w:tc>
          <w:tcPr>
            <w:tcW w:w="1165" w:type="dxa"/>
            <w:tcMar/>
          </w:tcPr>
          <w:p w:rsidR="00D24302" w:rsidP="2B6FE6C1" w:rsidRDefault="152D060F" w14:paraId="4DDBEF00" w14:textId="0FB2B3B9">
            <w:pPr>
              <w:jc w:val="center"/>
            </w:pPr>
            <w:r>
              <w:t>1</w:t>
            </w:r>
          </w:p>
        </w:tc>
        <w:tc>
          <w:tcPr>
            <w:tcW w:w="2610" w:type="dxa"/>
            <w:tcMar/>
          </w:tcPr>
          <w:p w:rsidR="00D24302" w:rsidRDefault="00F50BF1" w14:paraId="3461D779" w14:textId="38C8404E">
            <w:r>
              <w:t>Sandra Tekmen</w:t>
            </w:r>
          </w:p>
        </w:tc>
        <w:tc>
          <w:tcPr>
            <w:tcW w:w="2070" w:type="dxa"/>
            <w:tcMar/>
          </w:tcPr>
          <w:p w:rsidR="00D24302" w:rsidRDefault="00F50BF1" w14:paraId="3CF2D8B6" w14:textId="2BA59129">
            <w:r w:rsidR="00F50BF1">
              <w:rPr/>
              <w:t>9/</w:t>
            </w:r>
            <w:r w:rsidR="4C64112B">
              <w:rPr/>
              <w:t>9</w:t>
            </w:r>
            <w:r w:rsidR="00F50BF1">
              <w:rPr/>
              <w:t>/2024</w:t>
            </w:r>
          </w:p>
        </w:tc>
        <w:tc>
          <w:tcPr>
            <w:tcW w:w="3505" w:type="dxa"/>
            <w:tcMar/>
          </w:tcPr>
          <w:p w:rsidR="00D24302" w:rsidRDefault="152D060F" w14:paraId="0FB78278" w14:textId="7C4075CC">
            <w:r>
              <w:t>Initial Version</w:t>
            </w:r>
          </w:p>
        </w:tc>
      </w:tr>
    </w:tbl>
    <w:p w:rsidRPr="00D24302" w:rsidR="00D24302" w:rsidRDefault="00D24302" w14:paraId="1F72F646" w14:textId="77777777"/>
    <w:p w:rsidR="00477997" w:rsidRDefault="00477997" w14:paraId="08CE6F91" w14:textId="77777777"/>
    <w:sectPr w:rsidR="00477997" w:rsidSect="00477997">
      <w:headerReference w:type="default" r:id="rId22"/>
      <w:pgSz w:w="12240" w:h="15840" w:orient="portrait"/>
      <w:pgMar w:top="1440" w:right="1440" w:bottom="1440" w:left="1440" w:header="720" w:footer="720" w:gutter="0"/>
      <w:cols w:space="720"/>
      <w:docGrid w:linePitch="360"/>
      <w:footerReference w:type="default" r:id="Rea81702b5923478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CDC" w:rsidP="00477997" w:rsidRDefault="006C6CDC" w14:paraId="6BB9E253" w14:textId="77777777">
      <w:pPr>
        <w:spacing w:after="0" w:line="240" w:lineRule="auto"/>
      </w:pPr>
      <w:r>
        <w:separator/>
      </w:r>
    </w:p>
  </w:endnote>
  <w:endnote w:type="continuationSeparator" w:id="0">
    <w:p w:rsidR="006C6CDC" w:rsidP="00477997" w:rsidRDefault="006C6CDC" w14:paraId="23DE52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77C811" w:rsidTr="7F77C811" w14:paraId="297051DA">
      <w:trPr>
        <w:trHeight w:val="300"/>
      </w:trPr>
      <w:tc>
        <w:tcPr>
          <w:tcW w:w="3120" w:type="dxa"/>
          <w:tcMar/>
        </w:tcPr>
        <w:p w:rsidR="7F77C811" w:rsidP="7F77C811" w:rsidRDefault="7F77C811" w14:paraId="59403158" w14:textId="579DB34F">
          <w:pPr>
            <w:pStyle w:val="Header"/>
            <w:bidi w:val="0"/>
            <w:ind w:left="-115"/>
            <w:jc w:val="left"/>
          </w:pPr>
        </w:p>
      </w:tc>
      <w:tc>
        <w:tcPr>
          <w:tcW w:w="3120" w:type="dxa"/>
          <w:tcMar/>
        </w:tcPr>
        <w:p w:rsidR="7F77C811" w:rsidP="7F77C811" w:rsidRDefault="7F77C811" w14:paraId="0EDCBD91" w14:textId="215ABA7E">
          <w:pPr>
            <w:pStyle w:val="Header"/>
            <w:bidi w:val="0"/>
            <w:jc w:val="center"/>
          </w:pPr>
        </w:p>
      </w:tc>
      <w:tc>
        <w:tcPr>
          <w:tcW w:w="3120" w:type="dxa"/>
          <w:tcMar/>
        </w:tcPr>
        <w:p w:rsidR="7F77C811" w:rsidP="7F77C811" w:rsidRDefault="7F77C811" w14:paraId="2769F01C" w14:textId="0D52DC44">
          <w:pPr>
            <w:pStyle w:val="Header"/>
            <w:bidi w:val="0"/>
            <w:ind w:right="-115"/>
            <w:jc w:val="right"/>
          </w:pPr>
        </w:p>
      </w:tc>
    </w:tr>
  </w:tbl>
  <w:p w:rsidR="7F77C811" w:rsidP="7F77C811" w:rsidRDefault="7F77C811" w14:paraId="579CBDB6" w14:textId="46A7412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CDC" w:rsidP="00477997" w:rsidRDefault="006C6CDC" w14:paraId="52E56223" w14:textId="77777777">
      <w:pPr>
        <w:spacing w:after="0" w:line="240" w:lineRule="auto"/>
      </w:pPr>
      <w:r>
        <w:separator/>
      </w:r>
    </w:p>
  </w:footnote>
  <w:footnote w:type="continuationSeparator" w:id="0">
    <w:p w:rsidR="006C6CDC" w:rsidP="00477997" w:rsidRDefault="006C6CDC" w14:paraId="07547A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4687D" w:rsidP="00477997" w:rsidRDefault="00477997" w14:paraId="6F2744A2" w14:textId="0BED5E2D">
    <w:pPr>
      <w:pStyle w:val="Header"/>
    </w:pPr>
    <w:r>
      <w:rPr>
        <w:noProof/>
      </w:rPr>
      <w:drawing>
        <wp:anchor distT="0" distB="0" distL="114300" distR="114300" simplePos="0" relativeHeight="251659264" behindDoc="0" locked="0" layoutInCell="1" allowOverlap="1" wp14:anchorId="195B4DDC" wp14:editId="5EC6B687">
          <wp:simplePos x="0" y="0"/>
          <wp:positionH relativeFrom="column">
            <wp:posOffset>4714875</wp:posOffset>
          </wp:positionH>
          <wp:positionV relativeFrom="paragraph">
            <wp:posOffset>0</wp:posOffset>
          </wp:positionV>
          <wp:extent cx="1192530" cy="384175"/>
          <wp:effectExtent l="0" t="0" r="0" b="0"/>
          <wp:wrapNone/>
          <wp:docPr id="7"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84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4687D">
      <w:t>SO</w:t>
    </w:r>
    <w:proofErr w:type="gramEnd"/>
    <w:r w:rsidR="0034687D">
      <w:t xml:space="preserve"> 7.03 PHTY </w:t>
    </w:r>
    <w:r w:rsidR="0034687D">
      <w:t>Phenylalanine &amp; Tyrosine</w:t>
    </w:r>
    <w:r w:rsidR="0034687D">
      <w:t xml:space="preserve"> Blood Spot Card </w:t>
    </w:r>
  </w:p>
  <w:p w:rsidR="00477997" w:rsidP="00477997" w:rsidRDefault="0034687D" w14:paraId="1D891AD0" w14:textId="3F82D5DF">
    <w:pPr>
      <w:pStyle w:val="Header"/>
    </w:pPr>
    <w:r>
      <w:t>Home Collection and Reporting</w:t>
    </w:r>
  </w:p>
  <w:p w:rsidR="00477997" w:rsidP="00477997" w:rsidRDefault="00477997" w14:paraId="5033523A" w14:textId="37B29D84">
    <w:pPr>
      <w:pStyle w:val="Header"/>
    </w:pPr>
    <w:r>
      <w:t xml:space="preserve">Version </w:t>
    </w:r>
    <w:r w:rsidR="0034687D">
      <w:t>1</w:t>
    </w:r>
  </w:p>
  <w:p w:rsidR="00477997" w:rsidP="00477997" w:rsidRDefault="00477997" w14:paraId="16080F32" w14:textId="4CA265C5">
    <w:pPr>
      <w:pStyle w:val="Header"/>
    </w:pPr>
    <w:r w:rsidR="7F77C811">
      <w:rPr/>
      <w:t xml:space="preserve">Effective Date: </w:t>
    </w:r>
    <w:r w:rsidR="7F77C811">
      <w:rPr/>
      <w:t>09/0</w:t>
    </w:r>
    <w:r w:rsidR="7F77C811">
      <w:rPr/>
      <w:t>9</w:t>
    </w:r>
    <w:r w:rsidR="7F77C811">
      <w:rPr/>
      <w:t>/2024</w:t>
    </w:r>
  </w:p>
  <w:p w:rsidRPr="00477997" w:rsidR="00477997" w:rsidP="00477997" w:rsidRDefault="00477997" w14:paraId="61CDCE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07A"/>
    <w:multiLevelType w:val="hybridMultilevel"/>
    <w:tmpl w:val="954E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8461B"/>
    <w:multiLevelType w:val="hybridMultilevel"/>
    <w:tmpl w:val="6044A5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CD41D12"/>
    <w:multiLevelType w:val="hybridMultilevel"/>
    <w:tmpl w:val="CDD4E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7F302B"/>
    <w:multiLevelType w:val="hybridMultilevel"/>
    <w:tmpl w:val="5E84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97"/>
    <w:rsid w:val="00107F51"/>
    <w:rsid w:val="001A5D09"/>
    <w:rsid w:val="0021763B"/>
    <w:rsid w:val="00235BAE"/>
    <w:rsid w:val="002955B4"/>
    <w:rsid w:val="0034687D"/>
    <w:rsid w:val="00477997"/>
    <w:rsid w:val="004C35D4"/>
    <w:rsid w:val="006023A5"/>
    <w:rsid w:val="006160A4"/>
    <w:rsid w:val="00661C40"/>
    <w:rsid w:val="006C6CDC"/>
    <w:rsid w:val="006D57BF"/>
    <w:rsid w:val="007113D4"/>
    <w:rsid w:val="00793F27"/>
    <w:rsid w:val="00914106"/>
    <w:rsid w:val="00BD6399"/>
    <w:rsid w:val="00C81194"/>
    <w:rsid w:val="00D24302"/>
    <w:rsid w:val="00EA4535"/>
    <w:rsid w:val="00F50BF1"/>
    <w:rsid w:val="010860F6"/>
    <w:rsid w:val="03698D14"/>
    <w:rsid w:val="03A720A1"/>
    <w:rsid w:val="03F8CD84"/>
    <w:rsid w:val="053B173B"/>
    <w:rsid w:val="068C2D43"/>
    <w:rsid w:val="0955D9A1"/>
    <w:rsid w:val="0AA61734"/>
    <w:rsid w:val="0B574D1E"/>
    <w:rsid w:val="0BDD48D6"/>
    <w:rsid w:val="0C950992"/>
    <w:rsid w:val="0F91B7EA"/>
    <w:rsid w:val="11DFD292"/>
    <w:rsid w:val="13B2816B"/>
    <w:rsid w:val="152D060F"/>
    <w:rsid w:val="17287808"/>
    <w:rsid w:val="195DAC22"/>
    <w:rsid w:val="197BC22F"/>
    <w:rsid w:val="1A1860AC"/>
    <w:rsid w:val="20A9A5F7"/>
    <w:rsid w:val="211F06AF"/>
    <w:rsid w:val="2219E604"/>
    <w:rsid w:val="23FB2168"/>
    <w:rsid w:val="26EC59F2"/>
    <w:rsid w:val="27C02775"/>
    <w:rsid w:val="2B6FE6C1"/>
    <w:rsid w:val="2E0BC16B"/>
    <w:rsid w:val="2ED4B98E"/>
    <w:rsid w:val="3082B2E3"/>
    <w:rsid w:val="321C2128"/>
    <w:rsid w:val="32BBA3A7"/>
    <w:rsid w:val="36A99EAE"/>
    <w:rsid w:val="3BEB41FC"/>
    <w:rsid w:val="3C1CDD22"/>
    <w:rsid w:val="3D482D61"/>
    <w:rsid w:val="3F059338"/>
    <w:rsid w:val="400870B4"/>
    <w:rsid w:val="41AF9E45"/>
    <w:rsid w:val="43A607B4"/>
    <w:rsid w:val="462D86D9"/>
    <w:rsid w:val="490F08C3"/>
    <w:rsid w:val="4B41B501"/>
    <w:rsid w:val="4C64112B"/>
    <w:rsid w:val="4FB331DB"/>
    <w:rsid w:val="521F332C"/>
    <w:rsid w:val="523914D5"/>
    <w:rsid w:val="5364F0D5"/>
    <w:rsid w:val="552A0E26"/>
    <w:rsid w:val="5622628C"/>
    <w:rsid w:val="5CB8DF7F"/>
    <w:rsid w:val="5CC55964"/>
    <w:rsid w:val="5F190225"/>
    <w:rsid w:val="5F49FD75"/>
    <w:rsid w:val="609DE25C"/>
    <w:rsid w:val="663314B1"/>
    <w:rsid w:val="66B58BE4"/>
    <w:rsid w:val="66D821C2"/>
    <w:rsid w:val="670159A9"/>
    <w:rsid w:val="67482504"/>
    <w:rsid w:val="6920CF2A"/>
    <w:rsid w:val="6BA9BC33"/>
    <w:rsid w:val="6BD86688"/>
    <w:rsid w:val="6E223D4E"/>
    <w:rsid w:val="707044A4"/>
    <w:rsid w:val="715DF9DC"/>
    <w:rsid w:val="74A6FA6D"/>
    <w:rsid w:val="75CAF1FF"/>
    <w:rsid w:val="75F5C6F5"/>
    <w:rsid w:val="76305E5F"/>
    <w:rsid w:val="78FA8FA7"/>
    <w:rsid w:val="79039757"/>
    <w:rsid w:val="7A52700A"/>
    <w:rsid w:val="7AF14BFC"/>
    <w:rsid w:val="7B52B108"/>
    <w:rsid w:val="7D0EACC9"/>
    <w:rsid w:val="7E376387"/>
    <w:rsid w:val="7F77C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AA4D"/>
  <w15:chartTrackingRefBased/>
  <w15:docId w15:val="{938672E8-B5A1-427A-916F-B9B50BC9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779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7997"/>
  </w:style>
  <w:style w:type="paragraph" w:styleId="Footer">
    <w:name w:val="footer"/>
    <w:basedOn w:val="Normal"/>
    <w:link w:val="FooterChar"/>
    <w:uiPriority w:val="99"/>
    <w:unhideWhenUsed/>
    <w:rsid w:val="004779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7997"/>
  </w:style>
  <w:style w:type="table" w:styleId="TableGrid">
    <w:name w:val="Table Grid"/>
    <w:basedOn w:val="TableNormal"/>
    <w:uiPriority w:val="39"/>
    <w:rsid w:val="00D243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C35D4"/>
    <w:rPr>
      <w:color w:val="0563C1" w:themeColor="hyperlink"/>
      <w:u w:val="single"/>
    </w:rPr>
  </w:style>
  <w:style w:type="character" w:styleId="UnresolvedMention">
    <w:name w:val="Unresolved Mention"/>
    <w:basedOn w:val="DefaultParagraphFont"/>
    <w:uiPriority w:val="99"/>
    <w:semiHidden/>
    <w:unhideWhenUsed/>
    <w:rsid w:val="004C35D4"/>
    <w:rPr>
      <w:color w:val="605E5C"/>
      <w:shd w:val="clear" w:color="auto" w:fill="E1DFDD"/>
    </w:rPr>
  </w:style>
  <w:style w:type="paragraph" w:styleId="ListParagraph">
    <w:name w:val="List Paragraph"/>
    <w:basedOn w:val="Normal"/>
    <w:uiPriority w:val="34"/>
    <w:qFormat/>
    <w:rsid w:val="00661C40"/>
    <w:pPr>
      <w:ind w:left="720"/>
      <w:contextualSpacing/>
    </w:pPr>
  </w:style>
  <w:style w:type="character" w:styleId="FollowedHyperlink">
    <w:name w:val="FollowedHyperlink"/>
    <w:basedOn w:val="DefaultParagraphFont"/>
    <w:uiPriority w:val="99"/>
    <w:semiHidden/>
    <w:unhideWhenUsed/>
    <w:rsid w:val="00F50BF1"/>
    <w:rPr>
      <w:color w:val="954F72" w:themeColor="followedHyperlink"/>
      <w:u w:val="single"/>
    </w:rPr>
  </w:style>
  <w:style w:type="character" w:styleId="CommentReference">
    <w:name w:val="annotation reference"/>
    <w:basedOn w:val="DefaultParagraphFont"/>
    <w:uiPriority w:val="99"/>
    <w:semiHidden/>
    <w:unhideWhenUsed/>
    <w:rsid w:val="00F50BF1"/>
    <w:rPr>
      <w:sz w:val="16"/>
      <w:szCs w:val="16"/>
    </w:rPr>
  </w:style>
  <w:style w:type="paragraph" w:styleId="CommentText">
    <w:name w:val="annotation text"/>
    <w:basedOn w:val="Normal"/>
    <w:link w:val="CommentTextChar"/>
    <w:uiPriority w:val="99"/>
    <w:semiHidden/>
    <w:unhideWhenUsed/>
    <w:rsid w:val="00F50BF1"/>
    <w:pPr>
      <w:spacing w:line="240" w:lineRule="auto"/>
    </w:pPr>
    <w:rPr>
      <w:sz w:val="20"/>
      <w:szCs w:val="20"/>
    </w:rPr>
  </w:style>
  <w:style w:type="character" w:styleId="CommentTextChar" w:customStyle="1">
    <w:name w:val="Comment Text Char"/>
    <w:basedOn w:val="DefaultParagraphFont"/>
    <w:link w:val="CommentText"/>
    <w:uiPriority w:val="99"/>
    <w:semiHidden/>
    <w:rsid w:val="00F50BF1"/>
    <w:rPr>
      <w:sz w:val="20"/>
      <w:szCs w:val="20"/>
    </w:rPr>
  </w:style>
  <w:style w:type="paragraph" w:styleId="CommentSubject">
    <w:name w:val="annotation subject"/>
    <w:basedOn w:val="CommentText"/>
    <w:next w:val="CommentText"/>
    <w:link w:val="CommentSubjectChar"/>
    <w:uiPriority w:val="99"/>
    <w:semiHidden/>
    <w:unhideWhenUsed/>
    <w:rsid w:val="00F50BF1"/>
    <w:rPr>
      <w:b/>
      <w:bCs/>
    </w:rPr>
  </w:style>
  <w:style w:type="character" w:styleId="CommentSubjectChar" w:customStyle="1">
    <w:name w:val="Comment Subject Char"/>
    <w:basedOn w:val="CommentTextChar"/>
    <w:link w:val="CommentSubject"/>
    <w:uiPriority w:val="99"/>
    <w:semiHidden/>
    <w:rsid w:val="00F50BF1"/>
    <w:rPr>
      <w:b/>
      <w:bCs/>
      <w:sz w:val="20"/>
      <w:szCs w:val="20"/>
    </w:rPr>
  </w:style>
  <w:style w:type="paragraph" w:styleId="BalloonText">
    <w:name w:val="Balloon Text"/>
    <w:basedOn w:val="Normal"/>
    <w:link w:val="BalloonTextChar"/>
    <w:uiPriority w:val="99"/>
    <w:semiHidden/>
    <w:unhideWhenUsed/>
    <w:rsid w:val="00F50BF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0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tarnet.childrenshc.org/References/labsop/ss/admin/so-1.21-tipsheet-for-creating-or-editing-a-reg-patient-op-ref-lab-encounter.pdf" TargetMode="External" Id="rId13" /><Relationship Type="http://schemas.openxmlformats.org/officeDocument/2006/relationships/hyperlink" Target="https://www.childrensmn.org/References/Lab/chemistry/phenylalanine-tyrosine-blood-or-blood-spot.pdf" TargetMode="External" Id="rId18" /><Relationship Type="http://schemas.openxmlformats.org/officeDocument/2006/relationships/customXml" Target="../customXml/item3.xml" Id="rId3" /><Relationship Type="http://schemas.openxmlformats.org/officeDocument/2006/relationships/hyperlink" Target="https://www.childrensmn.org/References/Lab/chemistry/phenylalanine-tyrosine-blood-or-blood-spot.pdf" TargetMode="External" Id="rId21" /><Relationship Type="http://schemas.openxmlformats.org/officeDocument/2006/relationships/webSettings" Target="webSettings.xml" Id="rId7" /><Relationship Type="http://schemas.openxmlformats.org/officeDocument/2006/relationships/hyperlink" Target="https://starnet.childrenshc.org/References/labsop/ss/admin/so-1.20-creating-encounters-for-remote-collections.pdf" TargetMode="External" Id="rId12"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childrensmnorg.sharepoint.com/:x:/r/sites/msteams_6688f0/Shared%20Documents/PHTY%20tracking/PHTY%20Tracking.xlsx?d=w618c40ed21494374a211d863540b493e&amp;csf=1&amp;web=1&amp;e=YSvOPr"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hyperlink" Target="https://childrensmnorg.sharepoint.com/:f:/r/sites/Lab-admin/Shared%20Documents/Support%20Services%20-%20Referrals/REFERENCE%20LAB%20INFORMATION/U%20of%20MN%20Fairview?csf=1&amp;web=1&amp;e=GKvvJf" TargetMode="External" Id="rId10" /><Relationship Type="http://schemas.openxmlformats.org/officeDocument/2006/relationships/hyperlink" Target="https://www.childrensmn.org/References/Lab/chemistry/phenylalanine-tyrosine-blood-or-blood-spot.pdf"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2" /><Relationship Type="http://schemas.openxmlformats.org/officeDocument/2006/relationships/hyperlink" Target="https://starnet.childrenshc.org/References/labsop/ss/reflab/so-4.10-atlas-order-entry-for-university-of-mn.pdf" TargetMode="External" Id="R393b399c685e4dca" /><Relationship Type="http://schemas.openxmlformats.org/officeDocument/2006/relationships/hyperlink" Target="https://childrensmnorg.sharepoint.com/:x:/r/sites/msteams_6688f0/Shared%20Documents/PHTY%20tracking/PHTY%20Tracking.xlsx?d=w618c40ed21494374a211d863540b493e&amp;csf=1&amp;web=1&amp;e=YSvOPr" TargetMode="External" Id="Ra635eec91c94471b" /><Relationship Type="http://schemas.openxmlformats.org/officeDocument/2006/relationships/footer" Target="footer.xml" Id="Rea81702b5923478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D34D8684B8F4C8C630063125D084E" ma:contentTypeVersion="17" ma:contentTypeDescription="Create a new document." ma:contentTypeScope="" ma:versionID="177c29511890bab8a38999fab996e629">
  <xsd:schema xmlns:xsd="http://www.w3.org/2001/XMLSchema" xmlns:xs="http://www.w3.org/2001/XMLSchema" xmlns:p="http://schemas.microsoft.com/office/2006/metadata/properties" xmlns:ns3="be6e8a11-57a6-4c77-b87b-b94c40cee91d" xmlns:ns4="3d3f5458-d3e2-467d-8777-accac672c4c8" targetNamespace="http://schemas.microsoft.com/office/2006/metadata/properties" ma:root="true" ma:fieldsID="e0da14fd75ca72d94dae72d57ce66e46" ns3:_="" ns4:_="">
    <xsd:import namespace="be6e8a11-57a6-4c77-b87b-b94c40cee91d"/>
    <xsd:import namespace="3d3f5458-d3e2-467d-8777-accac672c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e8a11-57a6-4c77-b87b-b94c40cee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f5458-d3e2-467d-8777-accac672c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6e8a11-57a6-4c77-b87b-b94c40cee91d" xsi:nil="true"/>
  </documentManagement>
</p:properties>
</file>

<file path=customXml/itemProps1.xml><?xml version="1.0" encoding="utf-8"?>
<ds:datastoreItem xmlns:ds="http://schemas.openxmlformats.org/officeDocument/2006/customXml" ds:itemID="{398D04FD-59D9-4525-AFB3-3D6371566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e8a11-57a6-4c77-b87b-b94c40cee91d"/>
    <ds:schemaRef ds:uri="3d3f5458-d3e2-467d-8777-accac672c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3F503-8C6D-491F-8E2F-BFD69F6B2B84}">
  <ds:schemaRefs>
    <ds:schemaRef ds:uri="http://schemas.microsoft.com/sharepoint/v3/contenttype/forms"/>
  </ds:schemaRefs>
</ds:datastoreItem>
</file>

<file path=customXml/itemProps3.xml><?xml version="1.0" encoding="utf-8"?>
<ds:datastoreItem xmlns:ds="http://schemas.openxmlformats.org/officeDocument/2006/customXml" ds:itemID="{6A1C1BCB-8F29-4D35-8DF2-04B7697DC246}">
  <ds:schemaRefs>
    <ds:schemaRef ds:uri="3d3f5458-d3e2-467d-8777-accac672c4c8"/>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be6e8a11-57a6-4c77-b87b-b94c40cee91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Children's Hospitals &amp; Clinics of MN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Carrie Casmey</dc:creator>
  <keywords/>
  <dc:description/>
  <lastModifiedBy>Sandra Tekmen</lastModifiedBy>
  <revision>7</revision>
  <dcterms:created xsi:type="dcterms:W3CDTF">2024-08-26T23:11:00.0000000Z</dcterms:created>
  <dcterms:modified xsi:type="dcterms:W3CDTF">2024-09-09T21:41:39.6040095Z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0x01010018BD34D8684B8F4C8C630063125D084E</vt:lpwstr>
  </property>
</Properties>
</file>