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B4997" w:rsidRPr="004442DD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In-Depth Study Guide: Clinical Laboratory Quality Assurance &amp; Quality Control</w:t>
      </w:r>
    </w:p>
    <w:p w14:paraId="0000000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3" w14:textId="1D72F406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Quality Assurance (QA) in Clinical Laboratories</w:t>
      </w:r>
    </w:p>
    <w:p w14:paraId="0000000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5" w14:textId="378E62F9" w:rsidR="00BB4997" w:rsidRPr="004442DD" w:rsidRDefault="00971D34" w:rsidP="00444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Definition: QA refers to the total process that ensures test results are reliable and accurate, from pre-analytical to post-analytical phases. It involves systematic monitoring and evaluation of laboratory processes to maintain high standards of testing.</w:t>
      </w:r>
    </w:p>
    <w:p w14:paraId="00000006" w14:textId="6AE869DC" w:rsidR="00BB4997" w:rsidRDefault="00971D34" w:rsidP="00444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Components:</w:t>
      </w:r>
    </w:p>
    <w:p w14:paraId="00000007" w14:textId="434FF065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Pre-Analytic: Ensures specimen collection, labeling, and transport are accurate.</w:t>
      </w:r>
    </w:p>
    <w:p w14:paraId="00000008" w14:textId="1627B853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 xml:space="preserve">Analytic: Ensures the testing methods are </w:t>
      </w:r>
      <w:r w:rsidR="00036E84" w:rsidRPr="004442DD">
        <w:rPr>
          <w:rFonts w:ascii="Times New Roman" w:hAnsi="Times New Roman" w:cs="Times New Roman"/>
          <w:sz w:val="24"/>
          <w:szCs w:val="24"/>
        </w:rPr>
        <w:t>valid,</w:t>
      </w:r>
      <w:r w:rsidRPr="004442DD">
        <w:rPr>
          <w:rFonts w:ascii="Times New Roman" w:hAnsi="Times New Roman" w:cs="Times New Roman"/>
          <w:sz w:val="24"/>
          <w:szCs w:val="24"/>
        </w:rPr>
        <w:t xml:space="preserve"> and instruments are properly maintained.</w:t>
      </w:r>
    </w:p>
    <w:p w14:paraId="00000009" w14:textId="06183709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Post-Analytic: Involves accurate reporting, interpretation, and data storage.</w:t>
      </w:r>
    </w:p>
    <w:p w14:paraId="0000000A" w14:textId="3C6CA5FF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Quality Assurance Programs: QA programs help laboratories assess and correct potential sources of error. Programs include document control, staff competency evaluations, and monitoring of patient test management processes.</w:t>
      </w:r>
    </w:p>
    <w:p w14:paraId="0000000B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C" w14:textId="307306FC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Quality Control (QC) in Clinical Laboratories</w:t>
      </w:r>
    </w:p>
    <w:p w14:paraId="0000000D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E" w14:textId="02D39746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Definition: QC involves the operational techniques used to meet quality requirements. It specifically refers to processes within the analytical phase, ensuring that tests perform consistently over time.</w:t>
      </w:r>
    </w:p>
    <w:p w14:paraId="0000000F" w14:textId="4B8F9B6B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Internal QC: Utilizes control materials to monitor the precision of test results. Controls are run alongside patient samples to ensure testing remains within acceptable limits.</w:t>
      </w:r>
    </w:p>
    <w:p w14:paraId="00000010" w14:textId="2D14097D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External QC (Proficiency Testing, PT): PT is part of the QC process that compares a lab’s performance to that of other labs, serving as an external measure of testing accuracy.</w:t>
      </w:r>
    </w:p>
    <w:p w14:paraId="00000011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2" w14:textId="7ED339F7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Levey-Jennings Chart</w:t>
      </w:r>
    </w:p>
    <w:p w14:paraId="00000013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4" w14:textId="4C431367" w:rsidR="00BB4997" w:rsidRPr="004442DD" w:rsidRDefault="00971D34" w:rsidP="004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Purpose: A graphical tool used to monitor control results over time. The distance from the mean in standard deviations is plotted, enabling easy detection of shifts or trends in laboratory performance.</w:t>
      </w:r>
    </w:p>
    <w:p w14:paraId="00000015" w14:textId="00853E6A" w:rsidR="00BB4997" w:rsidRPr="004442DD" w:rsidRDefault="00971D34" w:rsidP="004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Structure:</w:t>
      </w:r>
    </w:p>
    <w:p w14:paraId="00000016" w14:textId="580BE3D6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The x-axis represents time or the number of the control run.</w:t>
      </w:r>
    </w:p>
    <w:p w14:paraId="00000017" w14:textId="714C0815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>The y-axis represents the test value, which is compared to the expected mean value.</w:t>
      </w:r>
    </w:p>
    <w:p w14:paraId="00000018" w14:textId="4015D689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Control limits are set at ±1, ±2, and ±3 standard deviations (SD) from the mean.</w:t>
      </w:r>
    </w:p>
    <w:p w14:paraId="00000019" w14:textId="73930DB5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Usage: Deviations in the plotted data help identify whether a test is functioning properly, identifying random and systematic errors.</w:t>
      </w:r>
    </w:p>
    <w:p w14:paraId="0000001A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B" w14:textId="23D16B55" w:rsidR="00BB4997" w:rsidRPr="00FB5521" w:rsidRDefault="00971D34" w:rsidP="00FB5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521">
        <w:rPr>
          <w:rFonts w:ascii="Times New Roman" w:hAnsi="Times New Roman" w:cs="Times New Roman"/>
          <w:b/>
          <w:bCs/>
          <w:sz w:val="24"/>
          <w:szCs w:val="24"/>
        </w:rPr>
        <w:t>Westgard Rules</w:t>
      </w:r>
    </w:p>
    <w:p w14:paraId="0000001C" w14:textId="77777777" w:rsidR="00BB4997" w:rsidRPr="004442DD" w:rsidRDefault="00BB4997" w:rsidP="007D47CD">
      <w:pPr>
        <w:rPr>
          <w:rFonts w:ascii="Times New Roman" w:hAnsi="Times New Roman" w:cs="Times New Roman"/>
          <w:sz w:val="24"/>
          <w:szCs w:val="24"/>
        </w:rPr>
      </w:pPr>
    </w:p>
    <w:p w14:paraId="0000001D" w14:textId="5C8AA841" w:rsidR="00BB4997" w:rsidRPr="007D47CD" w:rsidRDefault="00971D34" w:rsidP="007D47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Definition: A set of statistical rules used to determine if a testing process is in control or needs troubleshooting. These rules improve QC decision-making by specifying conditions for rejecting test runs.</w:t>
      </w:r>
    </w:p>
    <w:p w14:paraId="0000001E" w14:textId="54303BDD" w:rsidR="00BB4997" w:rsidRPr="007D47CD" w:rsidRDefault="00971D34" w:rsidP="007D47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Key Rules:</w:t>
      </w:r>
    </w:p>
    <w:p w14:paraId="0000001F" w14:textId="6CEF6DB1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1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2s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 (Warning Rule): If a control measurement exceeds ±2SD, the test run may be flagged but not necessarily rejected.</w:t>
      </w:r>
    </w:p>
    <w:p w14:paraId="00000020" w14:textId="5D0F4AAA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1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3s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Rule: Reject the run if a measurement exceeds ±3SD, indicating significant random error.</w:t>
      </w:r>
    </w:p>
    <w:p w14:paraId="00000021" w14:textId="5DCE630C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2s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Rule: Reject the run if two consecutive control results exceed ±2SD on the same side of the mean, indicating systematic error.</w:t>
      </w:r>
    </w:p>
    <w:p w14:paraId="26FDFC6A" w14:textId="6766376A" w:rsid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R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4s </w:t>
      </w:r>
      <w:r w:rsidRPr="007D47CD">
        <w:rPr>
          <w:rFonts w:ascii="Times New Roman" w:hAnsi="Times New Roman" w:cs="Times New Roman"/>
          <w:sz w:val="24"/>
          <w:szCs w:val="24"/>
        </w:rPr>
        <w:t>Rule: Reject when the range between two control measurements in the same run exceeds 4SD, suggesting random error.</w:t>
      </w:r>
    </w:p>
    <w:p w14:paraId="40767E15" w14:textId="052E6BE2" w:rsidR="007D47CD" w:rsidRDefault="007D47CD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1s</w:t>
      </w:r>
      <w:r>
        <w:rPr>
          <w:rFonts w:ascii="Times New Roman" w:hAnsi="Times New Roman" w:cs="Times New Roman"/>
          <w:sz w:val="24"/>
          <w:szCs w:val="24"/>
        </w:rPr>
        <w:t xml:space="preserve"> Rule: Reject when 4 consecutive control measurements exceed the same mean plus 1s or the same mean minus 1s control limit.</w:t>
      </w:r>
    </w:p>
    <w:p w14:paraId="136ED660" w14:textId="3B4ACBAB" w:rsidR="00AB110D" w:rsidRDefault="00AB110D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6 consecutive control measurements fall to one side of the mean.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9355D8" w14:textId="77777777" w:rsidR="00AB110D" w:rsidRDefault="00AB110D" w:rsidP="00AB110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Rule: Reject when 8 consecutive control measurements fall on one side of the mean.</w:t>
      </w:r>
    </w:p>
    <w:p w14:paraId="4C6FD035" w14:textId="0FB7EAEC" w:rsidR="00AB110D" w:rsidRDefault="00FB5521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9 consecutive control measurements fall on one side of the mean.</w:t>
      </w:r>
    </w:p>
    <w:p w14:paraId="540547EF" w14:textId="0BBDA542" w:rsidR="00223BFF" w:rsidRDefault="00223BFF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10 consecutive control measurements fall on side of the mean.</w:t>
      </w:r>
    </w:p>
    <w:p w14:paraId="2BBC7CAF" w14:textId="77777777" w:rsidR="007E6404" w:rsidRDefault="000105A9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12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E6404">
        <w:rPr>
          <w:rFonts w:ascii="Times New Roman" w:hAnsi="Times New Roman" w:cs="Times New Roman"/>
          <w:sz w:val="24"/>
          <w:szCs w:val="24"/>
        </w:rPr>
        <w:t xml:space="preserve"> Rule: Reject when 12 consecutive control measurements fall on one side of the mean.</w:t>
      </w:r>
    </w:p>
    <w:p w14:paraId="26C23955" w14:textId="3C55AAD5" w:rsidR="007E6404" w:rsidRDefault="007E6404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of 3s</w:t>
      </w:r>
      <w:r w:rsidRPr="007E6404">
        <w:rPr>
          <w:rFonts w:ascii="Times New Roman" w:hAnsi="Times New Roman" w:cs="Times New Roman"/>
          <w:sz w:val="24"/>
          <w:szCs w:val="24"/>
        </w:rPr>
        <w:t xml:space="preserve"> Rule: Reject when 2 out of 3 control measurements exceed the same mean plus 2s or mean minus 2s control limit.</w:t>
      </w:r>
    </w:p>
    <w:p w14:paraId="7A39B71C" w14:textId="6CAF93B3" w:rsidR="007E6404" w:rsidRDefault="007E6404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3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1s </w:t>
      </w:r>
      <w:r w:rsidRPr="007E6404">
        <w:rPr>
          <w:rFonts w:ascii="Times New Roman" w:hAnsi="Times New Roman" w:cs="Times New Roman"/>
          <w:sz w:val="24"/>
          <w:szCs w:val="24"/>
        </w:rPr>
        <w:t>Rule: Reject when 3 consecutive control measurements exceed the same means plus 1s or mean minus 1s control limit.</w:t>
      </w:r>
    </w:p>
    <w:p w14:paraId="7D08A473" w14:textId="63F9B0BA" w:rsidR="00AB110D" w:rsidRPr="007E6404" w:rsidRDefault="00AB110D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Rule: Reject when seven control measurements trend in the same direction (progressively higher or lower).</w:t>
      </w:r>
    </w:p>
    <w:p w14:paraId="00000023" w14:textId="2F098DDE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lastRenderedPageBreak/>
        <w:t>Interpretation: Westgard Rules prevent the release of erroneous test results by detecting both random and systematic errors in clinical testing.</w:t>
      </w:r>
    </w:p>
    <w:p w14:paraId="0000002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5" w14:textId="3AB99EEE" w:rsidR="00BB4997" w:rsidRPr="00FB5521" w:rsidRDefault="00971D34" w:rsidP="00FB5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521">
        <w:rPr>
          <w:rFonts w:ascii="Times New Roman" w:hAnsi="Times New Roman" w:cs="Times New Roman"/>
          <w:b/>
          <w:bCs/>
          <w:sz w:val="24"/>
          <w:szCs w:val="24"/>
        </w:rPr>
        <w:t>Individualized Quality Control Plan (IQCP)</w:t>
      </w:r>
    </w:p>
    <w:p w14:paraId="0000002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7" w14:textId="077BD655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Purpose: IQCP is a flexible approach that allows laboratories to develop tailored QC plans based on their specific testing environment and risk assessments.</w:t>
      </w:r>
    </w:p>
    <w:p w14:paraId="00000028" w14:textId="5C509741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Components:</w:t>
      </w:r>
    </w:p>
    <w:p w14:paraId="00000029" w14:textId="31014A75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Risk Assessment: Involves identifying potential risks in the pre-analytic, analytic, and post-analytic phases.</w:t>
      </w:r>
    </w:p>
    <w:p w14:paraId="0000002A" w14:textId="120D2A27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 xml:space="preserve">QC Monitoring: Develop appropriate QC procedures, ensuring they are based on the specific risks of </w:t>
      </w:r>
      <w:r w:rsidR="00F5003F" w:rsidRPr="00FB5521">
        <w:rPr>
          <w:rFonts w:ascii="Times New Roman" w:hAnsi="Times New Roman" w:cs="Times New Roman"/>
          <w:sz w:val="24"/>
          <w:szCs w:val="24"/>
        </w:rPr>
        <w:t>testing the</w:t>
      </w:r>
      <w:r w:rsidRPr="00FB5521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14:paraId="0000002B" w14:textId="52817E6C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Advantages: Laboratories can use fewer QC materials without compromising quality, reducing costs while maintaining compliance with CLIA regulations.</w:t>
      </w:r>
    </w:p>
    <w:p w14:paraId="0000002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D" w14:textId="0D0130A9" w:rsidR="00BB4997" w:rsidRPr="00F5003F" w:rsidRDefault="00971D34" w:rsidP="00F5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003F">
        <w:rPr>
          <w:rFonts w:ascii="Times New Roman" w:hAnsi="Times New Roman" w:cs="Times New Roman"/>
          <w:b/>
          <w:bCs/>
          <w:sz w:val="24"/>
          <w:szCs w:val="24"/>
        </w:rPr>
        <w:t>Proficiency Testing (PT)</w:t>
      </w:r>
    </w:p>
    <w:p w14:paraId="0000002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F" w14:textId="0107D1F1" w:rsidR="00BB4997" w:rsidRPr="00F5003F" w:rsidRDefault="00971D34" w:rsidP="00F5003F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Definition: PT is an external QC measure required by CLIA, where laboratories are sent unknown samples to test</w:t>
      </w:r>
      <w:r w:rsidR="004442DD" w:rsidRPr="00F5003F">
        <w:rPr>
          <w:rFonts w:ascii="Times New Roman" w:hAnsi="Times New Roman" w:cs="Times New Roman"/>
          <w:sz w:val="24"/>
          <w:szCs w:val="24"/>
        </w:rPr>
        <w:t xml:space="preserve"> (usually 3 times annually)</w:t>
      </w:r>
      <w:r w:rsidRPr="00F5003F">
        <w:rPr>
          <w:rFonts w:ascii="Times New Roman" w:hAnsi="Times New Roman" w:cs="Times New Roman"/>
          <w:sz w:val="24"/>
          <w:szCs w:val="24"/>
        </w:rPr>
        <w:t>. Their results are compared to a target or consensus value.</w:t>
      </w:r>
    </w:p>
    <w:p w14:paraId="00000030" w14:textId="10E5A592" w:rsidR="00BB4997" w:rsidRPr="00F5003F" w:rsidRDefault="00971D34" w:rsidP="00F5003F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Regulations:</w:t>
      </w:r>
    </w:p>
    <w:p w14:paraId="00000031" w14:textId="6F5637C9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CLIA Requirements: Laboratories must enroll in an approved PT program for each specialty they perform tests in, such as chemistry, hematology, or microbiology.</w:t>
      </w:r>
    </w:p>
    <w:p w14:paraId="00000032" w14:textId="575460FD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Performance Criteria: A laboratory’s results must be within a specific range (e.g., ±20% for glucose tests) to pass proficiency testing.</w:t>
      </w:r>
    </w:p>
    <w:p w14:paraId="00000033" w14:textId="16C641F3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Role in QA: PT provides external validation of a lab’s testing accuracy and is an essential part of overall quality assurance.</w:t>
      </w:r>
    </w:p>
    <w:p w14:paraId="0000003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5" w14:textId="20B2A6A9" w:rsidR="00BB4997" w:rsidRPr="008E2566" w:rsidRDefault="00971D34" w:rsidP="008E2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HIPAA Regulations</w:t>
      </w:r>
    </w:p>
    <w:p w14:paraId="0000003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7" w14:textId="794E1515" w:rsidR="00BB4997" w:rsidRPr="008E2566" w:rsidRDefault="00971D34" w:rsidP="008E256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Overview: The Health Insurance Portability and Accountability Act (HIPAA) mandates the protection of </w:t>
      </w:r>
      <w:r w:rsidR="008E2566" w:rsidRPr="008E2566">
        <w:rPr>
          <w:rFonts w:ascii="Times New Roman" w:hAnsi="Times New Roman" w:cs="Times New Roman"/>
          <w:sz w:val="24"/>
          <w:szCs w:val="24"/>
        </w:rPr>
        <w:t>patient health</w:t>
      </w:r>
      <w:r w:rsidRPr="008E2566">
        <w:rPr>
          <w:rFonts w:ascii="Times New Roman" w:hAnsi="Times New Roman" w:cs="Times New Roman"/>
          <w:sz w:val="24"/>
          <w:szCs w:val="24"/>
        </w:rPr>
        <w:t xml:space="preserve"> information (PHI). Labs must ensure confidentiality and secure storage of test results and personal data.</w:t>
      </w:r>
    </w:p>
    <w:p w14:paraId="00000038" w14:textId="7C8D53FE" w:rsidR="00BB4997" w:rsidRPr="008E2566" w:rsidRDefault="00971D34" w:rsidP="008E256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Best Practices:</w:t>
      </w:r>
    </w:p>
    <w:p w14:paraId="00000039" w14:textId="0A4E7BA7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Use encrypted systems for patient information.</w:t>
      </w:r>
    </w:p>
    <w:p w14:paraId="0000003A" w14:textId="314C25FB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Limit access to PHI to authorized personnel.</w:t>
      </w:r>
    </w:p>
    <w:p w14:paraId="0000003B" w14:textId="108A4FE1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Regular audits and staff training to prevent data breaches.</w:t>
      </w:r>
    </w:p>
    <w:p w14:paraId="0000003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D" w14:textId="438BB765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E2566">
        <w:rPr>
          <w:rFonts w:ascii="Times New Roman" w:hAnsi="Times New Roman" w:cs="Times New Roman"/>
          <w:b/>
          <w:bCs/>
          <w:sz w:val="24"/>
          <w:szCs w:val="24"/>
        </w:rPr>
        <w:t>CLIA and CAP Guidelines</w:t>
      </w:r>
    </w:p>
    <w:p w14:paraId="0000003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F" w14:textId="32DDABAD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CLIA (Clinical Laboratory Improvement Amendments):</w:t>
      </w:r>
    </w:p>
    <w:p w14:paraId="00000040" w14:textId="33F1453F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Goal: Ensure accurate and reliable laboratory testing.</w:t>
      </w:r>
    </w:p>
    <w:p w14:paraId="00000041" w14:textId="4E6A3E97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Key Requirements:</w:t>
      </w:r>
    </w:p>
    <w:p w14:paraId="00000042" w14:textId="71D5DC73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Test Classification: Tests are classified into waived, moderate complexity, and high complexity. Laboratories performing moderate or high-complexity tests must follow stringent guidelines for personnel qualifications, QC, and proficiency testing.</w:t>
      </w:r>
    </w:p>
    <w:p w14:paraId="00000043" w14:textId="1E7CA5D5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QC Requirements: Laboratories must run quality controls (internal and external) at specified frequencies to meet CLIA standards.</w:t>
      </w:r>
    </w:p>
    <w:p w14:paraId="00000044" w14:textId="0F342416" w:rsidR="00BB4997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Performance Criteria: CLIA outlines acceptable performance standards, such as ±10% for cholesterol or ±20% for other analytes.</w:t>
      </w:r>
    </w:p>
    <w:p w14:paraId="03C16D40" w14:textId="77777777" w:rsidR="00772128" w:rsidRPr="00772128" w:rsidRDefault="00772128" w:rsidP="0077212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0000045" w14:textId="3150947B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(College of American Pathologists):</w:t>
      </w:r>
    </w:p>
    <w:p w14:paraId="00000046" w14:textId="6767E460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accreditation programs go beyond CLIA requirements, focusing on improving overall laboratory quality through stricter standards.</w:t>
      </w:r>
    </w:p>
    <w:p w14:paraId="00000047" w14:textId="7F05D91E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includes additional standards for histocompatibility, molecular diagnostics, and genetic testing, requiring rigorous validation and ongoing performance assessment.</w:t>
      </w:r>
    </w:p>
    <w:p w14:paraId="00000048" w14:textId="64809C20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Compliance: Laboratories must adhere to both CLIA and CAP guidelines to maintain accreditation and certification. CAP accreditation is often seen as the gold standard in laboratory quality assurance.</w:t>
      </w:r>
    </w:p>
    <w:p w14:paraId="00000049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A" w14:textId="77777777" w:rsidR="00BB4997" w:rsidRPr="00772128" w:rsidRDefault="00971D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Additional Topics for Mastery:</w:t>
      </w:r>
    </w:p>
    <w:p w14:paraId="0000004B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C" w14:textId="1FD12750" w:rsidR="00BB4997" w:rsidRPr="00772128" w:rsidRDefault="00971D34" w:rsidP="00772128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Validation and Verification: Both ensure that new laboratory methods or equipment meet the intended purpose. Verification confirms a test meets the manufacturer’s specifications, while validation ensures the test fits the lab’s clinical needs.</w:t>
      </w:r>
    </w:p>
    <w:p w14:paraId="0000004D" w14:textId="1B97A9FD" w:rsidR="00BB4997" w:rsidRPr="00772128" w:rsidRDefault="00971D34" w:rsidP="00772128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Levey-Jennings &amp; Shewhart Chart Comparison: While both are control charts, Levey-Jennings charts use long-term standard deviation estimates, while Shewhart charts use short-term estimates. Understanding when to use each can improve process monitoring.</w:t>
      </w:r>
    </w:p>
    <w:p w14:paraId="0000004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F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References:</w:t>
      </w:r>
    </w:p>
    <w:p w14:paraId="0000005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For further detailed reading, explore:</w:t>
      </w:r>
    </w:p>
    <w:p w14:paraId="0000005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3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Westgard QC, which provides comprehensive insights into multirule QC procedures.</w:t>
      </w:r>
    </w:p>
    <w:p w14:paraId="00000054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CLIA Regulations on the CMS site, for detailed CLIA guidelines and updates.</w:t>
      </w:r>
    </w:p>
    <w:p w14:paraId="00000055" w14:textId="77777777" w:rsidR="00BB4997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CAP Accreditation Programs, for guidelines on laboratory excellence.</w:t>
      </w:r>
    </w:p>
    <w:p w14:paraId="21CEE0B6" w14:textId="77777777" w:rsidR="00772128" w:rsidRDefault="00772128">
      <w:pPr>
        <w:pBdr>
          <w:bottom w:val="thinThickThinMediumGap" w:sz="18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00005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7" w14:textId="428FC866" w:rsidR="00BB4997" w:rsidRPr="00772128" w:rsidRDefault="007721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Study Guide </w:t>
      </w:r>
      <w:r w:rsidR="00971D34" w:rsidRPr="00772128"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14:paraId="00000058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9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Levey-Jennings Chart:</w:t>
      </w:r>
    </w:p>
    <w:p w14:paraId="0000005A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B" w14:textId="7CC500E4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is the primary purpose of a Levey-Jennings chart in quality control, and how are control limits applied to detect errors in laboratory testing?</w:t>
      </w:r>
    </w:p>
    <w:p w14:paraId="777B73D9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5C" w14:textId="0B7AD50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How does a Levey-Jennings chart visually indicate shifts or trends in control data?</w:t>
      </w:r>
    </w:p>
    <w:p w14:paraId="061E3F00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F1DFA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5D" w14:textId="3133573B" w:rsidR="00BB4997" w:rsidRPr="00772128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In what ways does the Levey-Jennings chart differ from a Shewhart chart in terms of standard deviation estimation?</w:t>
      </w:r>
    </w:p>
    <w:p w14:paraId="0000005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F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Westgard Rules:</w:t>
      </w:r>
    </w:p>
    <w:p w14:paraId="0000006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1" w14:textId="30A820C8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are the key differences between random and systematic errors, and how do Westgard Rules help identify these errors?</w:t>
      </w:r>
    </w:p>
    <w:p w14:paraId="6C33E16D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2" w14:textId="5D567B70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Explain the 12s, 13s, and R4s rules and their implications for rejecting or accepting a test run.</w:t>
      </w:r>
    </w:p>
    <w:p w14:paraId="5B96AD94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D8C93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3" w14:textId="0A3F37E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How do laboratories apply Westgard Rules to automated analyzers, and what is the importance of minimizing false rejections?</w:t>
      </w:r>
    </w:p>
    <w:p w14:paraId="1BDE4F3C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5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IQCP (Individualized Quality Control Plan):</w:t>
      </w:r>
    </w:p>
    <w:p w14:paraId="0000006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7" w14:textId="252AC3D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are the key components of an IQCP, and how does it differ from traditional quality control plans?</w:t>
      </w:r>
    </w:p>
    <w:p w14:paraId="146C94D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8" w14:textId="48758BFD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Describe the steps involved in risk assessment under IQCP. How does this assessment affect the QC measures implemented by a laboratory?</w:t>
      </w:r>
    </w:p>
    <w:p w14:paraId="095CC386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3D986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9" w14:textId="065DA5EC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lastRenderedPageBreak/>
        <w:t>Why might a laboratory choose to implement an IQCP over conventional QC measures, and what regulatory benefits does it provide?</w:t>
      </w:r>
    </w:p>
    <w:p w14:paraId="28D51F55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A" w14:textId="77777777" w:rsidR="00BB4997" w:rsidRPr="00772128" w:rsidRDefault="00BB49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B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Proficiency Testing (PT):</w:t>
      </w:r>
    </w:p>
    <w:p w14:paraId="0000006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D" w14:textId="4125BC6D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Why is Proficiency Testing a critical requirement under CLIA, and how does it differ from routine internal QC?</w:t>
      </w:r>
    </w:p>
    <w:p w14:paraId="6082D0E0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E" w14:textId="4CE3C706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role does PT play in external validation of a laboratory’s testing accuracy, and what happens if a laboratory consistently fails PT?</w:t>
      </w:r>
    </w:p>
    <w:p w14:paraId="2B56C9FE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C9ED9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F" w14:textId="0F34C773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are performance criteria for specific analytes, such as glucose or cholesterol, established in Proficiency Testing?</w:t>
      </w:r>
    </w:p>
    <w:p w14:paraId="743FEF88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1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HIPAA and Patient Data Confidentiality:</w:t>
      </w:r>
    </w:p>
    <w:p w14:paraId="0000007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3" w14:textId="3E00E248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are the most important practices a laboratory must implement to comply with HIPAA regulations?</w:t>
      </w:r>
    </w:p>
    <w:p w14:paraId="640CA9E3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4" w14:textId="41860F72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can laboratories ensure that patient health information (PHI) remains secure during pre-analytical and post-analytical processes?</w:t>
      </w:r>
    </w:p>
    <w:p w14:paraId="572E111A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044DEC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5" w14:textId="269DC74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are the consequences of a HIPAA violation in a clinical laboratory setting?</w:t>
      </w:r>
    </w:p>
    <w:p w14:paraId="5C3AF07F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7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CLIA &amp; CAP Guidelines:</w:t>
      </w:r>
    </w:p>
    <w:p w14:paraId="00000078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9" w14:textId="4E58AEFF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do CLIA regulations categorize laboratory tests, and what additional requirements do moderate and high-complexity tests impose on laboratories?</w:t>
      </w:r>
    </w:p>
    <w:p w14:paraId="6008416E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A" w14:textId="138E2BB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Compare the roles of CLIA and CAP in setting standards for clinical laboratories. Why is CAP accreditation considered a higher benchmark than CLIA certification alone?</w:t>
      </w:r>
    </w:p>
    <w:p w14:paraId="7FF86183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F84EE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B" w14:textId="35679C6A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lastRenderedPageBreak/>
        <w:t>What are some of the additional quality control measures required by CAP, particularly in specialized areas like histocompatibility and molecular diagnostics?</w:t>
      </w:r>
    </w:p>
    <w:p w14:paraId="2C9F7012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D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Validation and Verification:</w:t>
      </w:r>
    </w:p>
    <w:p w14:paraId="0000007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F" w14:textId="540D834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is the difference between validation and verification in the context of clinical laboratory testing, and why are both necessary?</w:t>
      </w:r>
    </w:p>
    <w:p w14:paraId="58E813B4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80" w14:textId="0CDA43E7" w:rsidR="00BB4997" w:rsidRPr="00A16B63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does a laboratory go about verifying a new piece of equipment, and what criteria must be met for it to be used in patient testing?</w:t>
      </w:r>
    </w:p>
    <w:p w14:paraId="00000083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sectPr w:rsidR="00BB4997" w:rsidRPr="004442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75"/>
    <w:multiLevelType w:val="hybridMultilevel"/>
    <w:tmpl w:val="2DAC6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BF0"/>
    <w:multiLevelType w:val="hybridMultilevel"/>
    <w:tmpl w:val="440E1A0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FA2E47"/>
    <w:multiLevelType w:val="hybridMultilevel"/>
    <w:tmpl w:val="DA36EFF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961"/>
    <w:multiLevelType w:val="hybridMultilevel"/>
    <w:tmpl w:val="1BF4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1427"/>
    <w:multiLevelType w:val="hybridMultilevel"/>
    <w:tmpl w:val="87D0C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545"/>
    <w:multiLevelType w:val="hybridMultilevel"/>
    <w:tmpl w:val="9214A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4CA9"/>
    <w:multiLevelType w:val="hybridMultilevel"/>
    <w:tmpl w:val="7ED89154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6D1"/>
    <w:multiLevelType w:val="hybridMultilevel"/>
    <w:tmpl w:val="38FED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2455"/>
    <w:multiLevelType w:val="hybridMultilevel"/>
    <w:tmpl w:val="20B8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808"/>
    <w:multiLevelType w:val="hybridMultilevel"/>
    <w:tmpl w:val="DC82E1B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978AD"/>
    <w:multiLevelType w:val="hybridMultilevel"/>
    <w:tmpl w:val="410A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E0F86">
      <w:start w:val="1"/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492B"/>
    <w:multiLevelType w:val="hybridMultilevel"/>
    <w:tmpl w:val="A6F48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B634B"/>
    <w:multiLevelType w:val="hybridMultilevel"/>
    <w:tmpl w:val="F0A6CD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B401F6"/>
    <w:multiLevelType w:val="hybridMultilevel"/>
    <w:tmpl w:val="D6B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6B4F"/>
    <w:multiLevelType w:val="hybridMultilevel"/>
    <w:tmpl w:val="F1F4CD6A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6C85"/>
    <w:multiLevelType w:val="hybridMultilevel"/>
    <w:tmpl w:val="EA02CD26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A4543"/>
    <w:multiLevelType w:val="hybridMultilevel"/>
    <w:tmpl w:val="BE1A831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76B4"/>
    <w:multiLevelType w:val="hybridMultilevel"/>
    <w:tmpl w:val="6FEA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5CE8"/>
    <w:multiLevelType w:val="hybridMultilevel"/>
    <w:tmpl w:val="B4AE2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35B4"/>
    <w:multiLevelType w:val="hybridMultilevel"/>
    <w:tmpl w:val="D6AC0F82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23C97"/>
    <w:multiLevelType w:val="hybridMultilevel"/>
    <w:tmpl w:val="49D4D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0247B7"/>
    <w:multiLevelType w:val="hybridMultilevel"/>
    <w:tmpl w:val="18A6F6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25817"/>
    <w:multiLevelType w:val="hybridMultilevel"/>
    <w:tmpl w:val="6F86C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5997"/>
    <w:multiLevelType w:val="hybridMultilevel"/>
    <w:tmpl w:val="7978729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06FA3"/>
    <w:multiLevelType w:val="hybridMultilevel"/>
    <w:tmpl w:val="081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57584">
    <w:abstractNumId w:val="3"/>
  </w:num>
  <w:num w:numId="2" w16cid:durableId="2060281308">
    <w:abstractNumId w:val="10"/>
  </w:num>
  <w:num w:numId="3" w16cid:durableId="1211191537">
    <w:abstractNumId w:val="17"/>
  </w:num>
  <w:num w:numId="4" w16cid:durableId="1024162967">
    <w:abstractNumId w:val="20"/>
  </w:num>
  <w:num w:numId="5" w16cid:durableId="1549605555">
    <w:abstractNumId w:val="22"/>
  </w:num>
  <w:num w:numId="6" w16cid:durableId="797600926">
    <w:abstractNumId w:val="12"/>
  </w:num>
  <w:num w:numId="7" w16cid:durableId="68164066">
    <w:abstractNumId w:val="8"/>
  </w:num>
  <w:num w:numId="8" w16cid:durableId="1451245572">
    <w:abstractNumId w:val="1"/>
  </w:num>
  <w:num w:numId="9" w16cid:durableId="1549954230">
    <w:abstractNumId w:val="13"/>
  </w:num>
  <w:num w:numId="10" w16cid:durableId="1386874436">
    <w:abstractNumId w:val="24"/>
  </w:num>
  <w:num w:numId="11" w16cid:durableId="627012916">
    <w:abstractNumId w:val="5"/>
  </w:num>
  <w:num w:numId="12" w16cid:durableId="204098664">
    <w:abstractNumId w:val="2"/>
  </w:num>
  <w:num w:numId="13" w16cid:durableId="100229796">
    <w:abstractNumId w:val="21"/>
  </w:num>
  <w:num w:numId="14" w16cid:durableId="955792201">
    <w:abstractNumId w:val="7"/>
  </w:num>
  <w:num w:numId="15" w16cid:durableId="1947879828">
    <w:abstractNumId w:val="18"/>
  </w:num>
  <w:num w:numId="16" w16cid:durableId="1087731914">
    <w:abstractNumId w:val="4"/>
  </w:num>
  <w:num w:numId="17" w16cid:durableId="1033535196">
    <w:abstractNumId w:val="0"/>
  </w:num>
  <w:num w:numId="18" w16cid:durableId="2025352747">
    <w:abstractNumId w:val="11"/>
  </w:num>
  <w:num w:numId="19" w16cid:durableId="1989281998">
    <w:abstractNumId w:val="15"/>
  </w:num>
  <w:num w:numId="20" w16cid:durableId="106511509">
    <w:abstractNumId w:val="14"/>
  </w:num>
  <w:num w:numId="21" w16cid:durableId="1962303923">
    <w:abstractNumId w:val="19"/>
  </w:num>
  <w:num w:numId="22" w16cid:durableId="751510828">
    <w:abstractNumId w:val="9"/>
  </w:num>
  <w:num w:numId="23" w16cid:durableId="925571166">
    <w:abstractNumId w:val="23"/>
  </w:num>
  <w:num w:numId="24" w16cid:durableId="1283227198">
    <w:abstractNumId w:val="16"/>
  </w:num>
  <w:num w:numId="25" w16cid:durableId="425080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97"/>
    <w:rsid w:val="000105A9"/>
    <w:rsid w:val="00036E84"/>
    <w:rsid w:val="00223BFF"/>
    <w:rsid w:val="002B0666"/>
    <w:rsid w:val="00340A4A"/>
    <w:rsid w:val="004442DD"/>
    <w:rsid w:val="00772128"/>
    <w:rsid w:val="007D47CD"/>
    <w:rsid w:val="007E6404"/>
    <w:rsid w:val="008E2566"/>
    <w:rsid w:val="00971D34"/>
    <w:rsid w:val="00A16B63"/>
    <w:rsid w:val="00AB110D"/>
    <w:rsid w:val="00BB4997"/>
    <w:rsid w:val="00D91D3B"/>
    <w:rsid w:val="00F5003F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82E0"/>
  <w15:docId w15:val="{780B5287-4BE6-4F2F-B9C5-6031C1C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Thomas</dc:creator>
  <cp:keywords/>
  <dc:description/>
  <cp:lastModifiedBy>Tyler Thomas</cp:lastModifiedBy>
  <cp:revision>8</cp:revision>
  <dcterms:created xsi:type="dcterms:W3CDTF">2024-10-24T17:03:00Z</dcterms:created>
  <dcterms:modified xsi:type="dcterms:W3CDTF">2024-10-25T11:11:00Z</dcterms:modified>
</cp:coreProperties>
</file>