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04" w:rsidRPr="00297A75" w:rsidRDefault="00F10504" w:rsidP="005679FC">
      <w:pPr>
        <w:ind w:left="720"/>
        <w:jc w:val="both"/>
        <w:rPr>
          <w:rFonts w:ascii="Arial" w:hAnsi="Arial" w:cs="Arial"/>
          <w:bCs/>
          <w:u w:val="single"/>
        </w:rPr>
      </w:pPr>
      <w:bookmarkStart w:id="0" w:name="_GoBack"/>
      <w:bookmarkEnd w:id="0"/>
    </w:p>
    <w:p w:rsidR="00F10504" w:rsidRPr="00297A75" w:rsidRDefault="00F10504" w:rsidP="00147D28">
      <w:pPr>
        <w:numPr>
          <w:ilvl w:val="0"/>
          <w:numId w:val="1"/>
        </w:numPr>
        <w:jc w:val="both"/>
        <w:rPr>
          <w:rFonts w:ascii="Arial" w:hAnsi="Arial" w:cs="Arial"/>
          <w:b/>
          <w:bCs/>
          <w:u w:val="single"/>
        </w:rPr>
      </w:pPr>
      <w:r w:rsidRPr="00297A75">
        <w:rPr>
          <w:rFonts w:ascii="Arial" w:hAnsi="Arial" w:cs="Arial"/>
          <w:b/>
          <w:bCs/>
          <w:u w:val="single"/>
        </w:rPr>
        <w:t>PRINCIPLE:</w:t>
      </w:r>
    </w:p>
    <w:p w:rsidR="00147D28" w:rsidRPr="00297A75" w:rsidRDefault="00147D28" w:rsidP="00147D28">
      <w:pPr>
        <w:ind w:left="720"/>
        <w:jc w:val="both"/>
        <w:rPr>
          <w:rFonts w:ascii="Arial" w:hAnsi="Arial" w:cs="Arial"/>
          <w:b/>
          <w:bCs/>
          <w:u w:val="single"/>
        </w:rPr>
      </w:pPr>
    </w:p>
    <w:p w:rsidR="00F10504" w:rsidRPr="00297A75" w:rsidRDefault="00147D28" w:rsidP="005679FC">
      <w:pPr>
        <w:numPr>
          <w:ilvl w:val="1"/>
          <w:numId w:val="1"/>
        </w:numPr>
        <w:jc w:val="both"/>
        <w:rPr>
          <w:rFonts w:ascii="Arial" w:hAnsi="Arial" w:cs="Arial"/>
          <w:b/>
          <w:bCs/>
          <w:u w:val="single"/>
        </w:rPr>
      </w:pPr>
      <w:r w:rsidRPr="00297A75">
        <w:rPr>
          <w:rFonts w:ascii="Arial" w:hAnsi="Arial" w:cs="Arial"/>
          <w:bCs/>
        </w:rPr>
        <w:t>In serologic testing, the hemolysis or agglutination that constitutes the visible end-point must be described accurately and consistently.</w:t>
      </w:r>
    </w:p>
    <w:p w:rsidR="00CD67B8" w:rsidRPr="00297A75" w:rsidRDefault="00CD67B8" w:rsidP="00CD67B8">
      <w:pPr>
        <w:ind w:left="1440"/>
        <w:jc w:val="both"/>
        <w:rPr>
          <w:rFonts w:ascii="Arial" w:hAnsi="Arial" w:cs="Arial"/>
          <w:b/>
          <w:bCs/>
          <w:u w:val="single"/>
        </w:rPr>
      </w:pPr>
    </w:p>
    <w:p w:rsidR="00CD67B8" w:rsidRPr="00297A75" w:rsidRDefault="00CD67B8" w:rsidP="005679FC">
      <w:pPr>
        <w:numPr>
          <w:ilvl w:val="1"/>
          <w:numId w:val="1"/>
        </w:numPr>
        <w:jc w:val="both"/>
        <w:rPr>
          <w:rFonts w:ascii="Arial" w:hAnsi="Arial" w:cs="Arial"/>
          <w:b/>
          <w:bCs/>
          <w:u w:val="single"/>
        </w:rPr>
      </w:pPr>
      <w:r w:rsidRPr="00297A75">
        <w:rPr>
          <w:rFonts w:ascii="Arial" w:hAnsi="Arial" w:cs="Arial"/>
          <w:bCs/>
        </w:rPr>
        <w:t>The grading of reactions allows the comparison of reaction strengths and gives an indication of the relative amount of a</w:t>
      </w:r>
      <w:r w:rsidR="002A2688" w:rsidRPr="00297A75">
        <w:rPr>
          <w:rFonts w:ascii="Arial" w:hAnsi="Arial" w:cs="Arial"/>
          <w:bCs/>
        </w:rPr>
        <w:t>ntigen or antibody present.  Th</w:t>
      </w:r>
      <w:r w:rsidRPr="00297A75">
        <w:rPr>
          <w:rFonts w:ascii="Arial" w:hAnsi="Arial" w:cs="Arial"/>
          <w:bCs/>
        </w:rPr>
        <w:t>is is beneficial in detecting multiple antibody specificity or antibodies exhibiting dosage.</w:t>
      </w:r>
    </w:p>
    <w:p w:rsidR="00F10504" w:rsidRPr="00297A75" w:rsidRDefault="00F10504" w:rsidP="005E547D">
      <w:pPr>
        <w:ind w:left="720" w:firstLine="720"/>
        <w:jc w:val="both"/>
        <w:rPr>
          <w:rFonts w:ascii="Arial" w:hAnsi="Arial" w:cs="Arial"/>
          <w:vanish/>
        </w:rPr>
      </w:pPr>
    </w:p>
    <w:p w:rsidR="003A286B" w:rsidRPr="00297A75" w:rsidRDefault="00F10504" w:rsidP="005679FC">
      <w:pPr>
        <w:numPr>
          <w:ilvl w:val="1"/>
          <w:numId w:val="1"/>
        </w:numPr>
        <w:jc w:val="both"/>
        <w:rPr>
          <w:rFonts w:ascii="Arial" w:hAnsi="Arial" w:cs="Arial"/>
        </w:rPr>
      </w:pPr>
      <w:r w:rsidRPr="00297A75">
        <w:rPr>
          <w:rFonts w:ascii="Arial" w:hAnsi="Arial" w:cs="Arial"/>
        </w:rPr>
        <w:t>The grading of agglutination reactions should be standardized among all staff for the purpose of uniformity and reproducibility of test results.</w:t>
      </w:r>
    </w:p>
    <w:p w:rsidR="00855E74" w:rsidRPr="00297A75" w:rsidRDefault="00855E74" w:rsidP="005679FC">
      <w:pPr>
        <w:ind w:left="1440"/>
        <w:jc w:val="both"/>
        <w:rPr>
          <w:rFonts w:ascii="Arial" w:hAnsi="Arial" w:cs="Arial"/>
          <w:sz w:val="22"/>
          <w:szCs w:val="22"/>
        </w:rPr>
      </w:pPr>
    </w:p>
    <w:p w:rsidR="00855E74" w:rsidRPr="00297A75" w:rsidRDefault="00855E74" w:rsidP="005679FC">
      <w:pPr>
        <w:numPr>
          <w:ilvl w:val="0"/>
          <w:numId w:val="1"/>
        </w:numPr>
        <w:jc w:val="both"/>
        <w:rPr>
          <w:rFonts w:ascii="Arial" w:hAnsi="Arial" w:cs="Arial"/>
          <w:b/>
          <w:u w:val="single"/>
        </w:rPr>
      </w:pPr>
      <w:r w:rsidRPr="00297A75">
        <w:rPr>
          <w:rFonts w:ascii="Arial" w:hAnsi="Arial" w:cs="Arial"/>
          <w:b/>
          <w:u w:val="single"/>
        </w:rPr>
        <w:t>PROCEDURE:</w:t>
      </w:r>
    </w:p>
    <w:p w:rsidR="00855E74" w:rsidRPr="00297A75" w:rsidRDefault="00855E74" w:rsidP="005679FC">
      <w:pPr>
        <w:ind w:left="720"/>
        <w:jc w:val="both"/>
        <w:rPr>
          <w:rFonts w:ascii="Arial" w:hAnsi="Arial" w:cs="Arial"/>
          <w:b/>
          <w:u w:val="single"/>
        </w:rPr>
      </w:pPr>
    </w:p>
    <w:p w:rsidR="00855E74" w:rsidRPr="00297A75" w:rsidRDefault="00772C42" w:rsidP="005679FC">
      <w:pPr>
        <w:numPr>
          <w:ilvl w:val="1"/>
          <w:numId w:val="1"/>
        </w:numPr>
        <w:jc w:val="both"/>
        <w:rPr>
          <w:rFonts w:ascii="Arial" w:hAnsi="Arial" w:cs="Arial"/>
          <w:b/>
          <w:u w:val="single"/>
        </w:rPr>
      </w:pPr>
      <w:r w:rsidRPr="00297A75">
        <w:rPr>
          <w:rFonts w:ascii="Arial" w:hAnsi="Arial" w:cs="Arial"/>
        </w:rPr>
        <w:t>Immediately after</w:t>
      </w:r>
      <w:r w:rsidR="00855E74" w:rsidRPr="00297A75">
        <w:rPr>
          <w:rFonts w:ascii="Arial" w:hAnsi="Arial" w:cs="Arial"/>
        </w:rPr>
        <w:t xml:space="preserve"> centrifugation</w:t>
      </w:r>
      <w:r w:rsidRPr="00297A75">
        <w:rPr>
          <w:rFonts w:ascii="Arial" w:hAnsi="Arial" w:cs="Arial"/>
        </w:rPr>
        <w:t xml:space="preserve"> and without disturbing the cell button</w:t>
      </w:r>
      <w:r w:rsidR="00100E59" w:rsidRPr="00297A75">
        <w:rPr>
          <w:rFonts w:ascii="Arial" w:hAnsi="Arial" w:cs="Arial"/>
        </w:rPr>
        <w:t xml:space="preserve"> remove the tube from the centrifuge and </w:t>
      </w:r>
      <w:r w:rsidR="000469FC" w:rsidRPr="00297A75">
        <w:rPr>
          <w:rFonts w:ascii="Arial" w:hAnsi="Arial" w:cs="Arial"/>
        </w:rPr>
        <w:t>observe the</w:t>
      </w:r>
      <w:r w:rsidRPr="00297A75">
        <w:rPr>
          <w:rFonts w:ascii="Arial" w:hAnsi="Arial" w:cs="Arial"/>
        </w:rPr>
        <w:t xml:space="preserve"> supernatant fluid for hemolysis</w:t>
      </w:r>
      <w:r w:rsidR="00CD67B8" w:rsidRPr="00297A75">
        <w:rPr>
          <w:rFonts w:ascii="Arial" w:hAnsi="Arial" w:cs="Arial"/>
        </w:rPr>
        <w:t xml:space="preserve"> by c</w:t>
      </w:r>
      <w:r w:rsidRPr="00297A75">
        <w:rPr>
          <w:rFonts w:ascii="Arial" w:hAnsi="Arial" w:cs="Arial"/>
        </w:rPr>
        <w:t>ompar</w:t>
      </w:r>
      <w:r w:rsidR="00CD67B8" w:rsidRPr="00297A75">
        <w:rPr>
          <w:rFonts w:ascii="Arial" w:hAnsi="Arial" w:cs="Arial"/>
        </w:rPr>
        <w:t>ing</w:t>
      </w:r>
      <w:r w:rsidRPr="00297A75">
        <w:rPr>
          <w:rFonts w:ascii="Arial" w:hAnsi="Arial" w:cs="Arial"/>
        </w:rPr>
        <w:t xml:space="preserve"> the color of the supernatant with that of the original serum.</w:t>
      </w:r>
      <w:r w:rsidR="00100E59" w:rsidRPr="00297A75">
        <w:rPr>
          <w:rFonts w:ascii="Arial" w:hAnsi="Arial" w:cs="Arial"/>
        </w:rPr>
        <w:t xml:space="preserve"> Record the hemolysis if present.</w:t>
      </w:r>
    </w:p>
    <w:p w:rsidR="00CD67B8" w:rsidRPr="00297A75" w:rsidRDefault="00CD67B8" w:rsidP="00CD67B8">
      <w:pPr>
        <w:ind w:left="1440"/>
        <w:jc w:val="both"/>
        <w:rPr>
          <w:rFonts w:ascii="Arial" w:hAnsi="Arial" w:cs="Arial"/>
          <w:b/>
          <w:u w:val="single"/>
        </w:rPr>
      </w:pPr>
    </w:p>
    <w:p w:rsidR="00CD67B8" w:rsidRPr="00297A75" w:rsidRDefault="00BC6F3D" w:rsidP="005679FC">
      <w:pPr>
        <w:numPr>
          <w:ilvl w:val="1"/>
          <w:numId w:val="1"/>
        </w:numPr>
        <w:jc w:val="both"/>
        <w:rPr>
          <w:rFonts w:ascii="Arial" w:hAnsi="Arial" w:cs="Arial"/>
          <w:b/>
          <w:u w:val="single"/>
        </w:rPr>
      </w:pPr>
      <w:r w:rsidRPr="00297A75">
        <w:rPr>
          <w:rFonts w:ascii="Arial" w:hAnsi="Arial" w:cs="Arial"/>
        </w:rPr>
        <w:t xml:space="preserve">Holding the tube at an angle, </w:t>
      </w:r>
      <w:r w:rsidR="00100E59" w:rsidRPr="00297A75">
        <w:rPr>
          <w:rFonts w:ascii="Arial" w:hAnsi="Arial" w:cs="Arial"/>
        </w:rPr>
        <w:t xml:space="preserve">gently </w:t>
      </w:r>
      <w:r w:rsidR="00345562">
        <w:rPr>
          <w:rFonts w:ascii="Arial" w:hAnsi="Arial" w:cs="Arial"/>
        </w:rPr>
        <w:t xml:space="preserve">tilt and </w:t>
      </w:r>
      <w:r w:rsidR="00100E59" w:rsidRPr="00297A75">
        <w:rPr>
          <w:rFonts w:ascii="Arial" w:hAnsi="Arial" w:cs="Arial"/>
        </w:rPr>
        <w:t>dislodge the cell button</w:t>
      </w:r>
      <w:r w:rsidR="00B17452" w:rsidRPr="00297A75">
        <w:rPr>
          <w:rFonts w:ascii="Arial" w:hAnsi="Arial" w:cs="Arial"/>
        </w:rPr>
        <w:t>.</w:t>
      </w:r>
      <w:r w:rsidR="00CD67B8" w:rsidRPr="00297A75">
        <w:rPr>
          <w:rFonts w:ascii="Arial" w:hAnsi="Arial" w:cs="Arial"/>
        </w:rPr>
        <w:t xml:space="preserve"> Over shaking may break up large agglutinants or disperse weakly cohesive agglutinates</w:t>
      </w:r>
      <w:r w:rsidRPr="00297A75">
        <w:rPr>
          <w:rFonts w:ascii="Arial" w:hAnsi="Arial" w:cs="Arial"/>
        </w:rPr>
        <w:t>. A visual aid may be used (e.g. illuminated concave mirror</w:t>
      </w:r>
      <w:r w:rsidR="00100E59" w:rsidRPr="00297A75">
        <w:rPr>
          <w:rFonts w:ascii="Arial" w:hAnsi="Arial" w:cs="Arial"/>
        </w:rPr>
        <w:t xml:space="preserve"> or a white background</w:t>
      </w:r>
      <w:r w:rsidRPr="00297A75">
        <w:rPr>
          <w:rFonts w:ascii="Arial" w:hAnsi="Arial" w:cs="Arial"/>
        </w:rPr>
        <w:t>). Do not hold tubes up to the light above the face.</w:t>
      </w:r>
    </w:p>
    <w:p w:rsidR="002A2688" w:rsidRPr="00033B1C" w:rsidRDefault="002A2688" w:rsidP="002A2688">
      <w:pPr>
        <w:pStyle w:val="ListParagraph"/>
        <w:rPr>
          <w:rFonts w:ascii="Arial" w:hAnsi="Arial" w:cs="Arial"/>
        </w:rPr>
      </w:pPr>
    </w:p>
    <w:p w:rsidR="002A2688" w:rsidRPr="00345562" w:rsidRDefault="002A2688" w:rsidP="00345562">
      <w:pPr>
        <w:numPr>
          <w:ilvl w:val="1"/>
          <w:numId w:val="1"/>
        </w:numPr>
        <w:jc w:val="both"/>
        <w:rPr>
          <w:rFonts w:ascii="Arial" w:hAnsi="Arial" w:cs="Arial"/>
          <w:b/>
          <w:u w:val="single"/>
        </w:rPr>
      </w:pPr>
      <w:r w:rsidRPr="00297A75">
        <w:rPr>
          <w:rFonts w:ascii="Arial" w:hAnsi="Arial" w:cs="Arial"/>
        </w:rPr>
        <w:t>Observe the way that cells are dispersed from the red cell button.</w:t>
      </w:r>
      <w:r w:rsidR="00D976AB" w:rsidRPr="00297A75">
        <w:rPr>
          <w:rFonts w:ascii="Arial" w:hAnsi="Arial" w:cs="Arial"/>
        </w:rPr>
        <w:t xml:space="preserve"> </w:t>
      </w:r>
      <w:r w:rsidR="00D976AB" w:rsidRPr="00345562">
        <w:rPr>
          <w:rFonts w:ascii="Arial" w:hAnsi="Arial" w:cs="Arial"/>
        </w:rPr>
        <w:t>NOTE: the characteristics of the agglutination should be noted. Loose, ‘stringy’, mixed field or refractile agglutinates should be recorded as they provide valuable clues in the investigation of aberrant findings.</w:t>
      </w:r>
    </w:p>
    <w:p w:rsidR="002A2688" w:rsidRPr="00033B1C" w:rsidRDefault="002A2688" w:rsidP="002A2688">
      <w:pPr>
        <w:pStyle w:val="ListParagraph"/>
        <w:rPr>
          <w:rFonts w:ascii="Arial" w:hAnsi="Arial" w:cs="Arial"/>
        </w:rPr>
      </w:pPr>
    </w:p>
    <w:p w:rsidR="006773DA" w:rsidRPr="00297A75" w:rsidRDefault="006773DA" w:rsidP="005679FC">
      <w:pPr>
        <w:numPr>
          <w:ilvl w:val="1"/>
          <w:numId w:val="1"/>
        </w:numPr>
        <w:jc w:val="both"/>
        <w:rPr>
          <w:rFonts w:ascii="Arial" w:hAnsi="Arial" w:cs="Arial"/>
          <w:b/>
          <w:u w:val="single"/>
        </w:rPr>
      </w:pPr>
      <w:r w:rsidRPr="00297A75">
        <w:rPr>
          <w:rFonts w:ascii="Arial" w:hAnsi="Arial" w:cs="Arial"/>
        </w:rPr>
        <w:t xml:space="preserve">If the test is ABO or Rh grouping, read macroscopically. </w:t>
      </w:r>
      <w:r w:rsidR="00345562">
        <w:rPr>
          <w:rFonts w:ascii="Arial" w:hAnsi="Arial" w:cs="Arial"/>
        </w:rPr>
        <w:t xml:space="preserve">If a discrepancy is suspected </w:t>
      </w:r>
      <w:r w:rsidRPr="00297A75">
        <w:rPr>
          <w:rFonts w:ascii="Arial" w:hAnsi="Arial" w:cs="Arial"/>
        </w:rPr>
        <w:t>(i</w:t>
      </w:r>
      <w:r w:rsidR="005679FC" w:rsidRPr="00297A75">
        <w:rPr>
          <w:rFonts w:ascii="Arial" w:hAnsi="Arial" w:cs="Arial"/>
        </w:rPr>
        <w:t>.</w:t>
      </w:r>
      <w:r w:rsidRPr="00297A75">
        <w:rPr>
          <w:rFonts w:ascii="Arial" w:hAnsi="Arial" w:cs="Arial"/>
        </w:rPr>
        <w:t>e</w:t>
      </w:r>
      <w:r w:rsidR="005679FC" w:rsidRPr="00297A75">
        <w:rPr>
          <w:rFonts w:ascii="Arial" w:hAnsi="Arial" w:cs="Arial"/>
        </w:rPr>
        <w:t>.</w:t>
      </w:r>
      <w:r w:rsidRPr="00297A75">
        <w:rPr>
          <w:rFonts w:ascii="Arial" w:hAnsi="Arial" w:cs="Arial"/>
        </w:rPr>
        <w:t xml:space="preserve"> mixed field or rouleaux)</w:t>
      </w:r>
      <w:r w:rsidR="00345562">
        <w:rPr>
          <w:rFonts w:ascii="Arial" w:hAnsi="Arial" w:cs="Arial"/>
        </w:rPr>
        <w:t xml:space="preserve">, </w:t>
      </w:r>
      <w:r w:rsidR="00345562" w:rsidRPr="00297A75">
        <w:rPr>
          <w:rFonts w:ascii="Arial" w:hAnsi="Arial" w:cs="Arial"/>
        </w:rPr>
        <w:t>read microscopically</w:t>
      </w:r>
      <w:r w:rsidR="00345562">
        <w:rPr>
          <w:rFonts w:ascii="Arial" w:hAnsi="Arial" w:cs="Arial"/>
        </w:rPr>
        <w:t>.</w:t>
      </w:r>
    </w:p>
    <w:p w:rsidR="00033B1C" w:rsidRPr="00033B1C" w:rsidRDefault="00033B1C" w:rsidP="005679FC">
      <w:pPr>
        <w:numPr>
          <w:ilvl w:val="2"/>
          <w:numId w:val="1"/>
        </w:numPr>
        <w:jc w:val="both"/>
        <w:rPr>
          <w:rFonts w:ascii="Arial" w:hAnsi="Arial" w:cs="Arial"/>
          <w:b/>
          <w:u w:val="single"/>
        </w:rPr>
      </w:pPr>
      <w:r>
        <w:rPr>
          <w:rFonts w:ascii="Arial" w:hAnsi="Arial" w:cs="Arial"/>
        </w:rPr>
        <w:t>Grade and record immediately as each reaction is read.</w:t>
      </w:r>
    </w:p>
    <w:p w:rsidR="003F2D84" w:rsidRPr="003F2D84" w:rsidRDefault="006773DA" w:rsidP="005679FC">
      <w:pPr>
        <w:numPr>
          <w:ilvl w:val="2"/>
          <w:numId w:val="1"/>
        </w:numPr>
        <w:jc w:val="both"/>
        <w:rPr>
          <w:rFonts w:ascii="Arial" w:hAnsi="Arial" w:cs="Arial"/>
          <w:b/>
          <w:u w:val="single"/>
        </w:rPr>
      </w:pPr>
      <w:r w:rsidRPr="00297A75">
        <w:rPr>
          <w:rFonts w:ascii="Arial" w:hAnsi="Arial" w:cs="Arial"/>
        </w:rPr>
        <w:t xml:space="preserve">A cloudy background with some large aggregates may indicate mixed </w:t>
      </w:r>
      <w:r w:rsidR="00345562">
        <w:rPr>
          <w:rFonts w:ascii="Arial" w:hAnsi="Arial" w:cs="Arial"/>
        </w:rPr>
        <w:t xml:space="preserve">population (i.e. mixed </w:t>
      </w:r>
      <w:r w:rsidRPr="00297A75">
        <w:rPr>
          <w:rFonts w:ascii="Arial" w:hAnsi="Arial" w:cs="Arial"/>
        </w:rPr>
        <w:t>field</w:t>
      </w:r>
      <w:r w:rsidR="00345562">
        <w:rPr>
          <w:rFonts w:ascii="Arial" w:hAnsi="Arial" w:cs="Arial"/>
        </w:rPr>
        <w:t>)</w:t>
      </w:r>
      <w:r w:rsidRPr="00297A75">
        <w:rPr>
          <w:rFonts w:ascii="Arial" w:hAnsi="Arial" w:cs="Arial"/>
        </w:rPr>
        <w:t xml:space="preserve">. </w:t>
      </w:r>
    </w:p>
    <w:p w:rsidR="006773DA" w:rsidRPr="00297A75" w:rsidRDefault="00345562" w:rsidP="003F2D84">
      <w:pPr>
        <w:ind w:left="2138"/>
        <w:jc w:val="both"/>
        <w:rPr>
          <w:rFonts w:ascii="Arial" w:hAnsi="Arial" w:cs="Arial"/>
          <w:b/>
          <w:u w:val="single"/>
        </w:rPr>
      </w:pPr>
      <w:r>
        <w:rPr>
          <w:rFonts w:ascii="Arial" w:hAnsi="Arial" w:cs="Arial"/>
        </w:rPr>
        <w:t>Microscopic examination may be required.</w:t>
      </w:r>
    </w:p>
    <w:p w:rsidR="006773DA" w:rsidRPr="00345562" w:rsidRDefault="006773DA" w:rsidP="005679FC">
      <w:pPr>
        <w:numPr>
          <w:ilvl w:val="2"/>
          <w:numId w:val="1"/>
        </w:numPr>
        <w:jc w:val="both"/>
        <w:rPr>
          <w:rFonts w:ascii="Arial" w:hAnsi="Arial" w:cs="Arial"/>
          <w:b/>
          <w:u w:val="single"/>
        </w:rPr>
      </w:pPr>
      <w:r w:rsidRPr="00297A75">
        <w:rPr>
          <w:rFonts w:ascii="Arial" w:hAnsi="Arial" w:cs="Arial"/>
        </w:rPr>
        <w:t xml:space="preserve">If mixed field is observed, record </w:t>
      </w:r>
      <w:r w:rsidR="003F2D84">
        <w:rPr>
          <w:rFonts w:ascii="Arial" w:hAnsi="Arial" w:cs="Arial"/>
        </w:rPr>
        <w:t xml:space="preserve">with </w:t>
      </w:r>
      <w:r w:rsidRPr="00297A75">
        <w:rPr>
          <w:rFonts w:ascii="Arial" w:hAnsi="Arial" w:cs="Arial"/>
        </w:rPr>
        <w:t>“</w:t>
      </w:r>
      <w:r w:rsidR="00BB160F" w:rsidRPr="00297A75">
        <w:rPr>
          <w:rFonts w:ascii="Arial" w:hAnsi="Arial" w:cs="Arial"/>
        </w:rPr>
        <w:t>MF</w:t>
      </w:r>
      <w:r w:rsidRPr="00297A75">
        <w:rPr>
          <w:rFonts w:ascii="Arial" w:hAnsi="Arial" w:cs="Arial"/>
        </w:rPr>
        <w:t>” along with the grading results (i</w:t>
      </w:r>
      <w:r w:rsidR="005679FC" w:rsidRPr="00297A75">
        <w:rPr>
          <w:rFonts w:ascii="Arial" w:hAnsi="Arial" w:cs="Arial"/>
        </w:rPr>
        <w:t>.</w:t>
      </w:r>
      <w:r w:rsidRPr="00297A75">
        <w:rPr>
          <w:rFonts w:ascii="Arial" w:hAnsi="Arial" w:cs="Arial"/>
        </w:rPr>
        <w:t>e</w:t>
      </w:r>
      <w:r w:rsidR="005679FC" w:rsidRPr="00297A75">
        <w:rPr>
          <w:rFonts w:ascii="Arial" w:hAnsi="Arial" w:cs="Arial"/>
        </w:rPr>
        <w:t>.</w:t>
      </w:r>
      <w:r w:rsidRPr="00297A75">
        <w:rPr>
          <w:rFonts w:ascii="Arial" w:hAnsi="Arial" w:cs="Arial"/>
        </w:rPr>
        <w:t xml:space="preserve"> 2</w:t>
      </w:r>
      <w:r w:rsidR="00BB160F" w:rsidRPr="00297A75">
        <w:rPr>
          <w:rFonts w:ascii="Arial" w:hAnsi="Arial" w:cs="Arial"/>
          <w:vertAlign w:val="superscript"/>
        </w:rPr>
        <w:t>MF</w:t>
      </w:r>
      <w:r w:rsidRPr="00297A75">
        <w:rPr>
          <w:rFonts w:ascii="Arial" w:hAnsi="Arial" w:cs="Arial"/>
        </w:rPr>
        <w:t>)</w:t>
      </w:r>
    </w:p>
    <w:p w:rsidR="00CD67B8" w:rsidRPr="00033B1C" w:rsidRDefault="00CD67B8" w:rsidP="003F2D84">
      <w:pPr>
        <w:jc w:val="both"/>
        <w:rPr>
          <w:rFonts w:ascii="Arial" w:hAnsi="Arial" w:cs="Arial"/>
          <w:u w:val="single"/>
        </w:rPr>
      </w:pPr>
    </w:p>
    <w:p w:rsidR="0030795E" w:rsidRPr="0030795E" w:rsidRDefault="0068086C" w:rsidP="005679FC">
      <w:pPr>
        <w:numPr>
          <w:ilvl w:val="1"/>
          <w:numId w:val="1"/>
        </w:numPr>
        <w:jc w:val="both"/>
        <w:rPr>
          <w:rFonts w:ascii="Arial" w:hAnsi="Arial" w:cs="Arial"/>
          <w:b/>
          <w:u w:val="single"/>
        </w:rPr>
      </w:pPr>
      <w:r w:rsidRPr="00297A75">
        <w:rPr>
          <w:rFonts w:ascii="Arial" w:hAnsi="Arial" w:cs="Arial"/>
        </w:rPr>
        <w:t xml:space="preserve">If the </w:t>
      </w:r>
      <w:r w:rsidR="00BC6F3D" w:rsidRPr="00297A75">
        <w:rPr>
          <w:rFonts w:ascii="Arial" w:hAnsi="Arial" w:cs="Arial"/>
        </w:rPr>
        <w:t xml:space="preserve">tube </w:t>
      </w:r>
      <w:r w:rsidRPr="00297A75">
        <w:rPr>
          <w:rFonts w:ascii="Arial" w:hAnsi="Arial" w:cs="Arial"/>
        </w:rPr>
        <w:t>test is an antibody screen</w:t>
      </w:r>
      <w:r w:rsidR="0030795E">
        <w:rPr>
          <w:rFonts w:ascii="Arial" w:hAnsi="Arial" w:cs="Arial"/>
        </w:rPr>
        <w:t>, DAT or panel, read the tubes:</w:t>
      </w:r>
    </w:p>
    <w:p w:rsidR="0030795E" w:rsidRPr="0030795E" w:rsidRDefault="0030795E" w:rsidP="0030795E">
      <w:pPr>
        <w:numPr>
          <w:ilvl w:val="2"/>
          <w:numId w:val="1"/>
        </w:numPr>
        <w:jc w:val="both"/>
        <w:rPr>
          <w:rFonts w:ascii="Arial" w:hAnsi="Arial" w:cs="Arial"/>
          <w:b/>
          <w:u w:val="single"/>
        </w:rPr>
      </w:pPr>
      <w:r>
        <w:rPr>
          <w:rFonts w:ascii="Arial" w:hAnsi="Arial" w:cs="Arial"/>
        </w:rPr>
        <w:t>M</w:t>
      </w:r>
      <w:r w:rsidR="00033B1C">
        <w:rPr>
          <w:rFonts w:ascii="Arial" w:hAnsi="Arial" w:cs="Arial"/>
        </w:rPr>
        <w:t>a</w:t>
      </w:r>
      <w:r w:rsidR="0068086C" w:rsidRPr="00297A75">
        <w:rPr>
          <w:rFonts w:ascii="Arial" w:hAnsi="Arial" w:cs="Arial"/>
        </w:rPr>
        <w:t xml:space="preserve">croscopically at the 37°C </w:t>
      </w:r>
    </w:p>
    <w:p w:rsidR="0068086C" w:rsidRPr="00297A75" w:rsidRDefault="0030795E" w:rsidP="0030795E">
      <w:pPr>
        <w:numPr>
          <w:ilvl w:val="2"/>
          <w:numId w:val="1"/>
        </w:numPr>
        <w:jc w:val="both"/>
        <w:rPr>
          <w:rFonts w:ascii="Arial" w:hAnsi="Arial" w:cs="Arial"/>
          <w:b/>
          <w:u w:val="single"/>
        </w:rPr>
      </w:pPr>
      <w:r>
        <w:rPr>
          <w:rFonts w:ascii="Arial" w:hAnsi="Arial" w:cs="Arial"/>
        </w:rPr>
        <w:t xml:space="preserve">Macroscopically </w:t>
      </w:r>
      <w:r w:rsidR="00033B1C">
        <w:rPr>
          <w:rFonts w:ascii="Arial" w:hAnsi="Arial" w:cs="Arial"/>
        </w:rPr>
        <w:t xml:space="preserve">at the </w:t>
      </w:r>
      <w:r w:rsidR="00257DD6">
        <w:rPr>
          <w:rFonts w:ascii="Arial" w:hAnsi="Arial" w:cs="Arial"/>
        </w:rPr>
        <w:t>AHG</w:t>
      </w:r>
      <w:r w:rsidR="0068086C" w:rsidRPr="00297A75">
        <w:rPr>
          <w:rFonts w:ascii="Arial" w:hAnsi="Arial" w:cs="Arial"/>
        </w:rPr>
        <w:t xml:space="preserve"> phase</w:t>
      </w:r>
      <w:r>
        <w:rPr>
          <w:rFonts w:ascii="Arial" w:hAnsi="Arial" w:cs="Arial"/>
        </w:rPr>
        <w:t xml:space="preserve">, then microscopically if the results were negative </w:t>
      </w:r>
    </w:p>
    <w:p w:rsidR="0068086C" w:rsidRPr="0030795E" w:rsidRDefault="00CD67B8" w:rsidP="005679FC">
      <w:pPr>
        <w:numPr>
          <w:ilvl w:val="2"/>
          <w:numId w:val="1"/>
        </w:numPr>
        <w:jc w:val="both"/>
        <w:rPr>
          <w:rFonts w:ascii="Arial" w:hAnsi="Arial" w:cs="Arial"/>
          <w:b/>
          <w:u w:val="single"/>
        </w:rPr>
      </w:pPr>
      <w:r w:rsidRPr="00297A75">
        <w:rPr>
          <w:rFonts w:ascii="Arial" w:hAnsi="Arial" w:cs="Arial"/>
        </w:rPr>
        <w:t xml:space="preserve">To all negative </w:t>
      </w:r>
      <w:r w:rsidR="00033B1C">
        <w:rPr>
          <w:rFonts w:ascii="Arial" w:hAnsi="Arial" w:cs="Arial"/>
        </w:rPr>
        <w:t>AHG</w:t>
      </w:r>
      <w:r w:rsidRPr="00297A75">
        <w:rPr>
          <w:rFonts w:ascii="Arial" w:hAnsi="Arial" w:cs="Arial"/>
        </w:rPr>
        <w:t xml:space="preserve"> tubes a</w:t>
      </w:r>
      <w:r w:rsidR="00DD7F27" w:rsidRPr="00297A75">
        <w:rPr>
          <w:rFonts w:ascii="Arial" w:hAnsi="Arial" w:cs="Arial"/>
        </w:rPr>
        <w:t>dd 1 drop of IgG-coated control cells</w:t>
      </w:r>
      <w:r w:rsidR="00033B1C">
        <w:rPr>
          <w:rFonts w:ascii="Arial" w:hAnsi="Arial" w:cs="Arial"/>
        </w:rPr>
        <w:t xml:space="preserve">. </w:t>
      </w:r>
      <w:r w:rsidR="0068086C" w:rsidRPr="00297A75">
        <w:rPr>
          <w:rFonts w:ascii="Arial" w:hAnsi="Arial" w:cs="Arial"/>
        </w:rPr>
        <w:t>Centrifuge, resuspend cells and read macroscopically</w:t>
      </w:r>
      <w:r w:rsidR="00F6158B" w:rsidRPr="00297A75">
        <w:rPr>
          <w:rFonts w:ascii="Arial" w:hAnsi="Arial" w:cs="Arial"/>
        </w:rPr>
        <w:t>. R</w:t>
      </w:r>
      <w:r w:rsidR="0068086C" w:rsidRPr="00297A75">
        <w:rPr>
          <w:rFonts w:ascii="Arial" w:hAnsi="Arial" w:cs="Arial"/>
        </w:rPr>
        <w:t>ecord results.</w:t>
      </w:r>
    </w:p>
    <w:p w:rsidR="0030795E" w:rsidRPr="00297A75" w:rsidRDefault="0030795E" w:rsidP="005679FC">
      <w:pPr>
        <w:numPr>
          <w:ilvl w:val="2"/>
          <w:numId w:val="1"/>
        </w:numPr>
        <w:jc w:val="both"/>
        <w:rPr>
          <w:rFonts w:ascii="Arial" w:hAnsi="Arial" w:cs="Arial"/>
          <w:b/>
          <w:u w:val="single"/>
        </w:rPr>
      </w:pPr>
      <w:r>
        <w:rPr>
          <w:rFonts w:ascii="Arial" w:hAnsi="Arial" w:cs="Arial"/>
        </w:rPr>
        <w:t>Antibody screen and panels incubated at room temperature or lower should only be read macroscopically</w:t>
      </w:r>
    </w:p>
    <w:p w:rsidR="0030795E" w:rsidRPr="0030795E" w:rsidRDefault="0030795E" w:rsidP="0030795E">
      <w:pPr>
        <w:jc w:val="both"/>
        <w:rPr>
          <w:rFonts w:ascii="Arial" w:hAnsi="Arial" w:cs="Arial"/>
          <w:b/>
          <w:u w:val="single"/>
        </w:rPr>
      </w:pPr>
    </w:p>
    <w:p w:rsidR="00DC17B2" w:rsidRPr="00297A75" w:rsidRDefault="00033B1C" w:rsidP="005679FC">
      <w:pPr>
        <w:numPr>
          <w:ilvl w:val="1"/>
          <w:numId w:val="1"/>
        </w:numPr>
        <w:jc w:val="both"/>
        <w:rPr>
          <w:rFonts w:ascii="Arial" w:hAnsi="Arial" w:cs="Arial"/>
          <w:b/>
          <w:u w:val="single"/>
        </w:rPr>
      </w:pPr>
      <w:r>
        <w:rPr>
          <w:rFonts w:ascii="Arial" w:hAnsi="Arial" w:cs="Arial"/>
        </w:rPr>
        <w:lastRenderedPageBreak/>
        <w:t>If the test is an antigen typing (</w:t>
      </w:r>
      <w:r w:rsidR="0068086C" w:rsidRPr="00297A75">
        <w:rPr>
          <w:rFonts w:ascii="Arial" w:hAnsi="Arial" w:cs="Arial"/>
        </w:rPr>
        <w:t>phenotype</w:t>
      </w:r>
      <w:r>
        <w:rPr>
          <w:rFonts w:ascii="Arial" w:hAnsi="Arial" w:cs="Arial"/>
        </w:rPr>
        <w:t>)</w:t>
      </w:r>
      <w:r w:rsidR="0068086C" w:rsidRPr="00297A75">
        <w:rPr>
          <w:rFonts w:ascii="Arial" w:hAnsi="Arial" w:cs="Arial"/>
        </w:rPr>
        <w:t xml:space="preserve">, follow the manufacturer’s directions for </w:t>
      </w:r>
      <w:r>
        <w:rPr>
          <w:rFonts w:ascii="Arial" w:hAnsi="Arial" w:cs="Arial"/>
        </w:rPr>
        <w:t xml:space="preserve">reading </w:t>
      </w:r>
      <w:r w:rsidR="0030795E">
        <w:rPr>
          <w:rFonts w:ascii="Arial" w:hAnsi="Arial" w:cs="Arial"/>
        </w:rPr>
        <w:t xml:space="preserve">and </w:t>
      </w:r>
      <w:r>
        <w:rPr>
          <w:rFonts w:ascii="Arial" w:hAnsi="Arial" w:cs="Arial"/>
        </w:rPr>
        <w:t>result interpretation</w:t>
      </w:r>
      <w:r w:rsidR="00DC17B2" w:rsidRPr="00297A75">
        <w:rPr>
          <w:rFonts w:ascii="Arial" w:hAnsi="Arial" w:cs="Arial"/>
        </w:rPr>
        <w:t>.</w:t>
      </w:r>
    </w:p>
    <w:p w:rsidR="00F6158B" w:rsidRPr="00033B1C" w:rsidRDefault="00F6158B" w:rsidP="00F6158B">
      <w:pPr>
        <w:ind w:left="1440"/>
        <w:jc w:val="both"/>
        <w:rPr>
          <w:rFonts w:ascii="Arial" w:hAnsi="Arial" w:cs="Arial"/>
        </w:rPr>
      </w:pPr>
    </w:p>
    <w:p w:rsidR="0068086C" w:rsidRPr="00297A75" w:rsidRDefault="00DC17B2" w:rsidP="005679FC">
      <w:pPr>
        <w:numPr>
          <w:ilvl w:val="1"/>
          <w:numId w:val="1"/>
        </w:numPr>
        <w:jc w:val="both"/>
        <w:rPr>
          <w:rFonts w:ascii="Arial" w:hAnsi="Arial" w:cs="Arial"/>
          <w:b/>
          <w:u w:val="single"/>
        </w:rPr>
      </w:pPr>
      <w:r w:rsidRPr="00297A75">
        <w:rPr>
          <w:rFonts w:ascii="Arial" w:hAnsi="Arial" w:cs="Arial"/>
        </w:rPr>
        <w:t>If the test is MTS™ (Micro Typing System) gel, read macroscopically</w:t>
      </w:r>
      <w:r w:rsidR="00B17452" w:rsidRPr="00297A75">
        <w:rPr>
          <w:rFonts w:ascii="Arial" w:hAnsi="Arial" w:cs="Arial"/>
        </w:rPr>
        <w:t xml:space="preserve"> after centrifugation.</w:t>
      </w:r>
    </w:p>
    <w:p w:rsidR="00FC6554" w:rsidRPr="00297A75" w:rsidRDefault="00FC6554" w:rsidP="00FC6554">
      <w:pPr>
        <w:numPr>
          <w:ilvl w:val="3"/>
          <w:numId w:val="1"/>
        </w:numPr>
        <w:jc w:val="both"/>
        <w:rPr>
          <w:rFonts w:ascii="Arial" w:hAnsi="Arial" w:cs="Arial"/>
          <w:b/>
          <w:u w:val="single"/>
        </w:rPr>
      </w:pPr>
      <w:r w:rsidRPr="00297A75">
        <w:rPr>
          <w:rFonts w:ascii="Arial" w:hAnsi="Arial" w:cs="Arial"/>
        </w:rPr>
        <w:t>Observe both the front and back of each microtube in the gel card.</w:t>
      </w:r>
    </w:p>
    <w:p w:rsidR="00B17452" w:rsidRPr="005E547D" w:rsidRDefault="00FC6554" w:rsidP="005E547D">
      <w:pPr>
        <w:numPr>
          <w:ilvl w:val="3"/>
          <w:numId w:val="1"/>
        </w:numPr>
        <w:jc w:val="both"/>
        <w:rPr>
          <w:rFonts w:ascii="Arial" w:hAnsi="Arial" w:cs="Arial"/>
          <w:b/>
          <w:u w:val="single"/>
        </w:rPr>
      </w:pPr>
      <w:r w:rsidRPr="00297A75">
        <w:rPr>
          <w:rFonts w:ascii="Arial" w:hAnsi="Arial" w:cs="Arial"/>
        </w:rPr>
        <w:t>Refer to the MTS™ Interpretation Guide for diagrams or pictures showing the range of reactions</w:t>
      </w:r>
    </w:p>
    <w:p w:rsidR="000469FC" w:rsidRPr="00297A75" w:rsidRDefault="00562427" w:rsidP="005679FC">
      <w:pPr>
        <w:numPr>
          <w:ilvl w:val="0"/>
          <w:numId w:val="1"/>
        </w:numPr>
        <w:jc w:val="both"/>
        <w:rPr>
          <w:rFonts w:ascii="Arial" w:hAnsi="Arial" w:cs="Arial"/>
          <w:b/>
          <w:u w:val="single"/>
        </w:rPr>
      </w:pPr>
      <w:r w:rsidRPr="00297A75">
        <w:rPr>
          <w:rFonts w:ascii="Arial" w:hAnsi="Arial" w:cs="Arial"/>
          <w:b/>
          <w:u w:val="single"/>
        </w:rPr>
        <w:t>INTERPRETATION</w:t>
      </w:r>
      <w:r w:rsidR="000469FC" w:rsidRPr="00297A75">
        <w:rPr>
          <w:rFonts w:ascii="Arial" w:hAnsi="Arial" w:cs="Arial"/>
          <w:b/>
          <w:u w:val="single"/>
        </w:rPr>
        <w:t>:</w:t>
      </w:r>
    </w:p>
    <w:p w:rsidR="0030795E" w:rsidRPr="0030795E" w:rsidRDefault="0030795E" w:rsidP="005679FC">
      <w:pPr>
        <w:ind w:left="720"/>
        <w:jc w:val="both"/>
        <w:rPr>
          <w:rFonts w:ascii="Arial" w:hAnsi="Arial" w:cs="Arial"/>
          <w:sz w:val="16"/>
        </w:rPr>
      </w:pPr>
    </w:p>
    <w:p w:rsidR="00BB160F" w:rsidRPr="00297A75" w:rsidRDefault="00FC6554" w:rsidP="005679FC">
      <w:pPr>
        <w:ind w:left="720"/>
        <w:jc w:val="both"/>
        <w:rPr>
          <w:rFonts w:ascii="Arial" w:hAnsi="Arial" w:cs="Arial"/>
          <w:b/>
          <w:u w:val="single"/>
        </w:rPr>
      </w:pPr>
      <w:r w:rsidRPr="00297A75">
        <w:rPr>
          <w:rFonts w:ascii="Arial" w:hAnsi="Arial" w:cs="Arial"/>
          <w:b/>
          <w:u w:val="single"/>
        </w:rPr>
        <w:t>Tube Reactions:</w:t>
      </w:r>
    </w:p>
    <w:p w:rsidR="000469FC" w:rsidRPr="00297A75" w:rsidRDefault="000469FC" w:rsidP="005679FC">
      <w:pPr>
        <w:numPr>
          <w:ilvl w:val="1"/>
          <w:numId w:val="1"/>
        </w:numPr>
        <w:jc w:val="both"/>
        <w:rPr>
          <w:rFonts w:ascii="Arial" w:hAnsi="Arial" w:cs="Arial"/>
          <w:b/>
          <w:u w:val="single"/>
        </w:rPr>
      </w:pPr>
      <w:r w:rsidRPr="00297A75">
        <w:rPr>
          <w:rFonts w:ascii="Arial" w:hAnsi="Arial" w:cs="Arial"/>
        </w:rPr>
        <w:t xml:space="preserve">Positive reactions may be characterized by </w:t>
      </w:r>
      <w:r w:rsidR="007A32A3">
        <w:rPr>
          <w:rFonts w:ascii="Arial" w:hAnsi="Arial" w:cs="Arial"/>
        </w:rPr>
        <w:t xml:space="preserve">hemolysis and/or </w:t>
      </w:r>
      <w:r w:rsidRPr="00297A75">
        <w:rPr>
          <w:rFonts w:ascii="Arial" w:hAnsi="Arial" w:cs="Arial"/>
        </w:rPr>
        <w:t>agglutinat</w:t>
      </w:r>
      <w:r w:rsidR="007A32A3">
        <w:rPr>
          <w:rFonts w:ascii="Arial" w:hAnsi="Arial" w:cs="Arial"/>
        </w:rPr>
        <w:t>e</w:t>
      </w:r>
      <w:r w:rsidRPr="00297A75">
        <w:rPr>
          <w:rFonts w:ascii="Arial" w:hAnsi="Arial" w:cs="Arial"/>
        </w:rPr>
        <w:t>s in the supernatant fluid</w:t>
      </w:r>
      <w:r w:rsidR="007A32A3">
        <w:rPr>
          <w:rFonts w:ascii="Arial" w:hAnsi="Arial" w:cs="Arial"/>
        </w:rPr>
        <w:t>.</w:t>
      </w:r>
      <w:r w:rsidRPr="00297A75">
        <w:rPr>
          <w:rFonts w:ascii="Arial" w:hAnsi="Arial" w:cs="Arial"/>
        </w:rPr>
        <w:t xml:space="preserve"> The cells seem to come off in chunks.</w:t>
      </w:r>
    </w:p>
    <w:p w:rsidR="002A2688" w:rsidRPr="005E547D" w:rsidRDefault="002A2688" w:rsidP="002A2688">
      <w:pPr>
        <w:ind w:left="1440"/>
        <w:jc w:val="both"/>
        <w:rPr>
          <w:rFonts w:ascii="Arial" w:hAnsi="Arial" w:cs="Arial"/>
        </w:rPr>
      </w:pPr>
    </w:p>
    <w:p w:rsidR="000469FC" w:rsidRPr="00297A75" w:rsidRDefault="000469FC" w:rsidP="005679FC">
      <w:pPr>
        <w:numPr>
          <w:ilvl w:val="1"/>
          <w:numId w:val="1"/>
        </w:numPr>
        <w:jc w:val="both"/>
        <w:rPr>
          <w:rFonts w:ascii="Arial" w:hAnsi="Arial" w:cs="Arial"/>
          <w:b/>
          <w:u w:val="single"/>
        </w:rPr>
      </w:pPr>
      <w:r w:rsidRPr="00297A75">
        <w:rPr>
          <w:rFonts w:ascii="Arial" w:hAnsi="Arial" w:cs="Arial"/>
        </w:rPr>
        <w:t>Negative reactions are characterized by the cells swirling off the red cell button.</w:t>
      </w:r>
    </w:p>
    <w:p w:rsidR="002A2688" w:rsidRPr="005E547D" w:rsidRDefault="002A2688" w:rsidP="002A2688">
      <w:pPr>
        <w:pStyle w:val="ListParagraph"/>
        <w:rPr>
          <w:rFonts w:ascii="Arial" w:hAnsi="Arial" w:cs="Arial"/>
        </w:rPr>
      </w:pPr>
    </w:p>
    <w:p w:rsidR="006773DA" w:rsidRPr="00297A75" w:rsidRDefault="006773DA" w:rsidP="005679FC">
      <w:pPr>
        <w:numPr>
          <w:ilvl w:val="1"/>
          <w:numId w:val="1"/>
        </w:numPr>
        <w:jc w:val="both"/>
        <w:rPr>
          <w:rFonts w:ascii="Arial" w:hAnsi="Arial" w:cs="Arial"/>
          <w:b/>
          <w:u w:val="single"/>
        </w:rPr>
      </w:pPr>
      <w:r w:rsidRPr="00297A75">
        <w:rPr>
          <w:rFonts w:ascii="Arial" w:hAnsi="Arial" w:cs="Arial"/>
        </w:rPr>
        <w:t>Always record the tube readings as you make the observation.</w:t>
      </w:r>
    </w:p>
    <w:p w:rsidR="00562427" w:rsidRPr="0030795E" w:rsidRDefault="00562427" w:rsidP="00562427">
      <w:pPr>
        <w:ind w:left="1440"/>
        <w:jc w:val="both"/>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218"/>
      </w:tblGrid>
      <w:tr w:rsidR="00FC6554" w:rsidRPr="00297A75" w:rsidTr="005E547D">
        <w:trPr>
          <w:trHeight w:hRule="exact" w:val="451"/>
        </w:trPr>
        <w:tc>
          <w:tcPr>
            <w:tcW w:w="1530" w:type="dxa"/>
            <w:shd w:val="clear" w:color="auto" w:fill="BFBFBF"/>
            <w:vAlign w:val="center"/>
          </w:tcPr>
          <w:p w:rsidR="00FC6554" w:rsidRPr="00297A75" w:rsidRDefault="00FC6554" w:rsidP="00171236">
            <w:pPr>
              <w:jc w:val="center"/>
              <w:rPr>
                <w:rFonts w:ascii="Arial" w:hAnsi="Arial" w:cs="Arial"/>
                <w:b/>
              </w:rPr>
            </w:pPr>
            <w:r w:rsidRPr="00297A75">
              <w:rPr>
                <w:rFonts w:ascii="Arial" w:hAnsi="Arial" w:cs="Arial"/>
                <w:b/>
              </w:rPr>
              <w:t>SYMBOL</w:t>
            </w:r>
          </w:p>
        </w:tc>
        <w:tc>
          <w:tcPr>
            <w:tcW w:w="7218" w:type="dxa"/>
            <w:shd w:val="clear" w:color="auto" w:fill="BFBFBF"/>
            <w:vAlign w:val="center"/>
          </w:tcPr>
          <w:p w:rsidR="00FC6554" w:rsidRPr="00297A75" w:rsidRDefault="00FC6554" w:rsidP="00171236">
            <w:pPr>
              <w:jc w:val="center"/>
              <w:rPr>
                <w:rFonts w:ascii="Arial" w:hAnsi="Arial" w:cs="Arial"/>
                <w:b/>
              </w:rPr>
            </w:pPr>
            <w:r w:rsidRPr="00297A75">
              <w:rPr>
                <w:rFonts w:ascii="Arial" w:hAnsi="Arial" w:cs="Arial"/>
                <w:b/>
              </w:rPr>
              <w:t>OBSERVED APPEARANCE</w:t>
            </w:r>
            <w:r w:rsidR="00056BA6" w:rsidRPr="00297A75">
              <w:rPr>
                <w:rFonts w:ascii="Arial" w:hAnsi="Arial" w:cs="Arial"/>
                <w:b/>
              </w:rPr>
              <w:t xml:space="preserve"> IN TUBE</w:t>
            </w:r>
          </w:p>
        </w:tc>
      </w:tr>
      <w:tr w:rsidR="00FC6554" w:rsidRPr="00297A75" w:rsidTr="005E547D">
        <w:trPr>
          <w:trHeight w:hRule="exact" w:val="469"/>
        </w:trPr>
        <w:tc>
          <w:tcPr>
            <w:tcW w:w="1530" w:type="dxa"/>
            <w:vAlign w:val="center"/>
          </w:tcPr>
          <w:p w:rsidR="00FC6554" w:rsidRPr="00297A75" w:rsidRDefault="00FC6554" w:rsidP="00171236">
            <w:pPr>
              <w:jc w:val="center"/>
              <w:rPr>
                <w:rFonts w:ascii="Arial" w:hAnsi="Arial" w:cs="Arial"/>
                <w:b/>
              </w:rPr>
            </w:pPr>
            <w:r w:rsidRPr="00297A75">
              <w:rPr>
                <w:rFonts w:ascii="Arial" w:hAnsi="Arial" w:cs="Arial"/>
                <w:b/>
              </w:rPr>
              <w:t>4</w:t>
            </w:r>
          </w:p>
        </w:tc>
        <w:tc>
          <w:tcPr>
            <w:tcW w:w="7218" w:type="dxa"/>
            <w:vAlign w:val="center"/>
          </w:tcPr>
          <w:p w:rsidR="00FC6554" w:rsidRPr="00297A75" w:rsidRDefault="00FC6554" w:rsidP="00171236">
            <w:pPr>
              <w:jc w:val="both"/>
              <w:rPr>
                <w:rFonts w:ascii="Arial" w:hAnsi="Arial" w:cs="Arial"/>
              </w:rPr>
            </w:pPr>
            <w:r w:rsidRPr="00297A75">
              <w:rPr>
                <w:rFonts w:ascii="Arial" w:hAnsi="Arial" w:cs="Arial"/>
              </w:rPr>
              <w:t>One large clump or one clump and several small fragments; background clear.</w:t>
            </w:r>
          </w:p>
        </w:tc>
      </w:tr>
      <w:tr w:rsidR="00FC6554" w:rsidRPr="00297A75" w:rsidTr="005E547D">
        <w:trPr>
          <w:trHeight w:hRule="exact" w:val="567"/>
        </w:trPr>
        <w:tc>
          <w:tcPr>
            <w:tcW w:w="1530" w:type="dxa"/>
            <w:vAlign w:val="center"/>
          </w:tcPr>
          <w:p w:rsidR="00FC6554" w:rsidRPr="00297A75" w:rsidRDefault="00FC6554" w:rsidP="00171236">
            <w:pPr>
              <w:jc w:val="center"/>
              <w:rPr>
                <w:rFonts w:ascii="Arial" w:hAnsi="Arial" w:cs="Arial"/>
                <w:b/>
              </w:rPr>
            </w:pPr>
            <w:r w:rsidRPr="00297A75">
              <w:rPr>
                <w:rFonts w:ascii="Arial" w:hAnsi="Arial" w:cs="Arial"/>
                <w:b/>
              </w:rPr>
              <w:t>3</w:t>
            </w:r>
          </w:p>
        </w:tc>
        <w:tc>
          <w:tcPr>
            <w:tcW w:w="7218" w:type="dxa"/>
            <w:vAlign w:val="center"/>
          </w:tcPr>
          <w:p w:rsidR="00FC6554" w:rsidRPr="00297A75" w:rsidRDefault="00FC6554" w:rsidP="00171236">
            <w:pPr>
              <w:jc w:val="both"/>
              <w:rPr>
                <w:rFonts w:ascii="Arial" w:hAnsi="Arial" w:cs="Arial"/>
              </w:rPr>
            </w:pPr>
            <w:r w:rsidRPr="00297A75">
              <w:rPr>
                <w:rFonts w:ascii="Arial" w:hAnsi="Arial" w:cs="Arial"/>
              </w:rPr>
              <w:t>A small number (4-6) of large clumps; background clear.</w:t>
            </w:r>
          </w:p>
        </w:tc>
      </w:tr>
      <w:tr w:rsidR="00FC6554" w:rsidRPr="00297A75" w:rsidTr="005E547D">
        <w:trPr>
          <w:trHeight w:hRule="exact" w:val="567"/>
        </w:trPr>
        <w:tc>
          <w:tcPr>
            <w:tcW w:w="1530" w:type="dxa"/>
            <w:vAlign w:val="center"/>
          </w:tcPr>
          <w:p w:rsidR="00FC6554" w:rsidRPr="00297A75" w:rsidRDefault="00FC6554" w:rsidP="00171236">
            <w:pPr>
              <w:jc w:val="center"/>
              <w:rPr>
                <w:rFonts w:ascii="Arial" w:hAnsi="Arial" w:cs="Arial"/>
                <w:b/>
              </w:rPr>
            </w:pPr>
            <w:r w:rsidRPr="00297A75">
              <w:rPr>
                <w:rFonts w:ascii="Arial" w:hAnsi="Arial" w:cs="Arial"/>
                <w:b/>
              </w:rPr>
              <w:t>2</w:t>
            </w:r>
          </w:p>
        </w:tc>
        <w:tc>
          <w:tcPr>
            <w:tcW w:w="7218" w:type="dxa"/>
            <w:vAlign w:val="center"/>
          </w:tcPr>
          <w:p w:rsidR="00FC6554" w:rsidRPr="00297A75" w:rsidRDefault="00FC6554" w:rsidP="00171236">
            <w:pPr>
              <w:jc w:val="both"/>
              <w:rPr>
                <w:rFonts w:ascii="Arial" w:hAnsi="Arial" w:cs="Arial"/>
              </w:rPr>
            </w:pPr>
            <w:r w:rsidRPr="00297A75">
              <w:rPr>
                <w:rFonts w:ascii="Arial" w:hAnsi="Arial" w:cs="Arial"/>
              </w:rPr>
              <w:t>Many small clumps of about equal size clearly visible; background slightly cloudy.</w:t>
            </w:r>
          </w:p>
        </w:tc>
      </w:tr>
      <w:tr w:rsidR="00FC6554" w:rsidRPr="00297A75" w:rsidTr="005E547D">
        <w:trPr>
          <w:trHeight w:hRule="exact" w:val="567"/>
        </w:trPr>
        <w:tc>
          <w:tcPr>
            <w:tcW w:w="1530" w:type="dxa"/>
            <w:vAlign w:val="center"/>
          </w:tcPr>
          <w:p w:rsidR="00FC6554" w:rsidRPr="00297A75" w:rsidRDefault="00FC6554" w:rsidP="00171236">
            <w:pPr>
              <w:jc w:val="center"/>
              <w:rPr>
                <w:rFonts w:ascii="Arial" w:hAnsi="Arial" w:cs="Arial"/>
                <w:b/>
              </w:rPr>
            </w:pPr>
            <w:r w:rsidRPr="00297A75">
              <w:rPr>
                <w:rFonts w:ascii="Arial" w:hAnsi="Arial" w:cs="Arial"/>
                <w:b/>
              </w:rPr>
              <w:t>1</w:t>
            </w:r>
          </w:p>
        </w:tc>
        <w:tc>
          <w:tcPr>
            <w:tcW w:w="7218" w:type="dxa"/>
            <w:vAlign w:val="center"/>
          </w:tcPr>
          <w:p w:rsidR="00FC6554" w:rsidRPr="00297A75" w:rsidRDefault="00FC6554" w:rsidP="00171236">
            <w:pPr>
              <w:suppressAutoHyphens/>
              <w:jc w:val="both"/>
              <w:rPr>
                <w:rFonts w:ascii="Arial" w:hAnsi="Arial" w:cs="Arial"/>
              </w:rPr>
            </w:pPr>
            <w:r w:rsidRPr="00297A75">
              <w:rPr>
                <w:rFonts w:ascii="Arial" w:hAnsi="Arial" w:cs="Arial"/>
              </w:rPr>
              <w:t>Many tiny clumps of just visible size, background cloudy.  Microscopically, very many small clumps of 20 or so cells and many free cells.</w:t>
            </w:r>
          </w:p>
        </w:tc>
      </w:tr>
      <w:tr w:rsidR="00FC6554" w:rsidRPr="00297A75" w:rsidTr="005E547D">
        <w:trPr>
          <w:trHeight w:hRule="exact" w:val="567"/>
        </w:trPr>
        <w:tc>
          <w:tcPr>
            <w:tcW w:w="1530" w:type="dxa"/>
            <w:vAlign w:val="center"/>
          </w:tcPr>
          <w:p w:rsidR="00FC6554" w:rsidRPr="00297A75" w:rsidRDefault="003C56ED" w:rsidP="00F6158B">
            <w:pPr>
              <w:jc w:val="center"/>
              <w:rPr>
                <w:rFonts w:ascii="Arial" w:hAnsi="Arial" w:cs="Arial"/>
                <w:b/>
              </w:rPr>
            </w:pPr>
            <w:r w:rsidRPr="00297A75">
              <w:rPr>
                <w:rFonts w:ascii="Arial" w:hAnsi="Arial" w:cs="Arial"/>
                <w:b/>
              </w:rPr>
              <w:t xml:space="preserve">w </w:t>
            </w:r>
            <w:r w:rsidR="00F6158B" w:rsidRPr="00297A75">
              <w:rPr>
                <w:rFonts w:ascii="Arial" w:hAnsi="Arial" w:cs="Arial"/>
                <w:b/>
              </w:rPr>
              <w:t>or 1</w:t>
            </w:r>
            <w:r w:rsidR="00F6158B" w:rsidRPr="00297A75">
              <w:rPr>
                <w:rFonts w:ascii="Arial" w:hAnsi="Arial" w:cs="Arial"/>
                <w:b/>
                <w:vertAlign w:val="superscript"/>
              </w:rPr>
              <w:t>w</w:t>
            </w:r>
            <w:r w:rsidR="00F6158B" w:rsidRPr="00297A75">
              <w:rPr>
                <w:rFonts w:ascii="Arial" w:hAnsi="Arial" w:cs="Arial"/>
                <w:b/>
              </w:rPr>
              <w:t xml:space="preserve"> or 0</w:t>
            </w:r>
            <w:r w:rsidR="00F6158B" w:rsidRPr="00297A75">
              <w:rPr>
                <w:rFonts w:ascii="Arial" w:hAnsi="Arial" w:cs="Arial"/>
                <w:b/>
                <w:vertAlign w:val="superscript"/>
              </w:rPr>
              <w:t>2</w:t>
            </w:r>
          </w:p>
        </w:tc>
        <w:tc>
          <w:tcPr>
            <w:tcW w:w="7218" w:type="dxa"/>
            <w:vAlign w:val="center"/>
          </w:tcPr>
          <w:p w:rsidR="00FC6554" w:rsidRPr="00297A75" w:rsidRDefault="00FC6554" w:rsidP="00171236">
            <w:pPr>
              <w:jc w:val="both"/>
              <w:rPr>
                <w:rFonts w:ascii="Arial" w:hAnsi="Arial" w:cs="Arial"/>
              </w:rPr>
            </w:pPr>
            <w:r w:rsidRPr="00297A75">
              <w:rPr>
                <w:rFonts w:ascii="Arial" w:hAnsi="Arial" w:cs="Arial"/>
              </w:rPr>
              <w:t>Definite “grainy” appearance; no obvious clumps.  Microscopically tiny clumps of up to 12 cells, very many free cells.</w:t>
            </w:r>
          </w:p>
        </w:tc>
      </w:tr>
      <w:tr w:rsidR="00FC6554" w:rsidRPr="00297A75" w:rsidTr="005E547D">
        <w:trPr>
          <w:trHeight w:hRule="exact" w:val="567"/>
        </w:trPr>
        <w:tc>
          <w:tcPr>
            <w:tcW w:w="1530" w:type="dxa"/>
            <w:vAlign w:val="center"/>
          </w:tcPr>
          <w:p w:rsidR="00FC6554" w:rsidRPr="00297A75" w:rsidRDefault="00FC6554" w:rsidP="00171236">
            <w:pPr>
              <w:jc w:val="center"/>
              <w:rPr>
                <w:rFonts w:ascii="Arial" w:hAnsi="Arial" w:cs="Arial"/>
                <w:b/>
              </w:rPr>
            </w:pPr>
            <w:r w:rsidRPr="00297A75">
              <w:rPr>
                <w:rFonts w:ascii="Arial" w:hAnsi="Arial" w:cs="Arial"/>
                <w:b/>
              </w:rPr>
              <w:t>0</w:t>
            </w:r>
            <w:r w:rsidRPr="00297A75">
              <w:rPr>
                <w:rFonts w:ascii="Arial" w:hAnsi="Arial" w:cs="Arial"/>
                <w:b/>
                <w:vertAlign w:val="superscript"/>
              </w:rPr>
              <w:t>1</w:t>
            </w:r>
          </w:p>
        </w:tc>
        <w:tc>
          <w:tcPr>
            <w:tcW w:w="7218" w:type="dxa"/>
            <w:vAlign w:val="center"/>
          </w:tcPr>
          <w:p w:rsidR="00FC6554" w:rsidRPr="00297A75" w:rsidRDefault="00FC6554" w:rsidP="00171236">
            <w:pPr>
              <w:suppressAutoHyphens/>
              <w:jc w:val="both"/>
              <w:rPr>
                <w:rFonts w:ascii="Arial" w:hAnsi="Arial" w:cs="Arial"/>
              </w:rPr>
            </w:pPr>
            <w:r w:rsidRPr="00297A75">
              <w:rPr>
                <w:rFonts w:ascii="Arial" w:hAnsi="Arial" w:cs="Arial"/>
              </w:rPr>
              <w:t>No obvious clumps macroscopically.  Microscopically tiny clumps of 3 to 6 cells; many free cells.</w:t>
            </w:r>
          </w:p>
        </w:tc>
      </w:tr>
      <w:tr w:rsidR="00FC6554" w:rsidRPr="00297A75" w:rsidTr="005E547D">
        <w:trPr>
          <w:trHeight w:hRule="exact" w:val="567"/>
        </w:trPr>
        <w:tc>
          <w:tcPr>
            <w:tcW w:w="1530" w:type="dxa"/>
            <w:vAlign w:val="center"/>
          </w:tcPr>
          <w:p w:rsidR="00FC6554" w:rsidRPr="00297A75" w:rsidRDefault="003C56ED" w:rsidP="00171236">
            <w:pPr>
              <w:jc w:val="center"/>
              <w:rPr>
                <w:rFonts w:ascii="Arial" w:hAnsi="Arial" w:cs="Arial"/>
                <w:b/>
              </w:rPr>
            </w:pPr>
            <w:r w:rsidRPr="00297A75">
              <w:rPr>
                <w:rFonts w:ascii="Arial" w:hAnsi="Arial" w:cs="Arial"/>
                <w:b/>
              </w:rPr>
              <w:t>neg</w:t>
            </w:r>
            <w:r w:rsidR="008438E4" w:rsidRPr="00297A75">
              <w:rPr>
                <w:rFonts w:ascii="Arial" w:hAnsi="Arial" w:cs="Arial"/>
                <w:b/>
              </w:rPr>
              <w:t>**</w:t>
            </w:r>
            <w:r w:rsidRPr="00297A75">
              <w:rPr>
                <w:rFonts w:ascii="Arial" w:hAnsi="Arial" w:cs="Arial"/>
                <w:b/>
              </w:rPr>
              <w:t xml:space="preserve"> or </w:t>
            </w:r>
            <w:r w:rsidR="00FC6554" w:rsidRPr="00297A75">
              <w:rPr>
                <w:rFonts w:ascii="Arial" w:hAnsi="Arial" w:cs="Arial"/>
                <w:b/>
              </w:rPr>
              <w:t>0</w:t>
            </w:r>
          </w:p>
        </w:tc>
        <w:tc>
          <w:tcPr>
            <w:tcW w:w="7218" w:type="dxa"/>
            <w:vAlign w:val="center"/>
          </w:tcPr>
          <w:p w:rsidR="00FC6554" w:rsidRPr="00297A75" w:rsidRDefault="00FC6554" w:rsidP="005E547D">
            <w:pPr>
              <w:suppressAutoHyphens/>
              <w:jc w:val="both"/>
              <w:rPr>
                <w:rFonts w:ascii="Arial" w:hAnsi="Arial" w:cs="Arial"/>
              </w:rPr>
            </w:pPr>
            <w:r w:rsidRPr="00297A75">
              <w:rPr>
                <w:rFonts w:ascii="Arial" w:hAnsi="Arial" w:cs="Arial"/>
              </w:rPr>
              <w:t>Cells float freely. No “stickiness” or agglutinates when examined microscopically.</w:t>
            </w:r>
          </w:p>
        </w:tc>
      </w:tr>
      <w:tr w:rsidR="00562427" w:rsidRPr="00297A75" w:rsidTr="005E547D">
        <w:trPr>
          <w:trHeight w:hRule="exact" w:val="567"/>
        </w:trPr>
        <w:tc>
          <w:tcPr>
            <w:tcW w:w="1530" w:type="dxa"/>
            <w:vAlign w:val="center"/>
          </w:tcPr>
          <w:p w:rsidR="00562427" w:rsidRPr="00297A75" w:rsidRDefault="00562427" w:rsidP="00171236">
            <w:pPr>
              <w:jc w:val="center"/>
              <w:rPr>
                <w:rFonts w:ascii="Arial" w:hAnsi="Arial" w:cs="Arial"/>
                <w:b/>
              </w:rPr>
            </w:pPr>
            <w:r w:rsidRPr="00297A75">
              <w:rPr>
                <w:rFonts w:ascii="Arial" w:hAnsi="Arial" w:cs="Arial"/>
                <w:b/>
              </w:rPr>
              <w:t>PH</w:t>
            </w:r>
          </w:p>
        </w:tc>
        <w:tc>
          <w:tcPr>
            <w:tcW w:w="7218" w:type="dxa"/>
            <w:vAlign w:val="center"/>
          </w:tcPr>
          <w:p w:rsidR="00562427" w:rsidRPr="00297A75" w:rsidRDefault="00562427" w:rsidP="00171236">
            <w:pPr>
              <w:jc w:val="both"/>
              <w:rPr>
                <w:rFonts w:ascii="Arial" w:hAnsi="Arial" w:cs="Arial"/>
              </w:rPr>
            </w:pPr>
            <w:r w:rsidRPr="00297A75">
              <w:rPr>
                <w:rFonts w:ascii="Arial" w:hAnsi="Arial" w:cs="Arial"/>
              </w:rPr>
              <w:t xml:space="preserve">When placed beside a graded reaction indicates that </w:t>
            </w:r>
            <w:r w:rsidR="00D976AB" w:rsidRPr="00297A75">
              <w:rPr>
                <w:rFonts w:ascii="Arial" w:hAnsi="Arial" w:cs="Arial"/>
              </w:rPr>
              <w:t xml:space="preserve">partial </w:t>
            </w:r>
            <w:r w:rsidRPr="00297A75">
              <w:rPr>
                <w:rFonts w:ascii="Arial" w:hAnsi="Arial" w:cs="Arial"/>
              </w:rPr>
              <w:t>hemolysis was seen</w:t>
            </w:r>
            <w:r w:rsidR="00D976AB" w:rsidRPr="00297A75">
              <w:rPr>
                <w:rFonts w:ascii="Arial" w:hAnsi="Arial" w:cs="Arial"/>
              </w:rPr>
              <w:t xml:space="preserve"> with some intact RBC’s seen</w:t>
            </w:r>
          </w:p>
        </w:tc>
      </w:tr>
      <w:tr w:rsidR="00FC6554" w:rsidRPr="00297A75" w:rsidTr="0030795E">
        <w:trPr>
          <w:trHeight w:hRule="exact" w:val="478"/>
        </w:trPr>
        <w:tc>
          <w:tcPr>
            <w:tcW w:w="1530" w:type="dxa"/>
            <w:vAlign w:val="center"/>
          </w:tcPr>
          <w:p w:rsidR="00FC6554" w:rsidRPr="00297A75" w:rsidRDefault="00FC6554" w:rsidP="00171236">
            <w:pPr>
              <w:jc w:val="center"/>
              <w:rPr>
                <w:rFonts w:ascii="Arial" w:hAnsi="Arial" w:cs="Arial"/>
                <w:b/>
              </w:rPr>
            </w:pPr>
            <w:r w:rsidRPr="00297A75">
              <w:rPr>
                <w:rFonts w:ascii="Arial" w:hAnsi="Arial" w:cs="Arial"/>
                <w:b/>
              </w:rPr>
              <w:t>H</w:t>
            </w:r>
          </w:p>
        </w:tc>
        <w:tc>
          <w:tcPr>
            <w:tcW w:w="7218" w:type="dxa"/>
            <w:vAlign w:val="center"/>
          </w:tcPr>
          <w:p w:rsidR="00FC6554" w:rsidRPr="00297A75" w:rsidRDefault="00562427" w:rsidP="00D976AB">
            <w:pPr>
              <w:jc w:val="both"/>
              <w:rPr>
                <w:rFonts w:ascii="Arial" w:hAnsi="Arial" w:cs="Arial"/>
              </w:rPr>
            </w:pPr>
            <w:r w:rsidRPr="00297A75">
              <w:rPr>
                <w:rFonts w:ascii="Arial" w:hAnsi="Arial" w:cs="Arial"/>
              </w:rPr>
              <w:t xml:space="preserve">Complete hemolysis, no </w:t>
            </w:r>
            <w:r w:rsidR="00D976AB" w:rsidRPr="00297A75">
              <w:rPr>
                <w:rFonts w:ascii="Arial" w:hAnsi="Arial" w:cs="Arial"/>
              </w:rPr>
              <w:t>cells</w:t>
            </w:r>
            <w:r w:rsidR="008C5CB5" w:rsidRPr="00297A75">
              <w:rPr>
                <w:rFonts w:ascii="Arial" w:hAnsi="Arial" w:cs="Arial"/>
              </w:rPr>
              <w:t xml:space="preserve"> remain</w:t>
            </w:r>
          </w:p>
        </w:tc>
      </w:tr>
      <w:tr w:rsidR="00FC6554" w:rsidRPr="00297A75" w:rsidTr="005E547D">
        <w:trPr>
          <w:trHeight w:hRule="exact" w:val="567"/>
        </w:trPr>
        <w:tc>
          <w:tcPr>
            <w:tcW w:w="1530" w:type="dxa"/>
            <w:vAlign w:val="center"/>
          </w:tcPr>
          <w:p w:rsidR="00FC6554" w:rsidRPr="00297A75" w:rsidRDefault="00FC6554" w:rsidP="00171236">
            <w:pPr>
              <w:jc w:val="center"/>
              <w:rPr>
                <w:rFonts w:ascii="Arial" w:hAnsi="Arial" w:cs="Arial"/>
                <w:b/>
              </w:rPr>
            </w:pPr>
            <w:r w:rsidRPr="00297A75">
              <w:rPr>
                <w:rFonts w:ascii="Arial" w:hAnsi="Arial" w:cs="Arial"/>
                <w:b/>
              </w:rPr>
              <w:t>MF</w:t>
            </w:r>
          </w:p>
        </w:tc>
        <w:tc>
          <w:tcPr>
            <w:tcW w:w="7218" w:type="dxa"/>
            <w:vAlign w:val="center"/>
          </w:tcPr>
          <w:p w:rsidR="00FC6554" w:rsidRPr="00297A75" w:rsidRDefault="00FC6554" w:rsidP="00171236">
            <w:pPr>
              <w:jc w:val="both"/>
              <w:rPr>
                <w:rFonts w:ascii="Arial" w:hAnsi="Arial" w:cs="Arial"/>
              </w:rPr>
            </w:pPr>
            <w:r w:rsidRPr="00297A75">
              <w:rPr>
                <w:rFonts w:ascii="Arial" w:hAnsi="Arial" w:cs="Arial"/>
              </w:rPr>
              <w:t>Indicates a mixed field reaction seen microscopically or macroscopically.  Large agglutinates are seen surrounded by a “sea of free cells”</w:t>
            </w:r>
          </w:p>
        </w:tc>
      </w:tr>
      <w:tr w:rsidR="00FC6554" w:rsidRPr="00297A75" w:rsidTr="005E547D">
        <w:trPr>
          <w:trHeight w:hRule="exact" w:val="567"/>
        </w:trPr>
        <w:tc>
          <w:tcPr>
            <w:tcW w:w="1530" w:type="dxa"/>
            <w:vAlign w:val="center"/>
          </w:tcPr>
          <w:p w:rsidR="00FC6554" w:rsidRPr="00297A75" w:rsidRDefault="00FC6554" w:rsidP="00171236">
            <w:pPr>
              <w:jc w:val="center"/>
              <w:rPr>
                <w:rFonts w:ascii="Arial" w:hAnsi="Arial" w:cs="Arial"/>
                <w:b/>
              </w:rPr>
            </w:pPr>
            <w:r w:rsidRPr="00297A75">
              <w:rPr>
                <w:rFonts w:ascii="Arial" w:hAnsi="Arial" w:cs="Arial"/>
                <w:b/>
              </w:rPr>
              <w:t>R</w:t>
            </w:r>
          </w:p>
        </w:tc>
        <w:tc>
          <w:tcPr>
            <w:tcW w:w="7218" w:type="dxa"/>
            <w:vAlign w:val="center"/>
          </w:tcPr>
          <w:p w:rsidR="00FC6554" w:rsidRPr="00297A75" w:rsidRDefault="00FC6554" w:rsidP="00056BA6">
            <w:pPr>
              <w:rPr>
                <w:rFonts w:ascii="Arial" w:hAnsi="Arial" w:cs="Arial"/>
              </w:rPr>
            </w:pPr>
            <w:r w:rsidRPr="00297A75">
              <w:rPr>
                <w:rFonts w:ascii="Arial" w:hAnsi="Arial" w:cs="Arial"/>
              </w:rPr>
              <w:t>Rouleaux, classic appearance of coin stacking</w:t>
            </w:r>
          </w:p>
        </w:tc>
      </w:tr>
    </w:tbl>
    <w:p w:rsidR="007A32A3" w:rsidRPr="0030795E" w:rsidRDefault="007A32A3" w:rsidP="003E7B60">
      <w:pPr>
        <w:jc w:val="both"/>
        <w:rPr>
          <w:rFonts w:ascii="Arial" w:hAnsi="Arial" w:cs="Arial"/>
          <w:sz w:val="14"/>
        </w:rPr>
      </w:pPr>
    </w:p>
    <w:p w:rsidR="003E7B60" w:rsidRDefault="005D2926" w:rsidP="003E7B60">
      <w:pPr>
        <w:jc w:val="both"/>
        <w:rPr>
          <w:rFonts w:ascii="Arial" w:hAnsi="Arial" w:cs="Arial"/>
        </w:rPr>
      </w:pPr>
      <w:r w:rsidRPr="00297A75">
        <w:rPr>
          <w:rFonts w:ascii="Arial" w:hAnsi="Arial" w:cs="Arial"/>
        </w:rPr>
        <w:t>**neg=negati</w:t>
      </w:r>
      <w:r>
        <w:rPr>
          <w:rFonts w:ascii="Arial" w:hAnsi="Arial" w:cs="Arial"/>
        </w:rPr>
        <w:t xml:space="preserve">ve, no agglutination (Do not use a minus sign “–“ </w:t>
      </w:r>
      <w:r w:rsidRPr="00297A75">
        <w:rPr>
          <w:rFonts w:ascii="Arial" w:hAnsi="Arial" w:cs="Arial"/>
        </w:rPr>
        <w:t>for negative: either write neg or 0)</w:t>
      </w:r>
    </w:p>
    <w:p w:rsidR="00297A75" w:rsidRPr="00297A75" w:rsidRDefault="00297A75" w:rsidP="003E7B60">
      <w:pPr>
        <w:jc w:val="both"/>
        <w:rPr>
          <w:rFonts w:ascii="Arial" w:hAnsi="Arial" w:cs="Arial"/>
        </w:rPr>
      </w:pPr>
    </w:p>
    <w:p w:rsidR="008438E4" w:rsidRPr="00297A75" w:rsidRDefault="008438E4" w:rsidP="003C56ED">
      <w:pPr>
        <w:jc w:val="both"/>
        <w:rPr>
          <w:rFonts w:ascii="Arial" w:hAnsi="Arial" w:cs="Arial"/>
          <w:b/>
        </w:rPr>
      </w:pPr>
    </w:p>
    <w:p w:rsidR="003E7B60" w:rsidRPr="00297A75" w:rsidRDefault="005F5BB1" w:rsidP="003C56ED">
      <w:pPr>
        <w:jc w:val="both"/>
        <w:rPr>
          <w:rFonts w:ascii="Arial" w:hAnsi="Arial" w:cs="Arial"/>
          <w:b/>
        </w:rPr>
      </w:pPr>
      <w:r w:rsidRPr="00297A75">
        <w:rPr>
          <w:rFonts w:ascii="Arial" w:hAnsi="Arial" w:cs="Arial"/>
          <w:noProof/>
        </w:rPr>
        <w:drawing>
          <wp:inline distT="0" distB="0" distL="0" distR="0" wp14:anchorId="571930CF" wp14:editId="7C7253E8">
            <wp:extent cx="5478145" cy="4961890"/>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8145" cy="4961890"/>
                    </a:xfrm>
                    <a:prstGeom prst="rect">
                      <a:avLst/>
                    </a:prstGeom>
                    <a:noFill/>
                    <a:ln>
                      <a:noFill/>
                    </a:ln>
                  </pic:spPr>
                </pic:pic>
              </a:graphicData>
            </a:graphic>
          </wp:inline>
        </w:drawing>
      </w:r>
    </w:p>
    <w:p w:rsidR="00781D68" w:rsidRPr="00297A75" w:rsidRDefault="00781D68" w:rsidP="003C56ED">
      <w:pPr>
        <w:jc w:val="both"/>
        <w:rPr>
          <w:rFonts w:ascii="Arial" w:hAnsi="Arial" w:cs="Arial"/>
          <w:b/>
        </w:rPr>
      </w:pPr>
    </w:p>
    <w:p w:rsidR="00781D68" w:rsidRPr="00297A75" w:rsidRDefault="00781D68" w:rsidP="003C56ED">
      <w:pPr>
        <w:jc w:val="both"/>
        <w:rPr>
          <w:rFonts w:ascii="Arial" w:hAnsi="Arial" w:cs="Arial"/>
          <w:b/>
        </w:rPr>
      </w:pPr>
    </w:p>
    <w:p w:rsidR="00781D68" w:rsidRPr="00297A75" w:rsidRDefault="00781D68" w:rsidP="003C56ED">
      <w:pPr>
        <w:jc w:val="both"/>
        <w:rPr>
          <w:rFonts w:ascii="Arial" w:hAnsi="Arial" w:cs="Arial"/>
          <w:b/>
        </w:rPr>
      </w:pPr>
    </w:p>
    <w:p w:rsidR="00781D68" w:rsidRPr="00297A75" w:rsidRDefault="00781D68" w:rsidP="003C56ED">
      <w:pPr>
        <w:jc w:val="both"/>
        <w:rPr>
          <w:rFonts w:ascii="Arial" w:hAnsi="Arial" w:cs="Arial"/>
          <w:b/>
        </w:rPr>
      </w:pPr>
    </w:p>
    <w:p w:rsidR="00345562" w:rsidRPr="00297A75" w:rsidRDefault="00345562" w:rsidP="00345562">
      <w:pPr>
        <w:jc w:val="both"/>
        <w:rPr>
          <w:rFonts w:ascii="Arial" w:hAnsi="Arial" w:cs="Arial"/>
          <w:b/>
          <w:u w:val="single"/>
        </w:rPr>
      </w:pPr>
      <w:r w:rsidRPr="00297A75">
        <w:rPr>
          <w:rFonts w:ascii="Arial" w:hAnsi="Arial" w:cs="Arial"/>
        </w:rPr>
        <w:t>NOTE: the characteristics of the agglutination should be noted. Loose, ‘stringy’, mixed field or refractile agglutinates should be recorded as they provide valuable clues in the investigation of aberrant findings.</w:t>
      </w:r>
    </w:p>
    <w:p w:rsidR="00297A75" w:rsidRDefault="00297A75" w:rsidP="003C56ED">
      <w:pPr>
        <w:jc w:val="both"/>
        <w:rPr>
          <w:rFonts w:ascii="Arial" w:hAnsi="Arial" w:cs="Arial"/>
        </w:rPr>
      </w:pPr>
    </w:p>
    <w:p w:rsidR="00297A75" w:rsidRDefault="00297A75" w:rsidP="003C56ED">
      <w:pPr>
        <w:jc w:val="both"/>
        <w:rPr>
          <w:rFonts w:ascii="Arial" w:hAnsi="Arial" w:cs="Arial"/>
        </w:rPr>
      </w:pPr>
    </w:p>
    <w:p w:rsidR="00297A75" w:rsidRDefault="00297A75" w:rsidP="003C56ED">
      <w:pPr>
        <w:jc w:val="both"/>
        <w:rPr>
          <w:rFonts w:ascii="Arial" w:hAnsi="Arial" w:cs="Arial"/>
        </w:rPr>
      </w:pPr>
    </w:p>
    <w:p w:rsidR="007A32A3" w:rsidRDefault="007A32A3" w:rsidP="003C56ED">
      <w:pPr>
        <w:jc w:val="both"/>
        <w:rPr>
          <w:rFonts w:ascii="Arial" w:hAnsi="Arial" w:cs="Arial"/>
        </w:rPr>
      </w:pPr>
    </w:p>
    <w:p w:rsidR="007A32A3" w:rsidRDefault="007A32A3" w:rsidP="003C56ED">
      <w:pPr>
        <w:jc w:val="both"/>
        <w:rPr>
          <w:rFonts w:ascii="Arial" w:hAnsi="Arial" w:cs="Arial"/>
        </w:rPr>
      </w:pPr>
    </w:p>
    <w:p w:rsidR="00297A75" w:rsidRPr="00297A75" w:rsidRDefault="00297A75" w:rsidP="003C56ED">
      <w:pPr>
        <w:jc w:val="both"/>
        <w:rPr>
          <w:rFonts w:ascii="Arial" w:hAnsi="Arial" w:cs="Arial"/>
        </w:rPr>
      </w:pPr>
    </w:p>
    <w:p w:rsidR="002C2496" w:rsidRPr="00297A75" w:rsidRDefault="002C2496" w:rsidP="003C56ED">
      <w:pPr>
        <w:jc w:val="both"/>
        <w:rPr>
          <w:rFonts w:ascii="Arial" w:hAnsi="Arial" w:cs="Arial"/>
        </w:rPr>
      </w:pPr>
    </w:p>
    <w:p w:rsidR="007721BB" w:rsidRPr="00297A75" w:rsidRDefault="007721BB" w:rsidP="00DF0A5A">
      <w:pPr>
        <w:numPr>
          <w:ilvl w:val="0"/>
          <w:numId w:val="6"/>
        </w:numPr>
        <w:jc w:val="both"/>
        <w:rPr>
          <w:rFonts w:ascii="Arial" w:hAnsi="Arial" w:cs="Arial"/>
          <w:b/>
          <w:bCs/>
          <w:u w:val="single"/>
        </w:rPr>
      </w:pPr>
      <w:r w:rsidRPr="00297A75">
        <w:rPr>
          <w:rFonts w:ascii="Arial" w:hAnsi="Arial" w:cs="Arial"/>
          <w:b/>
          <w:bCs/>
          <w:u w:val="single"/>
        </w:rPr>
        <w:t>REFERENCES:</w:t>
      </w:r>
    </w:p>
    <w:p w:rsidR="007721BB" w:rsidRPr="00297A75" w:rsidRDefault="007721BB" w:rsidP="007721BB">
      <w:pPr>
        <w:jc w:val="both"/>
        <w:rPr>
          <w:rFonts w:ascii="Arial" w:hAnsi="Arial" w:cs="Arial"/>
          <w:b/>
          <w:bCs/>
          <w:u w:val="single"/>
        </w:rPr>
      </w:pPr>
    </w:p>
    <w:p w:rsidR="007721BB" w:rsidRPr="00297A75" w:rsidRDefault="007721BB" w:rsidP="007721BB">
      <w:pPr>
        <w:numPr>
          <w:ilvl w:val="1"/>
          <w:numId w:val="6"/>
        </w:numPr>
        <w:jc w:val="both"/>
        <w:rPr>
          <w:rFonts w:ascii="Arial" w:hAnsi="Arial" w:cs="Arial"/>
          <w:b/>
          <w:bCs/>
        </w:rPr>
      </w:pPr>
      <w:r w:rsidRPr="00297A75">
        <w:rPr>
          <w:rFonts w:ascii="Arial" w:hAnsi="Arial" w:cs="Arial"/>
        </w:rPr>
        <w:t>A</w:t>
      </w:r>
      <w:r w:rsidR="00D976AB" w:rsidRPr="00297A75">
        <w:rPr>
          <w:rFonts w:ascii="Arial" w:hAnsi="Arial" w:cs="Arial"/>
        </w:rPr>
        <w:t>A</w:t>
      </w:r>
      <w:r w:rsidRPr="00297A75">
        <w:rPr>
          <w:rFonts w:ascii="Arial" w:hAnsi="Arial" w:cs="Arial"/>
        </w:rPr>
        <w:t>BB Technical Manual, 1</w:t>
      </w:r>
      <w:r w:rsidR="00D976AB" w:rsidRPr="00297A75">
        <w:rPr>
          <w:rFonts w:ascii="Arial" w:hAnsi="Arial" w:cs="Arial"/>
        </w:rPr>
        <w:t>7</w:t>
      </w:r>
      <w:r w:rsidRPr="00297A75">
        <w:rPr>
          <w:rFonts w:ascii="Arial" w:hAnsi="Arial" w:cs="Arial"/>
          <w:vertAlign w:val="superscript"/>
        </w:rPr>
        <w:t>th</w:t>
      </w:r>
      <w:r w:rsidR="00D976AB" w:rsidRPr="00297A75">
        <w:rPr>
          <w:rFonts w:ascii="Arial" w:hAnsi="Arial" w:cs="Arial"/>
        </w:rPr>
        <w:t xml:space="preserve"> Edition, 2011</w:t>
      </w:r>
      <w:r w:rsidRPr="00297A75">
        <w:rPr>
          <w:rFonts w:ascii="Arial" w:hAnsi="Arial" w:cs="Arial"/>
        </w:rPr>
        <w:t xml:space="preserve">. </w:t>
      </w:r>
      <w:smartTag w:uri="urn:schemas-microsoft-com:office:smarttags" w:element="place">
        <w:smartTag w:uri="urn:schemas-microsoft-com:office:smarttags" w:element="City">
          <w:r w:rsidRPr="00297A75">
            <w:rPr>
              <w:rFonts w:ascii="Arial" w:hAnsi="Arial" w:cs="Arial"/>
            </w:rPr>
            <w:t>Bethesda</w:t>
          </w:r>
        </w:smartTag>
        <w:r w:rsidRPr="00297A75">
          <w:rPr>
            <w:rFonts w:ascii="Arial" w:hAnsi="Arial" w:cs="Arial"/>
          </w:rPr>
          <w:t xml:space="preserve">, </w:t>
        </w:r>
        <w:smartTag w:uri="urn:schemas-microsoft-com:office:smarttags" w:element="State">
          <w:r w:rsidRPr="00297A75">
            <w:rPr>
              <w:rFonts w:ascii="Arial" w:hAnsi="Arial" w:cs="Arial"/>
            </w:rPr>
            <w:t>Maryland</w:t>
          </w:r>
        </w:smartTag>
      </w:smartTag>
      <w:r w:rsidRPr="00297A75">
        <w:rPr>
          <w:rFonts w:ascii="Arial" w:hAnsi="Arial" w:cs="Arial"/>
        </w:rPr>
        <w:t>.</w:t>
      </w:r>
      <w:r w:rsidRPr="00297A75">
        <w:rPr>
          <w:rFonts w:ascii="Arial" w:hAnsi="Arial" w:cs="Arial"/>
          <w:b/>
          <w:bCs/>
        </w:rPr>
        <w:t xml:space="preserve"> </w:t>
      </w:r>
    </w:p>
    <w:p w:rsidR="00D976AB" w:rsidRPr="0030795E" w:rsidRDefault="00D976AB" w:rsidP="007721BB">
      <w:pPr>
        <w:numPr>
          <w:ilvl w:val="1"/>
          <w:numId w:val="6"/>
        </w:numPr>
        <w:jc w:val="both"/>
        <w:rPr>
          <w:rFonts w:ascii="Arial" w:hAnsi="Arial" w:cs="Arial"/>
          <w:b/>
          <w:bCs/>
        </w:rPr>
      </w:pPr>
      <w:r w:rsidRPr="00297A75">
        <w:rPr>
          <w:rFonts w:ascii="Arial" w:hAnsi="Arial" w:cs="Arial"/>
          <w:bCs/>
          <w:lang w:val="en-CA"/>
        </w:rPr>
        <w:t>Judd’s Methods in Immunohematology, 3</w:t>
      </w:r>
      <w:r w:rsidRPr="00297A75">
        <w:rPr>
          <w:rFonts w:ascii="Arial" w:hAnsi="Arial" w:cs="Arial"/>
          <w:bCs/>
          <w:vertAlign w:val="superscript"/>
          <w:lang w:val="en-CA"/>
        </w:rPr>
        <w:t>rd</w:t>
      </w:r>
      <w:r w:rsidRPr="00297A75">
        <w:rPr>
          <w:rFonts w:ascii="Arial" w:hAnsi="Arial" w:cs="Arial"/>
          <w:bCs/>
          <w:lang w:val="en-CA"/>
        </w:rPr>
        <w:t xml:space="preserve"> edition, 2008. AABB, Bethesda Maryland.</w:t>
      </w:r>
    </w:p>
    <w:p w:rsidR="0030795E" w:rsidRPr="0030795E" w:rsidRDefault="0030795E" w:rsidP="007721BB">
      <w:pPr>
        <w:numPr>
          <w:ilvl w:val="1"/>
          <w:numId w:val="6"/>
        </w:numPr>
        <w:jc w:val="both"/>
        <w:rPr>
          <w:rFonts w:ascii="Arial" w:hAnsi="Arial" w:cs="Arial"/>
          <w:b/>
          <w:bCs/>
        </w:rPr>
      </w:pPr>
      <w:r>
        <w:rPr>
          <w:rFonts w:ascii="Arial" w:hAnsi="Arial" w:cs="Arial"/>
          <w:bCs/>
          <w:lang w:val="en-CA"/>
        </w:rPr>
        <w:t>Transfusion Ontario Ottawa – Standard Work Instruction Manual (SWIM templates); ORBCON.</w:t>
      </w:r>
    </w:p>
    <w:p w:rsidR="0030795E" w:rsidRPr="00297A75" w:rsidRDefault="0030795E" w:rsidP="0030795E">
      <w:pPr>
        <w:jc w:val="both"/>
        <w:rPr>
          <w:rFonts w:ascii="Arial" w:hAnsi="Arial" w:cs="Arial"/>
          <w:b/>
          <w:bCs/>
        </w:rPr>
      </w:pPr>
    </w:p>
    <w:p w:rsidR="007721BB" w:rsidRPr="00297A75" w:rsidRDefault="007721BB" w:rsidP="005679FC">
      <w:pPr>
        <w:jc w:val="both"/>
        <w:rPr>
          <w:rFonts w:ascii="Arial" w:hAnsi="Arial" w:cs="Arial"/>
        </w:rPr>
      </w:pPr>
    </w:p>
    <w:sectPr w:rsidR="007721BB" w:rsidRPr="00297A7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8C" w:rsidRDefault="0014268C" w:rsidP="00FE5C2F">
      <w:r>
        <w:separator/>
      </w:r>
    </w:p>
  </w:endnote>
  <w:endnote w:type="continuationSeparator" w:id="0">
    <w:p w:rsidR="0014268C" w:rsidRDefault="0014268C" w:rsidP="00FE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77" w:rsidRDefault="00E91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OLE_LINK1"/>
  <w:bookmarkStart w:id="2" w:name="OLE_LINK2"/>
  <w:bookmarkStart w:id="3" w:name="_Hlk287088378"/>
  <w:bookmarkStart w:id="4" w:name="OLE_LINK5"/>
  <w:bookmarkStart w:id="5" w:name="OLE_LINK6"/>
  <w:bookmarkStart w:id="6" w:name="_Hlk287090696"/>
  <w:p w:rsidR="0014268C" w:rsidRDefault="005F5BB1" w:rsidP="00ED0C66">
    <w:pPr>
      <w:pStyle w:val="Footer"/>
    </w:pPr>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5943600" cy="0"/>
              <wp:effectExtent l="9525" t="5080" r="952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gg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"/>
          </w:pict>
        </mc:Fallback>
      </mc:AlternateContent>
    </w:r>
    <w:bookmarkStart w:id="7" w:name="OLE_LINK3"/>
    <w:bookmarkStart w:id="8" w:name="OLE_LINK4"/>
    <w:r w:rsidR="0014268C" w:rsidRPr="00093C21">
      <w:rPr>
        <w:rFonts w:ascii="Arial" w:hAnsi="Arial" w:cs="Arial"/>
        <w:b/>
        <w:sz w:val="16"/>
        <w:szCs w:val="16"/>
      </w:rPr>
      <w:t>NOTE</w:t>
    </w:r>
    <w:r w:rsidR="0014268C">
      <w:rPr>
        <w:rFonts w:ascii="Arial" w:hAnsi="Arial" w:cs="Arial"/>
        <w:sz w:val="16"/>
        <w:szCs w:val="16"/>
      </w:rPr>
      <w:t>: This is a CONTROLLED document as are all system files on this server.  Any documents appearing in paper form are not controlled and should be checked against the server file version prior to use</w:t>
    </w:r>
    <w:bookmarkEnd w:id="7"/>
    <w:bookmarkEnd w:id="8"/>
    <w:r w:rsidR="0014268C">
      <w:rPr>
        <w:rFonts w:ascii="Arial" w:hAnsi="Arial" w:cs="Arial"/>
        <w:sz w:val="16"/>
        <w:szCs w:val="16"/>
      </w:rPr>
      <w:t>.</w:t>
    </w:r>
    <w:bookmarkEnd w:id="1"/>
    <w:bookmarkEnd w:id="2"/>
    <w:bookmarkEnd w:id="3"/>
    <w:bookmarkEnd w:id="4"/>
    <w:bookmarkEnd w:id="5"/>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77" w:rsidRDefault="00E91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8C" w:rsidRDefault="0014268C" w:rsidP="00FE5C2F">
      <w:r>
        <w:separator/>
      </w:r>
    </w:p>
  </w:footnote>
  <w:footnote w:type="continuationSeparator" w:id="0">
    <w:p w:rsidR="0014268C" w:rsidRDefault="0014268C" w:rsidP="00FE5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77" w:rsidRDefault="00E91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AB" w:rsidRDefault="00D976AB" w:rsidP="009C575D">
    <w:pPr>
      <w:pStyle w:val="Header"/>
      <w:jc w:val="right"/>
      <w:rPr>
        <w:rStyle w:val="PageNumber"/>
        <w:rFonts w:ascii="Arial" w:hAnsi="Arial" w:cs="Arial"/>
        <w:b/>
        <w:sz w:val="16"/>
        <w:szCs w:val="16"/>
      </w:rPr>
    </w:pPr>
  </w:p>
  <w:p w:rsidR="00D976AB" w:rsidRDefault="00D976AB" w:rsidP="009C575D">
    <w:pPr>
      <w:pStyle w:val="Header"/>
      <w:jc w:val="right"/>
      <w:rPr>
        <w:rStyle w:val="PageNumber"/>
        <w:rFonts w:ascii="Arial" w:hAnsi="Arial" w:cs="Arial"/>
        <w:b/>
        <w:sz w:val="16"/>
        <w:szCs w:val="16"/>
      </w:rPr>
    </w:pPr>
  </w:p>
  <w:p w:rsidR="00D976AB" w:rsidRPr="009343F6" w:rsidRDefault="00D976AB" w:rsidP="00D976AB">
    <w:pPr>
      <w:tabs>
        <w:tab w:val="center" w:pos="4320"/>
        <w:tab w:val="right" w:pos="8640"/>
      </w:tabs>
      <w:jc w:val="center"/>
      <w:rPr>
        <w:b/>
        <w:i/>
        <w:sz w:val="24"/>
        <w:szCs w:val="24"/>
      </w:rPr>
    </w:pPr>
    <w:r w:rsidRPr="009343F6">
      <w:rPr>
        <w:b/>
        <w:i/>
        <w:sz w:val="24"/>
        <w:szCs w:val="24"/>
      </w:rPr>
      <w:t>Integrated Hospital Laboratories Service, Windsor Essex</w:t>
    </w:r>
  </w:p>
  <w:tbl>
    <w:tblPr>
      <w:tblW w:w="92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0"/>
      <w:gridCol w:w="3690"/>
      <w:gridCol w:w="2430"/>
    </w:tblGrid>
    <w:tr w:rsidR="00D976AB" w:rsidRPr="009343F6" w:rsidTr="00297A75">
      <w:trPr>
        <w:cantSplit/>
        <w:trHeight w:val="611"/>
      </w:trPr>
      <w:tc>
        <w:tcPr>
          <w:tcW w:w="9270" w:type="dxa"/>
          <w:gridSpan w:val="3"/>
        </w:tcPr>
        <w:p w:rsidR="00D976AB" w:rsidRPr="009343F6" w:rsidRDefault="00D976AB" w:rsidP="00805D37">
          <w:pPr>
            <w:tabs>
              <w:tab w:val="center" w:pos="4320"/>
              <w:tab w:val="right" w:pos="8640"/>
            </w:tabs>
            <w:rPr>
              <w:b/>
              <w:sz w:val="16"/>
              <w:lang w:val="en-CA"/>
            </w:rPr>
          </w:pPr>
          <w:r w:rsidRPr="009343F6">
            <w:rPr>
              <w:b/>
              <w:sz w:val="16"/>
              <w:lang w:val="en-CA"/>
            </w:rPr>
            <w:t>Document Identification (Title):</w:t>
          </w:r>
        </w:p>
        <w:p w:rsidR="00D976AB" w:rsidRPr="009343F6" w:rsidRDefault="00843AE1" w:rsidP="00805D37">
          <w:pPr>
            <w:tabs>
              <w:tab w:val="center" w:pos="4320"/>
              <w:tab w:val="right" w:pos="8640"/>
            </w:tabs>
            <w:rPr>
              <w:rFonts w:ascii="Arial" w:hAnsi="Arial" w:cs="Arial"/>
              <w:lang w:val="en-CA"/>
            </w:rPr>
          </w:pPr>
          <w:r>
            <w:rPr>
              <w:rFonts w:ascii="Arial" w:hAnsi="Arial" w:cs="Arial"/>
              <w:sz w:val="22"/>
              <w:lang w:val="en-CA"/>
            </w:rPr>
            <w:t xml:space="preserve">IHL-TMD-III </w:t>
          </w:r>
          <w:r w:rsidR="00297A75" w:rsidRPr="00297A75">
            <w:rPr>
              <w:rFonts w:ascii="Arial" w:hAnsi="Arial" w:cs="Arial"/>
              <w:sz w:val="22"/>
              <w:lang w:val="en-CA"/>
            </w:rPr>
            <w:t>Rea</w:t>
          </w:r>
          <w:r w:rsidR="003F2D84">
            <w:rPr>
              <w:rFonts w:ascii="Arial" w:hAnsi="Arial" w:cs="Arial"/>
              <w:sz w:val="22"/>
              <w:lang w:val="en-CA"/>
            </w:rPr>
            <w:t>ding and Recording Hemagglutination</w:t>
          </w:r>
          <w:r w:rsidR="00297A75" w:rsidRPr="00297A75">
            <w:rPr>
              <w:rFonts w:ascii="Arial" w:hAnsi="Arial" w:cs="Arial"/>
              <w:sz w:val="22"/>
              <w:lang w:val="en-CA"/>
            </w:rPr>
            <w:t xml:space="preserve"> Reactions </w:t>
          </w:r>
          <w:r w:rsidR="00E91577">
            <w:rPr>
              <w:rFonts w:ascii="Arial" w:hAnsi="Arial" w:cs="Arial"/>
              <w:sz w:val="22"/>
              <w:lang w:val="en-CA"/>
            </w:rPr>
            <w:t>in Tube</w:t>
          </w:r>
        </w:p>
      </w:tc>
    </w:tr>
    <w:tr w:rsidR="00D976AB" w:rsidRPr="009343F6" w:rsidTr="00297A75">
      <w:trPr>
        <w:cantSplit/>
      </w:trPr>
      <w:tc>
        <w:tcPr>
          <w:tcW w:w="3150" w:type="dxa"/>
        </w:tcPr>
        <w:p w:rsidR="00297A75" w:rsidRPr="007A32A3" w:rsidRDefault="00D976AB" w:rsidP="00805D37">
          <w:pPr>
            <w:tabs>
              <w:tab w:val="center" w:pos="4320"/>
              <w:tab w:val="right" w:pos="8640"/>
            </w:tabs>
            <w:rPr>
              <w:b/>
              <w:sz w:val="16"/>
              <w:lang w:val="en-CA"/>
            </w:rPr>
          </w:pPr>
          <w:r w:rsidRPr="009343F6">
            <w:rPr>
              <w:b/>
              <w:sz w:val="16"/>
              <w:lang w:val="en-CA"/>
            </w:rPr>
            <w:t>Author:</w:t>
          </w:r>
        </w:p>
        <w:p w:rsidR="00D976AB" w:rsidRDefault="00297A75" w:rsidP="00805D37">
          <w:pPr>
            <w:tabs>
              <w:tab w:val="center" w:pos="4320"/>
              <w:tab w:val="right" w:pos="8640"/>
            </w:tabs>
            <w:rPr>
              <w:rFonts w:ascii="Arial" w:hAnsi="Arial" w:cs="Arial"/>
              <w:lang w:val="en-CA"/>
            </w:rPr>
          </w:pPr>
          <w:r>
            <w:rPr>
              <w:rFonts w:ascii="Arial" w:hAnsi="Arial" w:cs="Arial"/>
              <w:lang w:val="en-CA"/>
            </w:rPr>
            <w:t xml:space="preserve">J. </w:t>
          </w:r>
          <w:r w:rsidR="00D976AB">
            <w:rPr>
              <w:rFonts w:ascii="Arial" w:hAnsi="Arial" w:cs="Arial"/>
              <w:lang w:val="en-CA"/>
            </w:rPr>
            <w:t>Bawden</w:t>
          </w:r>
          <w:r>
            <w:rPr>
              <w:rFonts w:ascii="Arial" w:hAnsi="Arial" w:cs="Arial"/>
              <w:lang w:val="en-CA"/>
            </w:rPr>
            <w:t xml:space="preserve"> / B. Sarkis</w:t>
          </w:r>
          <w:r w:rsidR="007A32A3">
            <w:rPr>
              <w:rFonts w:ascii="Arial" w:hAnsi="Arial" w:cs="Arial"/>
              <w:lang w:val="en-CA"/>
            </w:rPr>
            <w:t xml:space="preserve"> </w:t>
          </w:r>
        </w:p>
        <w:p w:rsidR="007A32A3" w:rsidRPr="009343F6" w:rsidRDefault="007A32A3" w:rsidP="00805D37">
          <w:pPr>
            <w:tabs>
              <w:tab w:val="center" w:pos="4320"/>
              <w:tab w:val="right" w:pos="8640"/>
            </w:tabs>
            <w:rPr>
              <w:rFonts w:ascii="Arial" w:hAnsi="Arial" w:cs="Arial"/>
              <w:lang w:val="en-CA"/>
            </w:rPr>
          </w:pPr>
          <w:r>
            <w:rPr>
              <w:rFonts w:ascii="Arial" w:hAnsi="Arial" w:cs="Arial"/>
              <w:lang w:val="en-CA"/>
            </w:rPr>
            <w:t>B. Brancaccio</w:t>
          </w:r>
        </w:p>
      </w:tc>
      <w:tc>
        <w:tcPr>
          <w:tcW w:w="3690" w:type="dxa"/>
        </w:tcPr>
        <w:p w:rsidR="00D976AB" w:rsidRPr="009343F6" w:rsidRDefault="00D976AB" w:rsidP="00805D37">
          <w:pPr>
            <w:tabs>
              <w:tab w:val="center" w:pos="4320"/>
              <w:tab w:val="right" w:pos="8640"/>
            </w:tabs>
            <w:rPr>
              <w:b/>
              <w:sz w:val="16"/>
              <w:lang w:val="en-CA"/>
            </w:rPr>
          </w:pPr>
          <w:r w:rsidRPr="009343F6">
            <w:rPr>
              <w:b/>
              <w:sz w:val="16"/>
              <w:lang w:val="en-CA"/>
            </w:rPr>
            <w:t>Authorized By:</w:t>
          </w:r>
        </w:p>
        <w:p w:rsidR="00D976AB" w:rsidRPr="009343F6" w:rsidRDefault="00D976AB" w:rsidP="00805D37">
          <w:pPr>
            <w:rPr>
              <w:rFonts w:ascii="Arial" w:hAnsi="Arial" w:cs="Arial"/>
              <w:lang w:val="en-CA"/>
            </w:rPr>
          </w:pPr>
          <w:r>
            <w:rPr>
              <w:rFonts w:ascii="Arial" w:hAnsi="Arial" w:cs="Arial"/>
              <w:lang w:val="en-CA"/>
            </w:rPr>
            <w:t>Transfusion Medicine Clinical Leader</w:t>
          </w:r>
        </w:p>
      </w:tc>
      <w:tc>
        <w:tcPr>
          <w:tcW w:w="2430" w:type="dxa"/>
        </w:tcPr>
        <w:p w:rsidR="00D976AB" w:rsidRPr="009343F6" w:rsidRDefault="00D976AB" w:rsidP="00805D37">
          <w:pPr>
            <w:tabs>
              <w:tab w:val="center" w:pos="4320"/>
              <w:tab w:val="right" w:pos="8640"/>
            </w:tabs>
            <w:rPr>
              <w:b/>
              <w:lang w:val="en-CA"/>
            </w:rPr>
          </w:pPr>
          <w:r w:rsidRPr="009343F6">
            <w:rPr>
              <w:b/>
              <w:sz w:val="16"/>
              <w:lang w:val="en-CA"/>
            </w:rPr>
            <w:t>Effective Date</w:t>
          </w:r>
        </w:p>
        <w:p w:rsidR="00D976AB" w:rsidRPr="009343F6" w:rsidRDefault="00E91577" w:rsidP="00297A75">
          <w:pPr>
            <w:rPr>
              <w:rFonts w:ascii="Arial" w:hAnsi="Arial" w:cs="Arial"/>
              <w:lang w:val="en-CA"/>
            </w:rPr>
          </w:pPr>
          <w:r>
            <w:rPr>
              <w:rFonts w:ascii="Arial" w:hAnsi="Arial" w:cs="Arial"/>
              <w:lang w:val="en-CA"/>
            </w:rPr>
            <w:t>2015-12-23</w:t>
          </w:r>
        </w:p>
      </w:tc>
    </w:tr>
  </w:tbl>
  <w:p w:rsidR="00D976AB" w:rsidRPr="009343F6" w:rsidRDefault="00D976AB" w:rsidP="00D976AB">
    <w:pPr>
      <w:tabs>
        <w:tab w:val="center" w:pos="4320"/>
        <w:tab w:val="right" w:pos="8640"/>
      </w:tabs>
      <w:jc w:val="right"/>
      <w:rPr>
        <w:rFonts w:ascii="Arial" w:hAnsi="Arial" w:cs="Arial"/>
        <w:b/>
        <w:sz w:val="16"/>
        <w:szCs w:val="16"/>
      </w:rPr>
    </w:pPr>
    <w:r w:rsidRPr="009343F6">
      <w:rPr>
        <w:rFonts w:ascii="Arial" w:hAnsi="Arial" w:cs="Arial"/>
        <w:b/>
        <w:snapToGrid w:val="0"/>
        <w:sz w:val="16"/>
        <w:szCs w:val="16"/>
        <w:lang w:val="en-CA"/>
      </w:rPr>
      <w:t xml:space="preserve">Page </w:t>
    </w:r>
    <w:r w:rsidRPr="009343F6">
      <w:rPr>
        <w:rFonts w:ascii="Arial" w:hAnsi="Arial" w:cs="Arial"/>
        <w:b/>
        <w:snapToGrid w:val="0"/>
        <w:sz w:val="16"/>
        <w:szCs w:val="16"/>
        <w:lang w:val="en-CA"/>
      </w:rPr>
      <w:fldChar w:fldCharType="begin"/>
    </w:r>
    <w:r w:rsidRPr="009343F6">
      <w:rPr>
        <w:rFonts w:ascii="Arial" w:hAnsi="Arial" w:cs="Arial"/>
        <w:b/>
        <w:snapToGrid w:val="0"/>
        <w:sz w:val="16"/>
        <w:szCs w:val="16"/>
        <w:lang w:val="en-CA"/>
      </w:rPr>
      <w:instrText xml:space="preserve"> PAGE </w:instrText>
    </w:r>
    <w:r w:rsidRPr="009343F6">
      <w:rPr>
        <w:rFonts w:ascii="Arial" w:hAnsi="Arial" w:cs="Arial"/>
        <w:b/>
        <w:snapToGrid w:val="0"/>
        <w:sz w:val="16"/>
        <w:szCs w:val="16"/>
        <w:lang w:val="en-CA"/>
      </w:rPr>
      <w:fldChar w:fldCharType="separate"/>
    </w:r>
    <w:r w:rsidR="00603EC2">
      <w:rPr>
        <w:rFonts w:ascii="Arial" w:hAnsi="Arial" w:cs="Arial"/>
        <w:b/>
        <w:noProof/>
        <w:snapToGrid w:val="0"/>
        <w:sz w:val="16"/>
        <w:szCs w:val="16"/>
        <w:lang w:val="en-CA"/>
      </w:rPr>
      <w:t>1</w:t>
    </w:r>
    <w:r w:rsidRPr="009343F6">
      <w:rPr>
        <w:rFonts w:ascii="Arial" w:hAnsi="Arial" w:cs="Arial"/>
        <w:b/>
        <w:snapToGrid w:val="0"/>
        <w:sz w:val="16"/>
        <w:szCs w:val="16"/>
        <w:lang w:val="en-CA"/>
      </w:rPr>
      <w:fldChar w:fldCharType="end"/>
    </w:r>
    <w:r w:rsidRPr="009343F6">
      <w:rPr>
        <w:rFonts w:ascii="Arial" w:hAnsi="Arial" w:cs="Arial"/>
        <w:b/>
        <w:snapToGrid w:val="0"/>
        <w:sz w:val="16"/>
        <w:szCs w:val="16"/>
        <w:lang w:val="en-CA"/>
      </w:rPr>
      <w:t xml:space="preserve"> of </w:t>
    </w:r>
    <w:r w:rsidRPr="009343F6">
      <w:rPr>
        <w:rFonts w:ascii="Arial" w:hAnsi="Arial" w:cs="Arial"/>
        <w:b/>
        <w:sz w:val="16"/>
        <w:szCs w:val="16"/>
      </w:rPr>
      <w:fldChar w:fldCharType="begin"/>
    </w:r>
    <w:r w:rsidRPr="009343F6">
      <w:rPr>
        <w:rFonts w:ascii="Arial" w:hAnsi="Arial" w:cs="Arial"/>
        <w:b/>
        <w:sz w:val="16"/>
        <w:szCs w:val="16"/>
      </w:rPr>
      <w:instrText xml:space="preserve"> NUMPAGES </w:instrText>
    </w:r>
    <w:r w:rsidRPr="009343F6">
      <w:rPr>
        <w:rFonts w:ascii="Arial" w:hAnsi="Arial" w:cs="Arial"/>
        <w:b/>
        <w:sz w:val="16"/>
        <w:szCs w:val="16"/>
      </w:rPr>
      <w:fldChar w:fldCharType="separate"/>
    </w:r>
    <w:r w:rsidR="00603EC2">
      <w:rPr>
        <w:rFonts w:ascii="Arial" w:hAnsi="Arial" w:cs="Arial"/>
        <w:b/>
        <w:noProof/>
        <w:sz w:val="16"/>
        <w:szCs w:val="16"/>
      </w:rPr>
      <w:t>4</w:t>
    </w:r>
    <w:r w:rsidRPr="009343F6">
      <w:rPr>
        <w:rFonts w:ascii="Arial" w:hAnsi="Arial" w:cs="Arial"/>
        <w:b/>
        <w:sz w:val="16"/>
        <w:szCs w:val="16"/>
      </w:rPr>
      <w:fldChar w:fldCharType="end"/>
    </w:r>
  </w:p>
  <w:p w:rsidR="00D976AB" w:rsidRPr="003F610F" w:rsidRDefault="00D976AB" w:rsidP="009C575D">
    <w:pPr>
      <w:pStyle w:val="Header"/>
      <w:jc w:val="right"/>
      <w:rPr>
        <w:rFonts w:ascii="Arial" w:hAnsi="Arial" w:cs="Arial"/>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77" w:rsidRDefault="00E91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CEF"/>
    <w:multiLevelType w:val="multilevel"/>
    <w:tmpl w:val="5CEEA7FE"/>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38"/>
        </w:tabs>
        <w:ind w:left="2138"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
    <w:nsid w:val="0FC361D2"/>
    <w:multiLevelType w:val="multilevel"/>
    <w:tmpl w:val="AEBCFA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
    <w:nsid w:val="224F70E5"/>
    <w:multiLevelType w:val="hybridMultilevel"/>
    <w:tmpl w:val="92B0D734"/>
    <w:lvl w:ilvl="0" w:tplc="1009000F">
      <w:start w:val="1"/>
      <w:numFmt w:val="decimal"/>
      <w:lvlText w:val="%1."/>
      <w:lvlJc w:val="left"/>
      <w:pPr>
        <w:ind w:left="1353" w:hanging="360"/>
      </w:pPr>
    </w:lvl>
    <w:lvl w:ilvl="1" w:tplc="10090019">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3">
    <w:nsid w:val="4E821208"/>
    <w:multiLevelType w:val="multilevel"/>
    <w:tmpl w:val="AEBCFA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4">
    <w:nsid w:val="6A7A18D4"/>
    <w:multiLevelType w:val="multilevel"/>
    <w:tmpl w:val="5CEEA7FE"/>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38"/>
        </w:tabs>
        <w:ind w:left="2138"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5">
    <w:nsid w:val="719D5797"/>
    <w:multiLevelType w:val="multilevel"/>
    <w:tmpl w:val="DF1CD654"/>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
    <w:nsid w:val="724D3364"/>
    <w:multiLevelType w:val="multilevel"/>
    <w:tmpl w:val="AEBCFA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7">
    <w:nsid w:val="75AA414C"/>
    <w:multiLevelType w:val="multilevel"/>
    <w:tmpl w:val="492CA7DA"/>
    <w:lvl w:ilvl="0">
      <w:start w:val="4"/>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num w:numId="1">
    <w:abstractNumId w:val="4"/>
  </w:num>
  <w:num w:numId="2">
    <w:abstractNumId w:val="3"/>
  </w:num>
  <w:num w:numId="3">
    <w:abstractNumId w:val="1"/>
  </w:num>
  <w:num w:numId="4">
    <w:abstractNumId w:val="6"/>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49"/>
    <w:rsid w:val="00016C14"/>
    <w:rsid w:val="00033B1C"/>
    <w:rsid w:val="00033FC5"/>
    <w:rsid w:val="000469FC"/>
    <w:rsid w:val="00056BA6"/>
    <w:rsid w:val="000F7C5F"/>
    <w:rsid w:val="00100E59"/>
    <w:rsid w:val="0014268C"/>
    <w:rsid w:val="00147D28"/>
    <w:rsid w:val="00171236"/>
    <w:rsid w:val="00250F30"/>
    <w:rsid w:val="00257DD6"/>
    <w:rsid w:val="00277488"/>
    <w:rsid w:val="00297A75"/>
    <w:rsid w:val="002A2688"/>
    <w:rsid w:val="002C2496"/>
    <w:rsid w:val="003021D4"/>
    <w:rsid w:val="0030795E"/>
    <w:rsid w:val="003204DD"/>
    <w:rsid w:val="00334C65"/>
    <w:rsid w:val="00345562"/>
    <w:rsid w:val="00360A0F"/>
    <w:rsid w:val="003A286B"/>
    <w:rsid w:val="003C56ED"/>
    <w:rsid w:val="003E2848"/>
    <w:rsid w:val="003E7B60"/>
    <w:rsid w:val="003F2D84"/>
    <w:rsid w:val="003F44D5"/>
    <w:rsid w:val="00437311"/>
    <w:rsid w:val="005163CA"/>
    <w:rsid w:val="005370B5"/>
    <w:rsid w:val="00562427"/>
    <w:rsid w:val="005679FC"/>
    <w:rsid w:val="005B188B"/>
    <w:rsid w:val="005B3DAA"/>
    <w:rsid w:val="005D2926"/>
    <w:rsid w:val="005E1049"/>
    <w:rsid w:val="005E547D"/>
    <w:rsid w:val="005F5BB1"/>
    <w:rsid w:val="00603EC2"/>
    <w:rsid w:val="00632020"/>
    <w:rsid w:val="00667C16"/>
    <w:rsid w:val="006773DA"/>
    <w:rsid w:val="0068086C"/>
    <w:rsid w:val="007721BB"/>
    <w:rsid w:val="00772C42"/>
    <w:rsid w:val="00781D68"/>
    <w:rsid w:val="007A32A3"/>
    <w:rsid w:val="008438E4"/>
    <w:rsid w:val="00843AE1"/>
    <w:rsid w:val="00855E74"/>
    <w:rsid w:val="008B505B"/>
    <w:rsid w:val="008C119D"/>
    <w:rsid w:val="008C5CB5"/>
    <w:rsid w:val="009749DA"/>
    <w:rsid w:val="009B2E75"/>
    <w:rsid w:val="009C575D"/>
    <w:rsid w:val="00A7106D"/>
    <w:rsid w:val="00B17452"/>
    <w:rsid w:val="00B27549"/>
    <w:rsid w:val="00B40388"/>
    <w:rsid w:val="00B84480"/>
    <w:rsid w:val="00BB160F"/>
    <w:rsid w:val="00BC6F3D"/>
    <w:rsid w:val="00C8617D"/>
    <w:rsid w:val="00CD67B8"/>
    <w:rsid w:val="00D976AB"/>
    <w:rsid w:val="00DC17B2"/>
    <w:rsid w:val="00DD7F27"/>
    <w:rsid w:val="00DF0A5A"/>
    <w:rsid w:val="00E443C3"/>
    <w:rsid w:val="00E91577"/>
    <w:rsid w:val="00ED0C66"/>
    <w:rsid w:val="00EE591B"/>
    <w:rsid w:val="00F10504"/>
    <w:rsid w:val="00F6158B"/>
    <w:rsid w:val="00FA4A28"/>
    <w:rsid w:val="00FC6554"/>
    <w:rsid w:val="00FE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549"/>
  </w:style>
  <w:style w:type="paragraph" w:styleId="Heading1">
    <w:name w:val="heading 1"/>
    <w:basedOn w:val="Normal"/>
    <w:next w:val="Normal"/>
    <w:link w:val="Heading1Char"/>
    <w:qFormat/>
    <w:rsid w:val="00147D2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504"/>
    <w:pPr>
      <w:ind w:left="720"/>
    </w:pPr>
  </w:style>
  <w:style w:type="paragraph" w:styleId="Header">
    <w:name w:val="header"/>
    <w:basedOn w:val="Normal"/>
    <w:link w:val="HeaderChar"/>
    <w:uiPriority w:val="99"/>
    <w:rsid w:val="00FE5C2F"/>
    <w:pPr>
      <w:tabs>
        <w:tab w:val="center" w:pos="4680"/>
        <w:tab w:val="right" w:pos="9360"/>
      </w:tabs>
    </w:pPr>
  </w:style>
  <w:style w:type="character" w:customStyle="1" w:styleId="HeaderChar">
    <w:name w:val="Header Char"/>
    <w:basedOn w:val="DefaultParagraphFont"/>
    <w:link w:val="Header"/>
    <w:uiPriority w:val="99"/>
    <w:rsid w:val="00FE5C2F"/>
    <w:rPr>
      <w:lang w:val="en-US" w:eastAsia="en-US"/>
    </w:rPr>
  </w:style>
  <w:style w:type="paragraph" w:styleId="Footer">
    <w:name w:val="footer"/>
    <w:basedOn w:val="Normal"/>
    <w:link w:val="FooterChar"/>
    <w:uiPriority w:val="99"/>
    <w:rsid w:val="00FE5C2F"/>
    <w:pPr>
      <w:tabs>
        <w:tab w:val="center" w:pos="4680"/>
        <w:tab w:val="right" w:pos="9360"/>
      </w:tabs>
    </w:pPr>
  </w:style>
  <w:style w:type="character" w:customStyle="1" w:styleId="FooterChar">
    <w:name w:val="Footer Char"/>
    <w:basedOn w:val="DefaultParagraphFont"/>
    <w:link w:val="Footer"/>
    <w:uiPriority w:val="99"/>
    <w:rsid w:val="00FE5C2F"/>
    <w:rPr>
      <w:lang w:val="en-US" w:eastAsia="en-US"/>
    </w:rPr>
  </w:style>
  <w:style w:type="table" w:styleId="TableGrid">
    <w:name w:val="Table Grid"/>
    <w:basedOn w:val="TableNormal"/>
    <w:rsid w:val="00FE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47D28"/>
    <w:rPr>
      <w:i/>
      <w:iCs/>
    </w:rPr>
  </w:style>
  <w:style w:type="character" w:customStyle="1" w:styleId="Heading1Char">
    <w:name w:val="Heading 1 Char"/>
    <w:basedOn w:val="DefaultParagraphFont"/>
    <w:link w:val="Heading1"/>
    <w:rsid w:val="00147D28"/>
    <w:rPr>
      <w:rFonts w:ascii="Cambria" w:eastAsia="Times New Roman" w:hAnsi="Cambria" w:cs="Times New Roman"/>
      <w:b/>
      <w:bCs/>
      <w:kern w:val="32"/>
      <w:sz w:val="32"/>
      <w:szCs w:val="32"/>
      <w:lang w:val="en-US" w:eastAsia="en-US"/>
    </w:rPr>
  </w:style>
  <w:style w:type="paragraph" w:styleId="BodyTextIndent">
    <w:name w:val="Body Text Indent"/>
    <w:basedOn w:val="Normal"/>
    <w:link w:val="BodyTextIndentChar"/>
    <w:rsid w:val="00B174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180" w:lineRule="exact"/>
      <w:ind w:left="720"/>
    </w:pPr>
    <w:rPr>
      <w:rFonts w:ascii="Arial" w:hAnsi="Arial"/>
    </w:rPr>
  </w:style>
  <w:style w:type="character" w:customStyle="1" w:styleId="BodyTextIndentChar">
    <w:name w:val="Body Text Indent Char"/>
    <w:basedOn w:val="DefaultParagraphFont"/>
    <w:link w:val="BodyTextIndent"/>
    <w:rsid w:val="00B17452"/>
    <w:rPr>
      <w:rFonts w:ascii="Arial" w:hAnsi="Arial"/>
      <w:lang w:val="en-US" w:eastAsia="en-US"/>
    </w:rPr>
  </w:style>
  <w:style w:type="paragraph" w:styleId="BalloonText">
    <w:name w:val="Balloon Text"/>
    <w:basedOn w:val="Normal"/>
    <w:link w:val="BalloonTextChar"/>
    <w:rsid w:val="00ED0C66"/>
    <w:rPr>
      <w:rFonts w:ascii="Tahoma" w:hAnsi="Tahoma" w:cs="Tahoma"/>
      <w:sz w:val="16"/>
      <w:szCs w:val="16"/>
    </w:rPr>
  </w:style>
  <w:style w:type="character" w:customStyle="1" w:styleId="BalloonTextChar">
    <w:name w:val="Balloon Text Char"/>
    <w:basedOn w:val="DefaultParagraphFont"/>
    <w:link w:val="BalloonText"/>
    <w:rsid w:val="00ED0C66"/>
    <w:rPr>
      <w:rFonts w:ascii="Tahoma" w:hAnsi="Tahoma" w:cs="Tahoma"/>
      <w:sz w:val="16"/>
      <w:szCs w:val="16"/>
      <w:lang w:val="en-US" w:eastAsia="en-US"/>
    </w:rPr>
  </w:style>
  <w:style w:type="character" w:styleId="PageNumber">
    <w:name w:val="page number"/>
    <w:basedOn w:val="DefaultParagraphFont"/>
    <w:rsid w:val="009C5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549"/>
  </w:style>
  <w:style w:type="paragraph" w:styleId="Heading1">
    <w:name w:val="heading 1"/>
    <w:basedOn w:val="Normal"/>
    <w:next w:val="Normal"/>
    <w:link w:val="Heading1Char"/>
    <w:qFormat/>
    <w:rsid w:val="00147D2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504"/>
    <w:pPr>
      <w:ind w:left="720"/>
    </w:pPr>
  </w:style>
  <w:style w:type="paragraph" w:styleId="Header">
    <w:name w:val="header"/>
    <w:basedOn w:val="Normal"/>
    <w:link w:val="HeaderChar"/>
    <w:uiPriority w:val="99"/>
    <w:rsid w:val="00FE5C2F"/>
    <w:pPr>
      <w:tabs>
        <w:tab w:val="center" w:pos="4680"/>
        <w:tab w:val="right" w:pos="9360"/>
      </w:tabs>
    </w:pPr>
  </w:style>
  <w:style w:type="character" w:customStyle="1" w:styleId="HeaderChar">
    <w:name w:val="Header Char"/>
    <w:basedOn w:val="DefaultParagraphFont"/>
    <w:link w:val="Header"/>
    <w:uiPriority w:val="99"/>
    <w:rsid w:val="00FE5C2F"/>
    <w:rPr>
      <w:lang w:val="en-US" w:eastAsia="en-US"/>
    </w:rPr>
  </w:style>
  <w:style w:type="paragraph" w:styleId="Footer">
    <w:name w:val="footer"/>
    <w:basedOn w:val="Normal"/>
    <w:link w:val="FooterChar"/>
    <w:uiPriority w:val="99"/>
    <w:rsid w:val="00FE5C2F"/>
    <w:pPr>
      <w:tabs>
        <w:tab w:val="center" w:pos="4680"/>
        <w:tab w:val="right" w:pos="9360"/>
      </w:tabs>
    </w:pPr>
  </w:style>
  <w:style w:type="character" w:customStyle="1" w:styleId="FooterChar">
    <w:name w:val="Footer Char"/>
    <w:basedOn w:val="DefaultParagraphFont"/>
    <w:link w:val="Footer"/>
    <w:uiPriority w:val="99"/>
    <w:rsid w:val="00FE5C2F"/>
    <w:rPr>
      <w:lang w:val="en-US" w:eastAsia="en-US"/>
    </w:rPr>
  </w:style>
  <w:style w:type="table" w:styleId="TableGrid">
    <w:name w:val="Table Grid"/>
    <w:basedOn w:val="TableNormal"/>
    <w:rsid w:val="00FE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47D28"/>
    <w:rPr>
      <w:i/>
      <w:iCs/>
    </w:rPr>
  </w:style>
  <w:style w:type="character" w:customStyle="1" w:styleId="Heading1Char">
    <w:name w:val="Heading 1 Char"/>
    <w:basedOn w:val="DefaultParagraphFont"/>
    <w:link w:val="Heading1"/>
    <w:rsid w:val="00147D28"/>
    <w:rPr>
      <w:rFonts w:ascii="Cambria" w:eastAsia="Times New Roman" w:hAnsi="Cambria" w:cs="Times New Roman"/>
      <w:b/>
      <w:bCs/>
      <w:kern w:val="32"/>
      <w:sz w:val="32"/>
      <w:szCs w:val="32"/>
      <w:lang w:val="en-US" w:eastAsia="en-US"/>
    </w:rPr>
  </w:style>
  <w:style w:type="paragraph" w:styleId="BodyTextIndent">
    <w:name w:val="Body Text Indent"/>
    <w:basedOn w:val="Normal"/>
    <w:link w:val="BodyTextIndentChar"/>
    <w:rsid w:val="00B174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180" w:lineRule="exact"/>
      <w:ind w:left="720"/>
    </w:pPr>
    <w:rPr>
      <w:rFonts w:ascii="Arial" w:hAnsi="Arial"/>
    </w:rPr>
  </w:style>
  <w:style w:type="character" w:customStyle="1" w:styleId="BodyTextIndentChar">
    <w:name w:val="Body Text Indent Char"/>
    <w:basedOn w:val="DefaultParagraphFont"/>
    <w:link w:val="BodyTextIndent"/>
    <w:rsid w:val="00B17452"/>
    <w:rPr>
      <w:rFonts w:ascii="Arial" w:hAnsi="Arial"/>
      <w:lang w:val="en-US" w:eastAsia="en-US"/>
    </w:rPr>
  </w:style>
  <w:style w:type="paragraph" w:styleId="BalloonText">
    <w:name w:val="Balloon Text"/>
    <w:basedOn w:val="Normal"/>
    <w:link w:val="BalloonTextChar"/>
    <w:rsid w:val="00ED0C66"/>
    <w:rPr>
      <w:rFonts w:ascii="Tahoma" w:hAnsi="Tahoma" w:cs="Tahoma"/>
      <w:sz w:val="16"/>
      <w:szCs w:val="16"/>
    </w:rPr>
  </w:style>
  <w:style w:type="character" w:customStyle="1" w:styleId="BalloonTextChar">
    <w:name w:val="Balloon Text Char"/>
    <w:basedOn w:val="DefaultParagraphFont"/>
    <w:link w:val="BalloonText"/>
    <w:rsid w:val="00ED0C66"/>
    <w:rPr>
      <w:rFonts w:ascii="Tahoma" w:hAnsi="Tahoma" w:cs="Tahoma"/>
      <w:sz w:val="16"/>
      <w:szCs w:val="16"/>
      <w:lang w:val="en-US" w:eastAsia="en-US"/>
    </w:rPr>
  </w:style>
  <w:style w:type="character" w:styleId="PageNumber">
    <w:name w:val="page number"/>
    <w:basedOn w:val="DefaultParagraphFont"/>
    <w:rsid w:val="009C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Integrated Hospital Laboratories Service, Windsor Essex</vt:lpstr>
    </vt:vector>
  </TitlesOfParts>
  <Company>WRH</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Hospital Laboratories Service, Windsor Essex</dc:title>
  <dc:creator>chemistry</dc:creator>
  <cp:lastModifiedBy>Jennifer Bawden</cp:lastModifiedBy>
  <cp:revision>3</cp:revision>
  <cp:lastPrinted>2015-12-23T14:04:00Z</cp:lastPrinted>
  <dcterms:created xsi:type="dcterms:W3CDTF">2015-12-23T14:03:00Z</dcterms:created>
  <dcterms:modified xsi:type="dcterms:W3CDTF">2015-12-23T14:04:00Z</dcterms:modified>
</cp:coreProperties>
</file>