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B1A" w:rsidRPr="002B7B1A" w:rsidRDefault="002B7B1A" w:rsidP="00A01438">
      <w:pPr>
        <w:pStyle w:val="NoSpacing"/>
        <w:numPr>
          <w:ilvl w:val="0"/>
          <w:numId w:val="21"/>
        </w:numPr>
        <w:rPr>
          <w:rFonts w:ascii="Arial" w:hAnsi="Arial" w:cs="Arial"/>
          <w:b/>
        </w:rPr>
      </w:pPr>
      <w:bookmarkStart w:id="0" w:name="_GoBack"/>
      <w:bookmarkEnd w:id="0"/>
      <w:r>
        <w:rPr>
          <w:rFonts w:ascii="Arial" w:hAnsi="Arial" w:cs="Arial"/>
          <w:b/>
        </w:rPr>
        <w:t>PURPOSE:</w:t>
      </w:r>
    </w:p>
    <w:p w:rsidR="0004711E" w:rsidRPr="00682204" w:rsidRDefault="00A64BE7" w:rsidP="002B7B1A">
      <w:pPr>
        <w:pStyle w:val="NoSpacing"/>
        <w:ind w:left="360"/>
        <w:rPr>
          <w:rFonts w:ascii="Arial" w:hAnsi="Arial" w:cs="Arial"/>
        </w:rPr>
      </w:pPr>
      <w:r w:rsidRPr="00682204">
        <w:rPr>
          <w:rFonts w:ascii="Arial" w:hAnsi="Arial" w:cs="Arial"/>
        </w:rPr>
        <w:t xml:space="preserve">Identification of unexpected red cell antibodies </w:t>
      </w:r>
      <w:r w:rsidR="002B7B1A">
        <w:rPr>
          <w:rFonts w:ascii="Arial" w:hAnsi="Arial" w:cs="Arial"/>
        </w:rPr>
        <w:t xml:space="preserve">is </w:t>
      </w:r>
      <w:r w:rsidR="00F140D5" w:rsidRPr="00682204">
        <w:rPr>
          <w:rFonts w:ascii="Arial" w:hAnsi="Arial" w:cs="Arial"/>
        </w:rPr>
        <w:t>performed for both clinical and technical reasons</w:t>
      </w:r>
      <w:r w:rsidRPr="00682204">
        <w:rPr>
          <w:rFonts w:ascii="Arial" w:hAnsi="Arial" w:cs="Arial"/>
        </w:rPr>
        <w:t xml:space="preserve">. </w:t>
      </w:r>
      <w:r w:rsidR="0036237F" w:rsidRPr="00682204">
        <w:rPr>
          <w:rFonts w:ascii="Arial" w:hAnsi="Arial" w:cs="Arial"/>
        </w:rPr>
        <w:t xml:space="preserve">The interpretation and exclusion process is necessary to ensure the correct identification of any </w:t>
      </w:r>
      <w:r w:rsidR="00F7542C">
        <w:rPr>
          <w:rFonts w:ascii="Arial" w:hAnsi="Arial" w:cs="Arial"/>
        </w:rPr>
        <w:t xml:space="preserve">unexpected </w:t>
      </w:r>
      <w:r w:rsidR="0036237F" w:rsidRPr="00682204">
        <w:rPr>
          <w:rFonts w:ascii="Arial" w:hAnsi="Arial" w:cs="Arial"/>
        </w:rPr>
        <w:t>antibodies present. Analysis of the antibody identification test results requires broad knowledge of the serologic reactions of individual antibody specificities</w:t>
      </w:r>
    </w:p>
    <w:p w:rsidR="0004711E" w:rsidRPr="00682204" w:rsidRDefault="0004711E" w:rsidP="00A01438">
      <w:pPr>
        <w:pStyle w:val="NoSpacing"/>
        <w:numPr>
          <w:ilvl w:val="1"/>
          <w:numId w:val="21"/>
        </w:numPr>
        <w:rPr>
          <w:rFonts w:ascii="Arial" w:hAnsi="Arial" w:cs="Arial"/>
        </w:rPr>
      </w:pPr>
      <w:r w:rsidRPr="00682204">
        <w:rPr>
          <w:rFonts w:ascii="Arial" w:hAnsi="Arial" w:cs="Arial"/>
        </w:rPr>
        <w:t>Alloantibodies may be detected</w:t>
      </w:r>
      <w:r w:rsidR="009435CC">
        <w:rPr>
          <w:rFonts w:ascii="Arial" w:hAnsi="Arial" w:cs="Arial"/>
        </w:rPr>
        <w:t xml:space="preserve"> in any of the following tests:</w:t>
      </w:r>
    </w:p>
    <w:p w:rsidR="0004711E" w:rsidRPr="00682204" w:rsidRDefault="00124668" w:rsidP="00A01438">
      <w:pPr>
        <w:pStyle w:val="NoSpacing"/>
        <w:numPr>
          <w:ilvl w:val="2"/>
          <w:numId w:val="21"/>
        </w:numPr>
        <w:rPr>
          <w:rFonts w:ascii="Arial" w:hAnsi="Arial" w:cs="Arial"/>
        </w:rPr>
      </w:pPr>
      <w:r w:rsidRPr="00682204">
        <w:rPr>
          <w:rFonts w:ascii="Arial" w:hAnsi="Arial" w:cs="Arial"/>
        </w:rPr>
        <w:t xml:space="preserve">antibody screen </w:t>
      </w:r>
    </w:p>
    <w:p w:rsidR="0004711E" w:rsidRPr="00682204" w:rsidRDefault="00F140D5" w:rsidP="00A01438">
      <w:pPr>
        <w:pStyle w:val="NoSpacing"/>
        <w:numPr>
          <w:ilvl w:val="2"/>
          <w:numId w:val="21"/>
        </w:numPr>
        <w:rPr>
          <w:rFonts w:ascii="Arial" w:hAnsi="Arial" w:cs="Arial"/>
        </w:rPr>
      </w:pPr>
      <w:r w:rsidRPr="00682204">
        <w:rPr>
          <w:rFonts w:ascii="Arial" w:hAnsi="Arial" w:cs="Arial"/>
        </w:rPr>
        <w:t xml:space="preserve">antibody </w:t>
      </w:r>
      <w:r w:rsidR="007C27CF" w:rsidRPr="00682204">
        <w:rPr>
          <w:rFonts w:ascii="Arial" w:hAnsi="Arial" w:cs="Arial"/>
        </w:rPr>
        <w:t>panel</w:t>
      </w:r>
    </w:p>
    <w:p w:rsidR="0004711E" w:rsidRPr="00682204" w:rsidRDefault="00A64BE7" w:rsidP="00A01438">
      <w:pPr>
        <w:pStyle w:val="NoSpacing"/>
        <w:numPr>
          <w:ilvl w:val="2"/>
          <w:numId w:val="21"/>
        </w:numPr>
        <w:rPr>
          <w:rFonts w:ascii="Arial" w:hAnsi="Arial" w:cs="Arial"/>
        </w:rPr>
      </w:pPr>
      <w:r w:rsidRPr="00682204">
        <w:rPr>
          <w:rFonts w:ascii="Arial" w:hAnsi="Arial" w:cs="Arial"/>
        </w:rPr>
        <w:t>compatibility</w:t>
      </w:r>
    </w:p>
    <w:p w:rsidR="0004711E" w:rsidRPr="00682204" w:rsidRDefault="009435CC" w:rsidP="00A01438">
      <w:pPr>
        <w:pStyle w:val="NoSpacing"/>
        <w:numPr>
          <w:ilvl w:val="2"/>
          <w:numId w:val="21"/>
        </w:numPr>
        <w:rPr>
          <w:rFonts w:ascii="Arial" w:hAnsi="Arial" w:cs="Arial"/>
        </w:rPr>
      </w:pPr>
      <w:r>
        <w:rPr>
          <w:rFonts w:ascii="Arial" w:hAnsi="Arial" w:cs="Arial"/>
        </w:rPr>
        <w:t>ABO</w:t>
      </w:r>
    </w:p>
    <w:p w:rsidR="00080C45" w:rsidRPr="00682204" w:rsidRDefault="009435CC" w:rsidP="00A01438">
      <w:pPr>
        <w:pStyle w:val="NoSpacing"/>
        <w:numPr>
          <w:ilvl w:val="2"/>
          <w:numId w:val="21"/>
        </w:numPr>
        <w:rPr>
          <w:rFonts w:ascii="Arial" w:hAnsi="Arial" w:cs="Arial"/>
        </w:rPr>
      </w:pPr>
      <w:r>
        <w:rPr>
          <w:rFonts w:ascii="Arial" w:hAnsi="Arial" w:cs="Arial"/>
        </w:rPr>
        <w:t>eluate</w:t>
      </w:r>
    </w:p>
    <w:p w:rsidR="00AE3E56" w:rsidRDefault="00AE3E56" w:rsidP="00A01438">
      <w:pPr>
        <w:pStyle w:val="NoSpacing"/>
        <w:rPr>
          <w:rFonts w:ascii="Arial" w:hAnsi="Arial" w:cs="Arial"/>
        </w:rPr>
      </w:pPr>
    </w:p>
    <w:p w:rsidR="00F140D5" w:rsidRPr="002B7B1A" w:rsidRDefault="00F140D5" w:rsidP="00A01438">
      <w:pPr>
        <w:pStyle w:val="NoSpacing"/>
        <w:numPr>
          <w:ilvl w:val="0"/>
          <w:numId w:val="21"/>
        </w:numPr>
        <w:rPr>
          <w:rFonts w:ascii="Arial" w:hAnsi="Arial" w:cs="Arial"/>
          <w:b/>
        </w:rPr>
      </w:pPr>
      <w:r w:rsidRPr="002B7B1A">
        <w:rPr>
          <w:rFonts w:ascii="Arial" w:hAnsi="Arial" w:cs="Arial"/>
          <w:b/>
        </w:rPr>
        <w:t>PRINCIPLE:</w:t>
      </w:r>
    </w:p>
    <w:p w:rsidR="00214D26" w:rsidRPr="00682204" w:rsidRDefault="00F140D5" w:rsidP="00A01438">
      <w:pPr>
        <w:pStyle w:val="NoSpacing"/>
        <w:ind w:left="360"/>
        <w:rPr>
          <w:rFonts w:ascii="Arial" w:hAnsi="Arial" w:cs="Arial"/>
        </w:rPr>
      </w:pPr>
      <w:r w:rsidRPr="00682204">
        <w:rPr>
          <w:rFonts w:ascii="Arial" w:hAnsi="Arial" w:cs="Arial"/>
        </w:rPr>
        <w:t xml:space="preserve">Once an </w:t>
      </w:r>
      <w:r w:rsidR="00080C45" w:rsidRPr="00682204">
        <w:rPr>
          <w:rFonts w:ascii="Arial" w:hAnsi="Arial" w:cs="Arial"/>
        </w:rPr>
        <w:t xml:space="preserve">unexpected </w:t>
      </w:r>
      <w:r w:rsidRPr="00682204">
        <w:rPr>
          <w:rFonts w:ascii="Arial" w:hAnsi="Arial" w:cs="Arial"/>
        </w:rPr>
        <w:t>antibody has been detected it</w:t>
      </w:r>
      <w:r w:rsidR="00080C45" w:rsidRPr="00682204">
        <w:rPr>
          <w:rFonts w:ascii="Arial" w:hAnsi="Arial" w:cs="Arial"/>
        </w:rPr>
        <w:t>s specificity</w:t>
      </w:r>
      <w:r w:rsidRPr="00682204">
        <w:rPr>
          <w:rFonts w:ascii="Arial" w:hAnsi="Arial" w:cs="Arial"/>
        </w:rPr>
        <w:t xml:space="preserve"> must be identified</w:t>
      </w:r>
      <w:r w:rsidR="00080C45" w:rsidRPr="00682204">
        <w:rPr>
          <w:rFonts w:ascii="Arial" w:hAnsi="Arial" w:cs="Arial"/>
        </w:rPr>
        <w:t xml:space="preserve"> to determine the clinical significance.</w:t>
      </w:r>
      <w:r w:rsidRPr="00682204">
        <w:rPr>
          <w:rFonts w:ascii="Arial" w:hAnsi="Arial" w:cs="Arial"/>
        </w:rPr>
        <w:t xml:space="preserve"> </w:t>
      </w:r>
      <w:r w:rsidR="00080C45" w:rsidRPr="00682204">
        <w:rPr>
          <w:rFonts w:ascii="Arial" w:hAnsi="Arial" w:cs="Arial"/>
        </w:rPr>
        <w:t xml:space="preserve">A clinically significant antibody is defined as </w:t>
      </w:r>
      <w:r w:rsidR="003E1F29" w:rsidRPr="00682204">
        <w:rPr>
          <w:rFonts w:ascii="Arial" w:hAnsi="Arial" w:cs="Arial"/>
        </w:rPr>
        <w:t>an</w:t>
      </w:r>
      <w:r w:rsidR="00080C45" w:rsidRPr="00682204">
        <w:rPr>
          <w:rFonts w:ascii="Arial" w:hAnsi="Arial" w:cs="Arial"/>
        </w:rPr>
        <w:t xml:space="preserve"> antibody that is frequently associated with hemolytic disease of the fetus and newborn (</w:t>
      </w:r>
      <w:r w:rsidR="009E48C2" w:rsidRPr="00682204">
        <w:rPr>
          <w:rFonts w:ascii="Arial" w:hAnsi="Arial" w:cs="Arial"/>
        </w:rPr>
        <w:t>HDFN), with hemolytic transfusion reactions, or with a notable decrease in the survival of transfused red cells. Antibody i</w:t>
      </w:r>
      <w:r w:rsidR="00BB6C86" w:rsidRPr="00682204">
        <w:rPr>
          <w:rFonts w:ascii="Arial" w:hAnsi="Arial" w:cs="Arial"/>
        </w:rPr>
        <w:t xml:space="preserve">dentification is </w:t>
      </w:r>
      <w:r w:rsidRPr="00682204">
        <w:rPr>
          <w:rFonts w:ascii="Arial" w:hAnsi="Arial" w:cs="Arial"/>
        </w:rPr>
        <w:t xml:space="preserve">accomplished by using a panel of </w:t>
      </w:r>
      <w:r w:rsidR="00080C45" w:rsidRPr="00682204">
        <w:rPr>
          <w:rFonts w:ascii="Arial" w:hAnsi="Arial" w:cs="Arial"/>
        </w:rPr>
        <w:t xml:space="preserve">reagent red blood </w:t>
      </w:r>
      <w:r w:rsidRPr="00682204">
        <w:rPr>
          <w:rFonts w:ascii="Arial" w:hAnsi="Arial" w:cs="Arial"/>
        </w:rPr>
        <w:t xml:space="preserve">cells, the </w:t>
      </w:r>
      <w:r w:rsidR="00BB6C86" w:rsidRPr="00682204">
        <w:rPr>
          <w:rFonts w:ascii="Arial" w:hAnsi="Arial" w:cs="Arial"/>
        </w:rPr>
        <w:t xml:space="preserve">antigen </w:t>
      </w:r>
      <w:r w:rsidRPr="00682204">
        <w:rPr>
          <w:rFonts w:ascii="Arial" w:hAnsi="Arial" w:cs="Arial"/>
        </w:rPr>
        <w:t xml:space="preserve">phenotypes of which are known. The panel is tested </w:t>
      </w:r>
      <w:r w:rsidR="00080C45" w:rsidRPr="00682204">
        <w:rPr>
          <w:rFonts w:ascii="Arial" w:hAnsi="Arial" w:cs="Arial"/>
        </w:rPr>
        <w:t>with</w:t>
      </w:r>
      <w:r w:rsidRPr="00682204">
        <w:rPr>
          <w:rFonts w:ascii="Arial" w:hAnsi="Arial" w:cs="Arial"/>
        </w:rPr>
        <w:t xml:space="preserve"> the </w:t>
      </w:r>
      <w:r w:rsidR="00BB6C86" w:rsidRPr="00682204">
        <w:rPr>
          <w:rFonts w:ascii="Arial" w:hAnsi="Arial" w:cs="Arial"/>
        </w:rPr>
        <w:t>plasma</w:t>
      </w:r>
      <w:r w:rsidRPr="00682204">
        <w:rPr>
          <w:rFonts w:ascii="Arial" w:hAnsi="Arial" w:cs="Arial"/>
        </w:rPr>
        <w:t xml:space="preserve"> and the reactions are graded and recorded. </w:t>
      </w:r>
      <w:r w:rsidR="00BB6C86" w:rsidRPr="00682204">
        <w:rPr>
          <w:rFonts w:ascii="Arial" w:hAnsi="Arial" w:cs="Arial"/>
        </w:rPr>
        <w:t xml:space="preserve">The results are compared to the </w:t>
      </w:r>
      <w:r w:rsidR="00F556F0" w:rsidRPr="00682204">
        <w:rPr>
          <w:rFonts w:ascii="Arial" w:hAnsi="Arial" w:cs="Arial"/>
        </w:rPr>
        <w:t xml:space="preserve">antibody </w:t>
      </w:r>
      <w:r w:rsidR="00BB6C86" w:rsidRPr="00682204">
        <w:rPr>
          <w:rFonts w:ascii="Arial" w:hAnsi="Arial" w:cs="Arial"/>
        </w:rPr>
        <w:t xml:space="preserve">screen and panel </w:t>
      </w:r>
      <w:proofErr w:type="spellStart"/>
      <w:r w:rsidR="00BB6C86" w:rsidRPr="00682204">
        <w:rPr>
          <w:rFonts w:ascii="Arial" w:hAnsi="Arial" w:cs="Arial"/>
        </w:rPr>
        <w:t>antigrams</w:t>
      </w:r>
      <w:proofErr w:type="spellEnd"/>
      <w:r w:rsidR="00BB6C86" w:rsidRPr="00682204">
        <w:rPr>
          <w:rFonts w:ascii="Arial" w:hAnsi="Arial" w:cs="Arial"/>
        </w:rPr>
        <w:t xml:space="preserve"> and exclusions are performed.</w:t>
      </w:r>
      <w:r w:rsidRPr="00682204">
        <w:rPr>
          <w:rFonts w:ascii="Arial" w:hAnsi="Arial" w:cs="Arial"/>
        </w:rPr>
        <w:t xml:space="preserve"> The patient’s own cells are tested with the </w:t>
      </w:r>
      <w:r w:rsidR="00BB6C86" w:rsidRPr="00682204">
        <w:rPr>
          <w:rFonts w:ascii="Arial" w:hAnsi="Arial" w:cs="Arial"/>
        </w:rPr>
        <w:t>plasma</w:t>
      </w:r>
      <w:r w:rsidRPr="00682204">
        <w:rPr>
          <w:rFonts w:ascii="Arial" w:hAnsi="Arial" w:cs="Arial"/>
        </w:rPr>
        <w:t xml:space="preserve"> as well and serve as an auto control. </w:t>
      </w:r>
      <w:r w:rsidR="00F556F0" w:rsidRPr="00682204">
        <w:rPr>
          <w:rFonts w:ascii="Arial" w:hAnsi="Arial" w:cs="Arial"/>
        </w:rPr>
        <w:t xml:space="preserve">Single antibodies usually reveal a ‘reaction pattern’ when tested with reagent red cells. </w:t>
      </w:r>
      <w:r w:rsidRPr="00682204">
        <w:rPr>
          <w:rFonts w:ascii="Arial" w:hAnsi="Arial" w:cs="Arial"/>
        </w:rPr>
        <w:t xml:space="preserve">Some antibodies show dosage and react best when there is a double expression of the gene on the red cells. The cell is said to be homozygous for the antigen. When </w:t>
      </w:r>
      <w:r w:rsidR="005173BD" w:rsidRPr="00682204">
        <w:rPr>
          <w:rFonts w:ascii="Arial" w:hAnsi="Arial" w:cs="Arial"/>
        </w:rPr>
        <w:t>the plasma</w:t>
      </w:r>
      <w:r w:rsidRPr="00682204">
        <w:rPr>
          <w:rFonts w:ascii="Arial" w:hAnsi="Arial" w:cs="Arial"/>
        </w:rPr>
        <w:t xml:space="preserve"> contains more than one antibody, </w:t>
      </w:r>
      <w:r w:rsidR="0078424E" w:rsidRPr="00682204">
        <w:rPr>
          <w:rFonts w:ascii="Arial" w:hAnsi="Arial" w:cs="Arial"/>
        </w:rPr>
        <w:t>multiple</w:t>
      </w:r>
      <w:r w:rsidRPr="00682204">
        <w:rPr>
          <w:rFonts w:ascii="Arial" w:hAnsi="Arial" w:cs="Arial"/>
        </w:rPr>
        <w:t xml:space="preserve"> antibodies may be differentiated by the reaction strength. If multiple antibodies react with the same strength, and cannot be differentiated on the basis of reactivity, they may be differentiated by </w:t>
      </w:r>
      <w:r w:rsidR="005173BD" w:rsidRPr="00682204">
        <w:rPr>
          <w:rFonts w:ascii="Arial" w:hAnsi="Arial" w:cs="Arial"/>
        </w:rPr>
        <w:t>other</w:t>
      </w:r>
      <w:r w:rsidRPr="00682204">
        <w:rPr>
          <w:rFonts w:ascii="Arial" w:hAnsi="Arial" w:cs="Arial"/>
        </w:rPr>
        <w:t xml:space="preserve"> techniques</w:t>
      </w:r>
      <w:r w:rsidR="005173BD" w:rsidRPr="00682204">
        <w:rPr>
          <w:rFonts w:ascii="Arial" w:hAnsi="Arial" w:cs="Arial"/>
        </w:rPr>
        <w:t xml:space="preserve"> such as enzyme</w:t>
      </w:r>
      <w:r w:rsidR="00D829CC" w:rsidRPr="00682204">
        <w:rPr>
          <w:rFonts w:ascii="Arial" w:hAnsi="Arial" w:cs="Arial"/>
        </w:rPr>
        <w:t xml:space="preserve">, LISS, WARM auto-adsorption, </w:t>
      </w:r>
      <w:r w:rsidR="00214D26" w:rsidRPr="00682204">
        <w:rPr>
          <w:rFonts w:ascii="Arial" w:hAnsi="Arial" w:cs="Arial"/>
        </w:rPr>
        <w:t xml:space="preserve">eluate, </w:t>
      </w:r>
      <w:r w:rsidR="00D829CC" w:rsidRPr="00682204">
        <w:rPr>
          <w:rFonts w:ascii="Arial" w:hAnsi="Arial" w:cs="Arial"/>
        </w:rPr>
        <w:t>inhibition,</w:t>
      </w:r>
      <w:r w:rsidR="00523879" w:rsidRPr="00682204">
        <w:rPr>
          <w:rFonts w:ascii="Arial" w:hAnsi="Arial" w:cs="Arial"/>
        </w:rPr>
        <w:t xml:space="preserve"> titration,</w:t>
      </w:r>
      <w:r w:rsidR="00D829CC" w:rsidRPr="00682204">
        <w:rPr>
          <w:rFonts w:ascii="Arial" w:hAnsi="Arial" w:cs="Arial"/>
        </w:rPr>
        <w:t xml:space="preserve"> room temperature or cold panels</w:t>
      </w:r>
      <w:r w:rsidRPr="00682204">
        <w:rPr>
          <w:rFonts w:ascii="Arial" w:hAnsi="Arial" w:cs="Arial"/>
        </w:rPr>
        <w:t>.</w:t>
      </w:r>
    </w:p>
    <w:p w:rsidR="00AE3E56" w:rsidRPr="00682204" w:rsidRDefault="00AE3E56" w:rsidP="00A01438">
      <w:pPr>
        <w:pStyle w:val="NoSpacing"/>
        <w:rPr>
          <w:rFonts w:ascii="Arial" w:hAnsi="Arial" w:cs="Arial"/>
        </w:rPr>
      </w:pPr>
    </w:p>
    <w:p w:rsidR="00F140D5" w:rsidRPr="00682204" w:rsidRDefault="00F140D5" w:rsidP="00A01438">
      <w:pPr>
        <w:pStyle w:val="NoSpacing"/>
        <w:ind w:left="360"/>
        <w:rPr>
          <w:rFonts w:ascii="Arial" w:hAnsi="Arial" w:cs="Arial"/>
        </w:rPr>
      </w:pPr>
      <w:r w:rsidRPr="00682204">
        <w:rPr>
          <w:rFonts w:ascii="Arial" w:hAnsi="Arial" w:cs="Arial"/>
        </w:rPr>
        <w:t>Other antibodies called High Tit</w:t>
      </w:r>
      <w:r w:rsidR="00523879" w:rsidRPr="00682204">
        <w:rPr>
          <w:rFonts w:ascii="Arial" w:hAnsi="Arial" w:cs="Arial"/>
        </w:rPr>
        <w:t>er</w:t>
      </w:r>
      <w:r w:rsidRPr="00682204">
        <w:rPr>
          <w:rFonts w:ascii="Arial" w:hAnsi="Arial" w:cs="Arial"/>
        </w:rPr>
        <w:t xml:space="preserve"> Low Avidity (HTLA) antibodies can be differentiated by titration studies. These antibodies react weakly but they show the same weak reactions out to fairly high dilutions (i.e.1 in 256 or 1 in 512). Characteristically, these antibodies give variable and sometime difficult to reproduce reactions with different antigen-positive red cell samples. These are high incidence antibodies that have been found to be neutralized with pooled human </w:t>
      </w:r>
      <w:r w:rsidR="005173BD" w:rsidRPr="00682204">
        <w:rPr>
          <w:rFonts w:ascii="Arial" w:hAnsi="Arial" w:cs="Arial"/>
        </w:rPr>
        <w:t>plasma</w:t>
      </w:r>
      <w:r w:rsidRPr="00682204">
        <w:rPr>
          <w:rFonts w:ascii="Arial" w:hAnsi="Arial" w:cs="Arial"/>
        </w:rPr>
        <w:t xml:space="preserve"> or plasma. These antibodies have not been found to be clinically significant but they do cause great difficulty in o</w:t>
      </w:r>
      <w:r w:rsidR="008B5278" w:rsidRPr="00682204">
        <w:rPr>
          <w:rFonts w:ascii="Arial" w:hAnsi="Arial" w:cs="Arial"/>
        </w:rPr>
        <w:t>btaining blood for transfusing.</w:t>
      </w:r>
      <w:r w:rsidRPr="00682204">
        <w:rPr>
          <w:rFonts w:ascii="Arial" w:hAnsi="Arial" w:cs="Arial"/>
        </w:rPr>
        <w:t xml:space="preserve"> Exampl</w:t>
      </w:r>
      <w:r w:rsidR="007C27CF" w:rsidRPr="00682204">
        <w:rPr>
          <w:rFonts w:ascii="Arial" w:hAnsi="Arial" w:cs="Arial"/>
        </w:rPr>
        <w:t>es of these antibodies are anti-</w:t>
      </w:r>
      <w:proofErr w:type="spellStart"/>
      <w:r w:rsidRPr="00682204">
        <w:rPr>
          <w:rFonts w:ascii="Arial" w:hAnsi="Arial" w:cs="Arial"/>
        </w:rPr>
        <w:t>Rg</w:t>
      </w:r>
      <w:proofErr w:type="spellEnd"/>
      <w:r w:rsidRPr="00682204">
        <w:rPr>
          <w:rFonts w:ascii="Arial" w:hAnsi="Arial" w:cs="Arial"/>
        </w:rPr>
        <w:t xml:space="preserve"> and anti-Ch.</w:t>
      </w:r>
    </w:p>
    <w:p w:rsidR="00F140D5" w:rsidRDefault="00F140D5" w:rsidP="00A01438">
      <w:pPr>
        <w:pStyle w:val="NoSpacing"/>
        <w:rPr>
          <w:rFonts w:ascii="Arial" w:hAnsi="Arial" w:cs="Arial"/>
        </w:rPr>
      </w:pPr>
    </w:p>
    <w:p w:rsidR="00557A36" w:rsidRPr="002B7B1A" w:rsidRDefault="00557A36" w:rsidP="00A01438">
      <w:pPr>
        <w:pStyle w:val="NoSpacing"/>
        <w:numPr>
          <w:ilvl w:val="0"/>
          <w:numId w:val="21"/>
        </w:numPr>
        <w:rPr>
          <w:rFonts w:ascii="Arial" w:hAnsi="Arial" w:cs="Arial"/>
          <w:b/>
        </w:rPr>
      </w:pPr>
      <w:r w:rsidRPr="002B7B1A">
        <w:rPr>
          <w:rFonts w:ascii="Arial" w:hAnsi="Arial" w:cs="Arial"/>
          <w:b/>
        </w:rPr>
        <w:t>SPECIMEN</w:t>
      </w:r>
      <w:r w:rsidR="0056244E" w:rsidRPr="002B7B1A">
        <w:rPr>
          <w:rFonts w:ascii="Arial" w:hAnsi="Arial" w:cs="Arial"/>
          <w:b/>
        </w:rPr>
        <w:t>:</w:t>
      </w:r>
    </w:p>
    <w:p w:rsidR="0056244E" w:rsidRPr="00682204" w:rsidRDefault="0056244E" w:rsidP="00A01438">
      <w:pPr>
        <w:pStyle w:val="NoSpacing"/>
        <w:numPr>
          <w:ilvl w:val="1"/>
          <w:numId w:val="21"/>
        </w:numPr>
        <w:rPr>
          <w:rFonts w:ascii="Arial" w:hAnsi="Arial" w:cs="Arial"/>
        </w:rPr>
      </w:pPr>
      <w:r w:rsidRPr="00682204">
        <w:rPr>
          <w:rFonts w:ascii="Arial" w:hAnsi="Arial" w:cs="Arial"/>
        </w:rPr>
        <w:t>EDTA anticoagulated whole blood.</w:t>
      </w:r>
    </w:p>
    <w:p w:rsidR="00014B9A" w:rsidRPr="00D16847" w:rsidRDefault="00014B9A" w:rsidP="00D16847">
      <w:pPr>
        <w:pStyle w:val="NoSpacing"/>
        <w:numPr>
          <w:ilvl w:val="1"/>
          <w:numId w:val="21"/>
        </w:numPr>
        <w:rPr>
          <w:rFonts w:ascii="Arial" w:hAnsi="Arial" w:cs="Arial"/>
        </w:rPr>
      </w:pPr>
      <w:proofErr w:type="spellStart"/>
      <w:r w:rsidRPr="00D16847">
        <w:rPr>
          <w:rFonts w:ascii="Arial" w:hAnsi="Arial" w:cs="Arial"/>
        </w:rPr>
        <w:t>Hemolyzed</w:t>
      </w:r>
      <w:proofErr w:type="spellEnd"/>
      <w:r w:rsidR="00D16847" w:rsidRPr="00D16847">
        <w:rPr>
          <w:rFonts w:ascii="Arial" w:hAnsi="Arial" w:cs="Arial"/>
        </w:rPr>
        <w:t xml:space="preserve">, </w:t>
      </w:r>
      <w:proofErr w:type="spellStart"/>
      <w:r w:rsidR="00D16847" w:rsidRPr="00D16847">
        <w:rPr>
          <w:rFonts w:ascii="Arial" w:hAnsi="Arial" w:cs="Arial"/>
        </w:rPr>
        <w:t>lipemic</w:t>
      </w:r>
      <w:proofErr w:type="spellEnd"/>
      <w:r w:rsidR="00D16847" w:rsidRPr="00D16847">
        <w:rPr>
          <w:rFonts w:ascii="Arial" w:hAnsi="Arial" w:cs="Arial"/>
        </w:rPr>
        <w:t>,</w:t>
      </w:r>
      <w:r w:rsidRPr="00D16847">
        <w:rPr>
          <w:rFonts w:ascii="Arial" w:hAnsi="Arial" w:cs="Arial"/>
        </w:rPr>
        <w:t xml:space="preserve"> and grossly icteric blood samples may cause difficulty in interpretation, and test results should be used with caution.</w:t>
      </w:r>
      <w:r w:rsidR="00273810" w:rsidRPr="00D16847">
        <w:rPr>
          <w:rFonts w:ascii="Arial" w:hAnsi="Arial" w:cs="Arial"/>
        </w:rPr>
        <w:t xml:space="preserve"> Grossly </w:t>
      </w:r>
      <w:proofErr w:type="spellStart"/>
      <w:r w:rsidR="00273810" w:rsidRPr="00D16847">
        <w:rPr>
          <w:rFonts w:ascii="Arial" w:hAnsi="Arial" w:cs="Arial"/>
        </w:rPr>
        <w:t>lipemic</w:t>
      </w:r>
      <w:proofErr w:type="spellEnd"/>
      <w:r w:rsidR="00273810" w:rsidRPr="00D16847">
        <w:rPr>
          <w:rFonts w:ascii="Arial" w:hAnsi="Arial" w:cs="Arial"/>
        </w:rPr>
        <w:t xml:space="preserve"> samples </w:t>
      </w:r>
      <w:r w:rsidR="00273810" w:rsidRPr="00D16847">
        <w:rPr>
          <w:rFonts w:ascii="Arial" w:hAnsi="Arial" w:cs="Arial"/>
        </w:rPr>
        <w:lastRenderedPageBreak/>
        <w:t xml:space="preserve">may be </w:t>
      </w:r>
      <w:r w:rsidR="00214D26" w:rsidRPr="00D16847">
        <w:rPr>
          <w:rFonts w:ascii="Arial" w:hAnsi="Arial" w:cs="Arial"/>
        </w:rPr>
        <w:t>tested by tube AHG</w:t>
      </w:r>
      <w:r w:rsidR="00F7542C" w:rsidRPr="00D16847">
        <w:rPr>
          <w:rFonts w:ascii="Arial" w:hAnsi="Arial" w:cs="Arial"/>
        </w:rPr>
        <w:t xml:space="preserve"> methods</w:t>
      </w:r>
      <w:r w:rsidR="00214D26" w:rsidRPr="00D16847">
        <w:rPr>
          <w:rFonts w:ascii="Arial" w:hAnsi="Arial" w:cs="Arial"/>
        </w:rPr>
        <w:t>. When possible, a new sample should be obtained.</w:t>
      </w:r>
    </w:p>
    <w:p w:rsidR="0056244E" w:rsidRPr="00682204" w:rsidRDefault="00273810" w:rsidP="00A01438">
      <w:pPr>
        <w:pStyle w:val="NoSpacing"/>
        <w:numPr>
          <w:ilvl w:val="1"/>
          <w:numId w:val="21"/>
        </w:numPr>
        <w:rPr>
          <w:rFonts w:ascii="Arial" w:hAnsi="Arial" w:cs="Arial"/>
        </w:rPr>
      </w:pPr>
      <w:r w:rsidRPr="00682204">
        <w:rPr>
          <w:rFonts w:ascii="Arial" w:hAnsi="Arial" w:cs="Arial"/>
        </w:rPr>
        <w:t>T</w:t>
      </w:r>
      <w:r w:rsidR="0056244E" w:rsidRPr="00682204">
        <w:rPr>
          <w:rFonts w:ascii="Arial" w:hAnsi="Arial" w:cs="Arial"/>
        </w:rPr>
        <w:t>esting</w:t>
      </w:r>
      <w:r w:rsidRPr="00682204">
        <w:rPr>
          <w:rFonts w:ascii="Arial" w:hAnsi="Arial" w:cs="Arial"/>
        </w:rPr>
        <w:t xml:space="preserve"> should be performed as soon as possible. Samples that cannot be tested immediately should be separated from cells and stored at 2-8ºC for no more than 3 days.</w:t>
      </w:r>
      <w:r w:rsidR="0056244E" w:rsidRPr="00682204">
        <w:rPr>
          <w:rFonts w:ascii="Arial" w:hAnsi="Arial" w:cs="Arial"/>
        </w:rPr>
        <w:t xml:space="preserve"> </w:t>
      </w:r>
      <w:r w:rsidR="00AA599F" w:rsidRPr="00682204">
        <w:rPr>
          <w:rFonts w:ascii="Arial" w:hAnsi="Arial" w:cs="Arial"/>
        </w:rPr>
        <w:t>Alternatively samples may be separated, and the plasma frozen for extended storage.</w:t>
      </w:r>
    </w:p>
    <w:p w:rsidR="00771F16" w:rsidRPr="00682204" w:rsidRDefault="00273810" w:rsidP="00A01438">
      <w:pPr>
        <w:pStyle w:val="NoSpacing"/>
        <w:numPr>
          <w:ilvl w:val="1"/>
          <w:numId w:val="21"/>
        </w:numPr>
        <w:rPr>
          <w:rFonts w:ascii="Arial" w:hAnsi="Arial" w:cs="Arial"/>
        </w:rPr>
      </w:pPr>
      <w:r w:rsidRPr="00682204">
        <w:rPr>
          <w:rFonts w:ascii="Arial" w:hAnsi="Arial" w:cs="Arial"/>
        </w:rPr>
        <w:t xml:space="preserve">Refer to </w:t>
      </w:r>
    </w:p>
    <w:p w:rsidR="00273810" w:rsidRPr="00682204" w:rsidRDefault="00273810" w:rsidP="00A01438">
      <w:pPr>
        <w:pStyle w:val="NoSpacing"/>
        <w:numPr>
          <w:ilvl w:val="2"/>
          <w:numId w:val="21"/>
        </w:numPr>
        <w:rPr>
          <w:rFonts w:ascii="Arial" w:hAnsi="Arial" w:cs="Arial"/>
        </w:rPr>
      </w:pPr>
      <w:r w:rsidRPr="00682204">
        <w:rPr>
          <w:rFonts w:ascii="Arial" w:hAnsi="Arial" w:cs="Arial"/>
        </w:rPr>
        <w:t>IHL-TMD-VII Flowchart Transfusion Medicine Specimen Suitability</w:t>
      </w:r>
    </w:p>
    <w:p w:rsidR="00771F16" w:rsidRPr="00B4678C" w:rsidRDefault="00771F16" w:rsidP="00A01438">
      <w:pPr>
        <w:pStyle w:val="NoSpacing"/>
        <w:numPr>
          <w:ilvl w:val="2"/>
          <w:numId w:val="21"/>
        </w:numPr>
        <w:rPr>
          <w:rFonts w:ascii="Arial" w:hAnsi="Arial" w:cs="Arial"/>
        </w:rPr>
      </w:pPr>
      <w:r w:rsidRPr="00B4678C">
        <w:rPr>
          <w:rFonts w:ascii="Arial" w:hAnsi="Arial" w:cs="Arial"/>
        </w:rPr>
        <w:t xml:space="preserve">IHL-TMD-I Criteria for Compatibility Testing </w:t>
      </w:r>
    </w:p>
    <w:p w:rsidR="00FF1BD1" w:rsidRDefault="00FF1BD1" w:rsidP="00A01438">
      <w:pPr>
        <w:pStyle w:val="NoSpacing"/>
        <w:rPr>
          <w:rFonts w:ascii="Arial" w:hAnsi="Arial" w:cs="Arial"/>
        </w:rPr>
      </w:pPr>
    </w:p>
    <w:p w:rsidR="00910ADB" w:rsidRPr="002B7B1A" w:rsidRDefault="00014B9A" w:rsidP="00A01438">
      <w:pPr>
        <w:pStyle w:val="NoSpacing"/>
        <w:numPr>
          <w:ilvl w:val="0"/>
          <w:numId w:val="21"/>
        </w:numPr>
        <w:rPr>
          <w:rFonts w:ascii="Arial" w:hAnsi="Arial" w:cs="Arial"/>
          <w:b/>
        </w:rPr>
      </w:pPr>
      <w:r w:rsidRPr="002B7B1A">
        <w:rPr>
          <w:rFonts w:ascii="Arial" w:hAnsi="Arial" w:cs="Arial"/>
          <w:b/>
        </w:rPr>
        <w:t>EQUIPMENT AND MATERIALS:</w:t>
      </w:r>
      <w:r w:rsidR="00682204" w:rsidRPr="002B7B1A">
        <w:rPr>
          <w:rFonts w:ascii="Arial" w:hAnsi="Arial" w:cs="Arial"/>
          <w:b/>
        </w:rPr>
        <w:t xml:space="preserve"> </w:t>
      </w:r>
      <w:r w:rsidR="00910ADB" w:rsidRPr="002B7B1A">
        <w:rPr>
          <w:rFonts w:ascii="Arial" w:hAnsi="Arial" w:cs="Arial"/>
          <w:b/>
        </w:rPr>
        <w:t xml:space="preserve">Refer to specific </w:t>
      </w:r>
      <w:r w:rsidR="00F7542C">
        <w:rPr>
          <w:rFonts w:ascii="Arial" w:hAnsi="Arial" w:cs="Arial"/>
          <w:b/>
        </w:rPr>
        <w:t xml:space="preserve">test </w:t>
      </w:r>
      <w:r w:rsidR="00910ADB" w:rsidRPr="002B7B1A">
        <w:rPr>
          <w:rFonts w:ascii="Arial" w:hAnsi="Arial" w:cs="Arial"/>
          <w:b/>
        </w:rPr>
        <w:t>methods for details.</w:t>
      </w:r>
    </w:p>
    <w:p w:rsidR="0004711E" w:rsidRPr="00682204" w:rsidRDefault="0004711E" w:rsidP="00A01438">
      <w:pPr>
        <w:pStyle w:val="NoSpacing"/>
        <w:numPr>
          <w:ilvl w:val="1"/>
          <w:numId w:val="21"/>
        </w:numPr>
        <w:rPr>
          <w:rFonts w:ascii="Arial" w:hAnsi="Arial" w:cs="Arial"/>
        </w:rPr>
      </w:pPr>
      <w:r w:rsidRPr="00682204">
        <w:rPr>
          <w:rFonts w:ascii="Arial" w:hAnsi="Arial" w:cs="Arial"/>
        </w:rPr>
        <w:t xml:space="preserve">IHL-TMD-III Indirect </w:t>
      </w:r>
      <w:proofErr w:type="spellStart"/>
      <w:r w:rsidRPr="00682204">
        <w:rPr>
          <w:rFonts w:ascii="Arial" w:hAnsi="Arial" w:cs="Arial"/>
        </w:rPr>
        <w:t>Antiglobulin</w:t>
      </w:r>
      <w:proofErr w:type="spellEnd"/>
      <w:r w:rsidRPr="00682204">
        <w:rPr>
          <w:rFonts w:ascii="Arial" w:hAnsi="Arial" w:cs="Arial"/>
        </w:rPr>
        <w:t xml:space="preserve"> Test, ID-MTS™ Gel Test, LISS/IMMUADD, or SIDAT or Prewarm IgG/AHG</w:t>
      </w:r>
    </w:p>
    <w:p w:rsidR="0004711E" w:rsidRPr="00682204" w:rsidRDefault="0004711E" w:rsidP="00A01438">
      <w:pPr>
        <w:pStyle w:val="NoSpacing"/>
        <w:numPr>
          <w:ilvl w:val="1"/>
          <w:numId w:val="21"/>
        </w:numPr>
        <w:rPr>
          <w:rFonts w:ascii="Arial" w:hAnsi="Arial" w:cs="Arial"/>
        </w:rPr>
      </w:pPr>
      <w:r w:rsidRPr="00682204">
        <w:rPr>
          <w:rFonts w:ascii="Arial" w:hAnsi="Arial" w:cs="Arial"/>
        </w:rPr>
        <w:t xml:space="preserve">IHL-TMD-III Direct </w:t>
      </w:r>
      <w:proofErr w:type="spellStart"/>
      <w:r w:rsidRPr="00682204">
        <w:rPr>
          <w:rFonts w:ascii="Arial" w:hAnsi="Arial" w:cs="Arial"/>
        </w:rPr>
        <w:t>Antiglobulin</w:t>
      </w:r>
      <w:proofErr w:type="spellEnd"/>
      <w:r w:rsidRPr="00682204">
        <w:rPr>
          <w:rFonts w:ascii="Arial" w:hAnsi="Arial" w:cs="Arial"/>
        </w:rPr>
        <w:t xml:space="preserve"> Test (DAT) with Differentiation</w:t>
      </w:r>
    </w:p>
    <w:p w:rsidR="0004711E" w:rsidRPr="00682204" w:rsidRDefault="0004711E" w:rsidP="00A01438">
      <w:pPr>
        <w:pStyle w:val="NoSpacing"/>
        <w:numPr>
          <w:ilvl w:val="1"/>
          <w:numId w:val="21"/>
        </w:numPr>
        <w:rPr>
          <w:rFonts w:ascii="Arial" w:hAnsi="Arial" w:cs="Arial"/>
        </w:rPr>
      </w:pPr>
      <w:r w:rsidRPr="00682204">
        <w:rPr>
          <w:rFonts w:ascii="Arial" w:hAnsi="Arial" w:cs="Arial"/>
        </w:rPr>
        <w:t>IHL-TMD-VI Elution HDH/WRH</w:t>
      </w:r>
    </w:p>
    <w:p w:rsidR="0004711E" w:rsidRPr="00682204" w:rsidRDefault="0004711E" w:rsidP="00A01438">
      <w:pPr>
        <w:pStyle w:val="NoSpacing"/>
        <w:numPr>
          <w:ilvl w:val="1"/>
          <w:numId w:val="21"/>
        </w:numPr>
        <w:rPr>
          <w:rFonts w:ascii="Arial" w:hAnsi="Arial" w:cs="Arial"/>
        </w:rPr>
      </w:pPr>
      <w:r w:rsidRPr="00682204">
        <w:rPr>
          <w:rFonts w:ascii="Arial" w:hAnsi="Arial" w:cs="Arial"/>
        </w:rPr>
        <w:t xml:space="preserve">IHL-TMD-IV </w:t>
      </w:r>
      <w:r w:rsidRPr="00200480">
        <w:rPr>
          <w:rFonts w:ascii="Arial" w:hAnsi="Arial" w:cs="Arial"/>
        </w:rPr>
        <w:t>Antigen Phenotyping</w:t>
      </w:r>
    </w:p>
    <w:p w:rsidR="00D16847" w:rsidRDefault="00D16847" w:rsidP="00A01438">
      <w:pPr>
        <w:pStyle w:val="NoSpacing"/>
        <w:rPr>
          <w:rFonts w:ascii="Arial" w:hAnsi="Arial" w:cs="Arial"/>
        </w:rPr>
      </w:pPr>
    </w:p>
    <w:p w:rsidR="00014B9A" w:rsidRPr="002B7B1A" w:rsidRDefault="00014B9A" w:rsidP="00A01438">
      <w:pPr>
        <w:pStyle w:val="NoSpacing"/>
        <w:numPr>
          <w:ilvl w:val="0"/>
          <w:numId w:val="21"/>
        </w:numPr>
        <w:rPr>
          <w:rFonts w:ascii="Arial" w:hAnsi="Arial" w:cs="Arial"/>
          <w:b/>
        </w:rPr>
      </w:pPr>
      <w:r w:rsidRPr="002B7B1A">
        <w:rPr>
          <w:rFonts w:ascii="Arial" w:hAnsi="Arial" w:cs="Arial"/>
          <w:b/>
        </w:rPr>
        <w:t>QUALITY CONTROL:</w:t>
      </w:r>
    </w:p>
    <w:p w:rsidR="00C26E7C" w:rsidRPr="00682204" w:rsidRDefault="00D418D9" w:rsidP="00A01438">
      <w:pPr>
        <w:pStyle w:val="NoSpacing"/>
        <w:ind w:left="360"/>
        <w:rPr>
          <w:rFonts w:ascii="Arial" w:hAnsi="Arial" w:cs="Arial"/>
        </w:rPr>
      </w:pPr>
      <w:r w:rsidRPr="00682204">
        <w:rPr>
          <w:rFonts w:ascii="Arial" w:hAnsi="Arial" w:cs="Arial"/>
        </w:rPr>
        <w:t xml:space="preserve">When performing antibody identification and exclusions it is essential that the </w:t>
      </w:r>
      <w:r w:rsidR="00F7542C">
        <w:rPr>
          <w:rFonts w:ascii="Arial" w:hAnsi="Arial" w:cs="Arial"/>
        </w:rPr>
        <w:t>sample</w:t>
      </w:r>
      <w:r w:rsidRPr="00682204">
        <w:rPr>
          <w:rFonts w:ascii="Arial" w:hAnsi="Arial" w:cs="Arial"/>
        </w:rPr>
        <w:t xml:space="preserve"> plasma is tested against sufficient reagent red cells that both lack and express the antigen(s) that appear to correspond to the specificity of the antibody suspected, prior to antibody identification.</w:t>
      </w:r>
    </w:p>
    <w:p w:rsidR="00D16847" w:rsidRDefault="00D16847" w:rsidP="00A01438">
      <w:pPr>
        <w:pStyle w:val="NoSpacing"/>
        <w:rPr>
          <w:rFonts w:ascii="Arial" w:hAnsi="Arial" w:cs="Arial"/>
        </w:rPr>
      </w:pPr>
    </w:p>
    <w:p w:rsidR="004544AA" w:rsidRPr="008D78AD" w:rsidRDefault="004544AA" w:rsidP="00A01438">
      <w:pPr>
        <w:pStyle w:val="NoSpacing"/>
        <w:numPr>
          <w:ilvl w:val="0"/>
          <w:numId w:val="21"/>
        </w:numPr>
        <w:rPr>
          <w:rFonts w:ascii="Arial" w:hAnsi="Arial" w:cs="Arial"/>
          <w:b/>
        </w:rPr>
      </w:pPr>
      <w:r w:rsidRPr="008D78AD">
        <w:rPr>
          <w:rFonts w:ascii="Arial" w:hAnsi="Arial" w:cs="Arial"/>
          <w:b/>
        </w:rPr>
        <w:t>SCOPE AND RELATED POLICIES</w:t>
      </w:r>
    </w:p>
    <w:p w:rsidR="008059BB" w:rsidRPr="00682204" w:rsidRDefault="008059BB" w:rsidP="00A01438">
      <w:pPr>
        <w:pStyle w:val="NoSpacing"/>
        <w:numPr>
          <w:ilvl w:val="1"/>
          <w:numId w:val="21"/>
        </w:numPr>
        <w:rPr>
          <w:rFonts w:ascii="Arial" w:hAnsi="Arial" w:cs="Arial"/>
        </w:rPr>
      </w:pPr>
      <w:r w:rsidRPr="00682204">
        <w:rPr>
          <w:rFonts w:ascii="Arial" w:hAnsi="Arial" w:cs="Arial"/>
        </w:rPr>
        <w:t>When it has been determined that the antibody screen is positive or an antibody investigation is required</w:t>
      </w:r>
      <w:r w:rsidR="00B12C75" w:rsidRPr="00682204">
        <w:rPr>
          <w:rFonts w:ascii="Arial" w:hAnsi="Arial" w:cs="Arial"/>
        </w:rPr>
        <w:t>,</w:t>
      </w:r>
      <w:r w:rsidR="00941B36" w:rsidRPr="00682204">
        <w:rPr>
          <w:rFonts w:ascii="Arial" w:hAnsi="Arial" w:cs="Arial"/>
        </w:rPr>
        <w:t xml:space="preserve"> </w:t>
      </w:r>
      <w:r w:rsidR="00B12C75" w:rsidRPr="00682204">
        <w:rPr>
          <w:rFonts w:ascii="Arial" w:hAnsi="Arial" w:cs="Arial"/>
        </w:rPr>
        <w:t xml:space="preserve">a reagent red cell panel must be tested to perform antibody identification and/or exclusion for the common clinically significant antibodies. </w:t>
      </w:r>
      <w:r w:rsidR="00441673" w:rsidRPr="00682204">
        <w:rPr>
          <w:rFonts w:ascii="Arial" w:hAnsi="Arial" w:cs="Arial"/>
        </w:rPr>
        <w:t xml:space="preserve">Other circumstances </w:t>
      </w:r>
      <w:r w:rsidR="00B12C75" w:rsidRPr="00682204">
        <w:rPr>
          <w:rFonts w:ascii="Arial" w:hAnsi="Arial" w:cs="Arial"/>
        </w:rPr>
        <w:t xml:space="preserve">that require further investigation include but not limited </w:t>
      </w:r>
      <w:r w:rsidR="00B56317" w:rsidRPr="00682204">
        <w:rPr>
          <w:rFonts w:ascii="Arial" w:hAnsi="Arial" w:cs="Arial"/>
        </w:rPr>
        <w:t>to:</w:t>
      </w:r>
      <w:r w:rsidR="00B12C75" w:rsidRPr="00682204">
        <w:rPr>
          <w:rFonts w:ascii="Arial" w:hAnsi="Arial" w:cs="Arial"/>
        </w:rPr>
        <w:t xml:space="preserve"> when ther</w:t>
      </w:r>
      <w:r w:rsidR="00941B36" w:rsidRPr="00682204">
        <w:rPr>
          <w:rFonts w:ascii="Arial" w:hAnsi="Arial" w:cs="Arial"/>
        </w:rPr>
        <w:t>e are positive or unexpected reactions found in a compatibility test either immediate spin or AHG/IAT, or an ABO test, or in an eluate test</w:t>
      </w:r>
      <w:r w:rsidR="00B12C75" w:rsidRPr="00682204">
        <w:rPr>
          <w:rFonts w:ascii="Arial" w:hAnsi="Arial" w:cs="Arial"/>
        </w:rPr>
        <w:t>.</w:t>
      </w:r>
      <w:r w:rsidR="00941B36" w:rsidRPr="00682204">
        <w:rPr>
          <w:rFonts w:ascii="Arial" w:hAnsi="Arial" w:cs="Arial"/>
        </w:rPr>
        <w:t xml:space="preserve"> </w:t>
      </w:r>
    </w:p>
    <w:p w:rsidR="00E61634" w:rsidRPr="00682204" w:rsidRDefault="00C26E7C" w:rsidP="00A01438">
      <w:pPr>
        <w:pStyle w:val="NoSpacing"/>
        <w:numPr>
          <w:ilvl w:val="1"/>
          <w:numId w:val="21"/>
        </w:numPr>
        <w:rPr>
          <w:rFonts w:ascii="Arial" w:hAnsi="Arial" w:cs="Arial"/>
        </w:rPr>
      </w:pPr>
      <w:r w:rsidRPr="00682204">
        <w:rPr>
          <w:rFonts w:ascii="Arial" w:hAnsi="Arial" w:cs="Arial"/>
        </w:rPr>
        <w:t>Routine antibody identification panels are set up with the</w:t>
      </w:r>
      <w:r w:rsidR="00525E0B" w:rsidRPr="00682204">
        <w:rPr>
          <w:rFonts w:ascii="Arial" w:hAnsi="Arial" w:cs="Arial"/>
        </w:rPr>
        <w:t xml:space="preserve"> </w:t>
      </w:r>
      <w:r w:rsidR="00441673" w:rsidRPr="00682204">
        <w:rPr>
          <w:rFonts w:ascii="Arial" w:hAnsi="Arial" w:cs="Arial"/>
        </w:rPr>
        <w:t>ID-</w:t>
      </w:r>
      <w:r w:rsidR="00E52C48" w:rsidRPr="00682204">
        <w:rPr>
          <w:rFonts w:ascii="Arial" w:hAnsi="Arial" w:cs="Arial"/>
        </w:rPr>
        <w:t>MTS</w:t>
      </w:r>
      <w:r w:rsidR="00441673" w:rsidRPr="00682204">
        <w:rPr>
          <w:rFonts w:ascii="Arial" w:hAnsi="Arial" w:cs="Arial"/>
        </w:rPr>
        <w:t>™</w:t>
      </w:r>
      <w:r w:rsidR="00E52C48" w:rsidRPr="00682204">
        <w:rPr>
          <w:rFonts w:ascii="Arial" w:hAnsi="Arial" w:cs="Arial"/>
        </w:rPr>
        <w:t xml:space="preserve"> </w:t>
      </w:r>
      <w:r w:rsidRPr="00682204">
        <w:rPr>
          <w:rFonts w:ascii="Arial" w:hAnsi="Arial" w:cs="Arial"/>
        </w:rPr>
        <w:t>Gel Test.</w:t>
      </w:r>
      <w:r w:rsidR="00E52C48" w:rsidRPr="00682204">
        <w:rPr>
          <w:rFonts w:ascii="Arial" w:hAnsi="Arial" w:cs="Arial"/>
        </w:rPr>
        <w:t xml:space="preserve"> Depending on the</w:t>
      </w:r>
      <w:r w:rsidRPr="00682204">
        <w:rPr>
          <w:rFonts w:ascii="Arial" w:hAnsi="Arial" w:cs="Arial"/>
        </w:rPr>
        <w:t xml:space="preserve"> </w:t>
      </w:r>
      <w:r w:rsidR="00E52C48" w:rsidRPr="00682204">
        <w:rPr>
          <w:rFonts w:ascii="Arial" w:hAnsi="Arial" w:cs="Arial"/>
        </w:rPr>
        <w:t xml:space="preserve">results </w:t>
      </w:r>
      <w:r w:rsidRPr="00682204">
        <w:rPr>
          <w:rFonts w:ascii="Arial" w:hAnsi="Arial" w:cs="Arial"/>
        </w:rPr>
        <w:t xml:space="preserve">of the current sample </w:t>
      </w:r>
      <w:r w:rsidR="00E52C48" w:rsidRPr="00682204">
        <w:rPr>
          <w:rFonts w:ascii="Arial" w:hAnsi="Arial" w:cs="Arial"/>
        </w:rPr>
        <w:t>and/or previous history, testing may be required in another method or phase of testing (</w:t>
      </w:r>
      <w:r w:rsidR="007916E7" w:rsidRPr="00682204">
        <w:rPr>
          <w:rFonts w:ascii="Arial" w:hAnsi="Arial" w:cs="Arial"/>
        </w:rPr>
        <w:t xml:space="preserve">i.e. </w:t>
      </w:r>
      <w:r w:rsidRPr="00682204">
        <w:rPr>
          <w:rFonts w:ascii="Arial" w:hAnsi="Arial" w:cs="Arial"/>
        </w:rPr>
        <w:t>LISS/</w:t>
      </w:r>
      <w:r w:rsidR="007916E7" w:rsidRPr="00682204">
        <w:rPr>
          <w:rFonts w:ascii="Arial" w:hAnsi="Arial" w:cs="Arial"/>
        </w:rPr>
        <w:t>IMMUADD,</w:t>
      </w:r>
      <w:r w:rsidRPr="00682204">
        <w:rPr>
          <w:rFonts w:ascii="Arial" w:hAnsi="Arial" w:cs="Arial"/>
        </w:rPr>
        <w:t xml:space="preserve"> or</w:t>
      </w:r>
      <w:r w:rsidR="00941B36" w:rsidRPr="00682204">
        <w:rPr>
          <w:rFonts w:ascii="Arial" w:hAnsi="Arial" w:cs="Arial"/>
        </w:rPr>
        <w:t xml:space="preserve"> SIDAT</w:t>
      </w:r>
      <w:r w:rsidR="007916E7" w:rsidRPr="00682204">
        <w:rPr>
          <w:rFonts w:ascii="Arial" w:hAnsi="Arial" w:cs="Arial"/>
        </w:rPr>
        <w:t xml:space="preserve"> </w:t>
      </w:r>
      <w:r w:rsidRPr="00682204">
        <w:rPr>
          <w:rFonts w:ascii="Arial" w:hAnsi="Arial" w:cs="Arial"/>
        </w:rPr>
        <w:t xml:space="preserve">or Prewarm IgG/AHG, </w:t>
      </w:r>
      <w:r w:rsidR="007916E7" w:rsidRPr="00682204">
        <w:rPr>
          <w:rFonts w:ascii="Arial" w:hAnsi="Arial" w:cs="Arial"/>
        </w:rPr>
        <w:t>etc.</w:t>
      </w:r>
      <w:r w:rsidR="00E52C48" w:rsidRPr="00682204">
        <w:rPr>
          <w:rFonts w:ascii="Arial" w:hAnsi="Arial" w:cs="Arial"/>
        </w:rPr>
        <w:t>)</w:t>
      </w:r>
    </w:p>
    <w:p w:rsidR="00444859" w:rsidRPr="00682204" w:rsidRDefault="00E61634" w:rsidP="00A01438">
      <w:pPr>
        <w:pStyle w:val="NoSpacing"/>
        <w:ind w:left="792"/>
        <w:rPr>
          <w:rFonts w:ascii="Arial" w:hAnsi="Arial" w:cs="Arial"/>
        </w:rPr>
      </w:pPr>
      <w:r w:rsidRPr="00682204">
        <w:rPr>
          <w:rFonts w:ascii="Arial" w:hAnsi="Arial" w:cs="Arial"/>
        </w:rPr>
        <w:t xml:space="preserve">Grade and record </w:t>
      </w:r>
      <w:r w:rsidR="000F171E" w:rsidRPr="00682204">
        <w:rPr>
          <w:rFonts w:ascii="Arial" w:hAnsi="Arial" w:cs="Arial"/>
        </w:rPr>
        <w:t xml:space="preserve">all </w:t>
      </w:r>
      <w:r w:rsidRPr="00682204">
        <w:rPr>
          <w:rFonts w:ascii="Arial" w:hAnsi="Arial" w:cs="Arial"/>
        </w:rPr>
        <w:t xml:space="preserve">reactions on the </w:t>
      </w:r>
      <w:proofErr w:type="spellStart"/>
      <w:r w:rsidRPr="00682204">
        <w:rPr>
          <w:rFonts w:ascii="Arial" w:hAnsi="Arial" w:cs="Arial"/>
        </w:rPr>
        <w:t>antigrams</w:t>
      </w:r>
      <w:proofErr w:type="spellEnd"/>
      <w:r w:rsidRPr="00682204">
        <w:rPr>
          <w:rFonts w:ascii="Arial" w:hAnsi="Arial" w:cs="Arial"/>
        </w:rPr>
        <w:t xml:space="preserve"> sheet</w:t>
      </w:r>
      <w:r w:rsidR="007916E7" w:rsidRPr="00682204">
        <w:rPr>
          <w:rFonts w:ascii="Arial" w:hAnsi="Arial" w:cs="Arial"/>
        </w:rPr>
        <w:t xml:space="preserve">s and indicate method of testing in the </w:t>
      </w:r>
      <w:r w:rsidR="00A26B7F" w:rsidRPr="00682204">
        <w:rPr>
          <w:rFonts w:ascii="Arial" w:hAnsi="Arial" w:cs="Arial"/>
        </w:rPr>
        <w:t xml:space="preserve">top of each </w:t>
      </w:r>
      <w:r w:rsidR="007916E7" w:rsidRPr="00682204">
        <w:rPr>
          <w:rFonts w:ascii="Arial" w:hAnsi="Arial" w:cs="Arial"/>
        </w:rPr>
        <w:t>column</w:t>
      </w:r>
      <w:r w:rsidRPr="00682204">
        <w:rPr>
          <w:rFonts w:ascii="Arial" w:hAnsi="Arial" w:cs="Arial"/>
        </w:rPr>
        <w:t>.</w:t>
      </w:r>
      <w:r w:rsidR="003E1F29" w:rsidRPr="00682204">
        <w:rPr>
          <w:rFonts w:ascii="Arial" w:hAnsi="Arial" w:cs="Arial"/>
        </w:rPr>
        <w:t xml:space="preserve"> </w:t>
      </w:r>
    </w:p>
    <w:p w:rsidR="00E61634" w:rsidRPr="00682204" w:rsidRDefault="003E1F29" w:rsidP="00A01438">
      <w:pPr>
        <w:pStyle w:val="NoSpacing"/>
        <w:ind w:left="792"/>
        <w:rPr>
          <w:rFonts w:ascii="Arial" w:hAnsi="Arial" w:cs="Arial"/>
        </w:rPr>
      </w:pPr>
      <w:r w:rsidRPr="00682204">
        <w:rPr>
          <w:rFonts w:ascii="Arial" w:hAnsi="Arial" w:cs="Arial"/>
        </w:rPr>
        <w:t xml:space="preserve">Refer to IHL-TMD-III Reading and Recording </w:t>
      </w:r>
      <w:proofErr w:type="spellStart"/>
      <w:r w:rsidRPr="00682204">
        <w:rPr>
          <w:rFonts w:ascii="Arial" w:hAnsi="Arial" w:cs="Arial"/>
        </w:rPr>
        <w:t>Hemagglutination</w:t>
      </w:r>
      <w:proofErr w:type="spellEnd"/>
      <w:r w:rsidRPr="00682204">
        <w:rPr>
          <w:rFonts w:ascii="Arial" w:hAnsi="Arial" w:cs="Arial"/>
        </w:rPr>
        <w:t xml:space="preserve"> Reactions.</w:t>
      </w:r>
    </w:p>
    <w:p w:rsidR="00B23735" w:rsidRPr="009435CC" w:rsidRDefault="00766704" w:rsidP="00A01438">
      <w:pPr>
        <w:pStyle w:val="NoSpacing"/>
        <w:numPr>
          <w:ilvl w:val="1"/>
          <w:numId w:val="21"/>
        </w:numPr>
        <w:rPr>
          <w:rFonts w:ascii="Arial" w:hAnsi="Arial" w:cs="Arial"/>
        </w:rPr>
      </w:pPr>
      <w:r w:rsidRPr="009435CC">
        <w:rPr>
          <w:rFonts w:ascii="Arial" w:hAnsi="Arial" w:cs="Arial"/>
        </w:rPr>
        <w:t>Evaluate the results and p</w:t>
      </w:r>
      <w:r w:rsidR="00E61634" w:rsidRPr="009435CC">
        <w:rPr>
          <w:rFonts w:ascii="Arial" w:hAnsi="Arial" w:cs="Arial"/>
        </w:rPr>
        <w:t>erform exclusions</w:t>
      </w:r>
      <w:r w:rsidR="00200480" w:rsidRPr="009435CC">
        <w:rPr>
          <w:rFonts w:ascii="Arial" w:hAnsi="Arial" w:cs="Arial"/>
        </w:rPr>
        <w:t xml:space="preserve"> as requ</w:t>
      </w:r>
      <w:r w:rsidRPr="009435CC">
        <w:rPr>
          <w:rFonts w:ascii="Arial" w:hAnsi="Arial" w:cs="Arial"/>
        </w:rPr>
        <w:t>ired</w:t>
      </w:r>
      <w:r w:rsidR="00200480" w:rsidRPr="009435CC">
        <w:rPr>
          <w:rFonts w:ascii="Arial" w:hAnsi="Arial" w:cs="Arial"/>
        </w:rPr>
        <w:t>:</w:t>
      </w:r>
    </w:p>
    <w:p w:rsidR="00E61634" w:rsidRPr="009435CC" w:rsidRDefault="009435CC" w:rsidP="00A01438">
      <w:pPr>
        <w:pStyle w:val="NoSpacing"/>
        <w:ind w:left="792"/>
        <w:rPr>
          <w:rFonts w:ascii="Arial" w:hAnsi="Arial" w:cs="Arial"/>
        </w:rPr>
      </w:pPr>
      <w:r>
        <w:rPr>
          <w:rFonts w:ascii="Arial" w:hAnsi="Arial" w:cs="Arial"/>
        </w:rPr>
        <w:t xml:space="preserve">Refer </w:t>
      </w:r>
      <w:r w:rsidR="00D00776">
        <w:rPr>
          <w:rFonts w:ascii="Arial" w:hAnsi="Arial" w:cs="Arial"/>
        </w:rPr>
        <w:t xml:space="preserve">to </w:t>
      </w:r>
      <w:r w:rsidR="00D00776" w:rsidRPr="009435CC">
        <w:rPr>
          <w:rFonts w:ascii="Arial" w:hAnsi="Arial" w:cs="Arial"/>
        </w:rPr>
        <w:t>–</w:t>
      </w:r>
      <w:r w:rsidR="00525E0B" w:rsidRPr="009435CC">
        <w:rPr>
          <w:rFonts w:ascii="Arial" w:hAnsi="Arial" w:cs="Arial"/>
        </w:rPr>
        <w:t xml:space="preserve"> IHL-TMD-IV </w:t>
      </w:r>
      <w:r>
        <w:rPr>
          <w:rFonts w:ascii="Arial" w:hAnsi="Arial" w:cs="Arial"/>
        </w:rPr>
        <w:t>Antibody Exclusions</w:t>
      </w:r>
      <w:r w:rsidR="00E00406" w:rsidRPr="009435CC">
        <w:rPr>
          <w:rFonts w:ascii="Arial" w:hAnsi="Arial" w:cs="Arial"/>
        </w:rPr>
        <w:t xml:space="preserve"> </w:t>
      </w:r>
    </w:p>
    <w:p w:rsidR="00B23735" w:rsidRPr="00682204" w:rsidRDefault="00B23735" w:rsidP="00A01438">
      <w:pPr>
        <w:pStyle w:val="NoSpacing"/>
        <w:numPr>
          <w:ilvl w:val="1"/>
          <w:numId w:val="21"/>
        </w:numPr>
        <w:rPr>
          <w:rFonts w:ascii="Arial" w:hAnsi="Arial" w:cs="Arial"/>
        </w:rPr>
      </w:pPr>
      <w:r w:rsidRPr="00682204">
        <w:rPr>
          <w:rFonts w:ascii="Arial" w:hAnsi="Arial" w:cs="Arial"/>
        </w:rPr>
        <w:t xml:space="preserve">Perform a DAT </w:t>
      </w:r>
    </w:p>
    <w:p w:rsidR="009435CC" w:rsidRDefault="00B23735" w:rsidP="00A01438">
      <w:pPr>
        <w:pStyle w:val="NoSpacing"/>
        <w:ind w:left="792"/>
        <w:rPr>
          <w:rFonts w:ascii="Arial" w:hAnsi="Arial" w:cs="Arial"/>
        </w:rPr>
      </w:pPr>
      <w:r w:rsidRPr="00682204">
        <w:rPr>
          <w:rFonts w:ascii="Arial" w:hAnsi="Arial" w:cs="Arial"/>
        </w:rPr>
        <w:t>R</w:t>
      </w:r>
      <w:r w:rsidR="0065478A" w:rsidRPr="00682204">
        <w:rPr>
          <w:rFonts w:ascii="Arial" w:hAnsi="Arial" w:cs="Arial"/>
        </w:rPr>
        <w:t xml:space="preserve">efer to </w:t>
      </w:r>
      <w:r w:rsidR="009435CC">
        <w:rPr>
          <w:rFonts w:ascii="Arial" w:hAnsi="Arial" w:cs="Arial"/>
        </w:rPr>
        <w:tab/>
      </w:r>
      <w:r w:rsidR="0065478A" w:rsidRPr="00682204">
        <w:rPr>
          <w:rFonts w:ascii="Arial" w:hAnsi="Arial" w:cs="Arial"/>
        </w:rPr>
        <w:t xml:space="preserve">IHL-TMD-III Direct </w:t>
      </w:r>
      <w:proofErr w:type="spellStart"/>
      <w:r w:rsidR="0065478A" w:rsidRPr="00682204">
        <w:rPr>
          <w:rFonts w:ascii="Arial" w:hAnsi="Arial" w:cs="Arial"/>
        </w:rPr>
        <w:t>Antiglobulin</w:t>
      </w:r>
      <w:proofErr w:type="spellEnd"/>
      <w:r w:rsidR="0065478A" w:rsidRPr="00682204">
        <w:rPr>
          <w:rFonts w:ascii="Arial" w:hAnsi="Arial" w:cs="Arial"/>
        </w:rPr>
        <w:t xml:space="preserve"> </w:t>
      </w:r>
      <w:r w:rsidR="007916E7" w:rsidRPr="00682204">
        <w:rPr>
          <w:rFonts w:ascii="Arial" w:hAnsi="Arial" w:cs="Arial"/>
        </w:rPr>
        <w:t xml:space="preserve">Test (DAT) with Differentiation and </w:t>
      </w:r>
    </w:p>
    <w:p w:rsidR="0065478A" w:rsidRPr="00682204" w:rsidRDefault="00D00776" w:rsidP="009435CC">
      <w:pPr>
        <w:pStyle w:val="NoSpacing"/>
        <w:ind w:left="1512" w:firstLine="648"/>
        <w:rPr>
          <w:rFonts w:ascii="Arial" w:hAnsi="Arial" w:cs="Arial"/>
        </w:rPr>
      </w:pPr>
      <w:r>
        <w:rPr>
          <w:rFonts w:ascii="Arial" w:hAnsi="Arial" w:cs="Arial"/>
        </w:rPr>
        <w:t>IHL-TMD-VI Elution HDH/WRH</w:t>
      </w:r>
    </w:p>
    <w:p w:rsidR="00200480" w:rsidRDefault="00E00406" w:rsidP="00A01438">
      <w:pPr>
        <w:pStyle w:val="NoSpacing"/>
        <w:numPr>
          <w:ilvl w:val="1"/>
          <w:numId w:val="21"/>
        </w:numPr>
        <w:rPr>
          <w:rFonts w:ascii="Arial" w:hAnsi="Arial" w:cs="Arial"/>
        </w:rPr>
      </w:pPr>
      <w:r w:rsidRPr="00682204">
        <w:rPr>
          <w:rFonts w:ascii="Arial" w:hAnsi="Arial" w:cs="Arial"/>
        </w:rPr>
        <w:t xml:space="preserve">When a patient has a clinically significant antibody or a previous history </w:t>
      </w:r>
      <w:r w:rsidR="003E1F29" w:rsidRPr="00682204">
        <w:rPr>
          <w:rFonts w:ascii="Arial" w:hAnsi="Arial" w:cs="Arial"/>
        </w:rPr>
        <w:t>of clinically significant antibodies</w:t>
      </w:r>
      <w:r w:rsidRPr="00682204">
        <w:rPr>
          <w:rFonts w:ascii="Arial" w:hAnsi="Arial" w:cs="Arial"/>
        </w:rPr>
        <w:t xml:space="preserve">, red cells lacking the corresponding antigen(s) should be </w:t>
      </w:r>
      <w:proofErr w:type="spellStart"/>
      <w:r w:rsidRPr="00682204">
        <w:rPr>
          <w:rFonts w:ascii="Arial" w:hAnsi="Arial" w:cs="Arial"/>
        </w:rPr>
        <w:t>crossmatched</w:t>
      </w:r>
      <w:proofErr w:type="spellEnd"/>
      <w:r w:rsidRPr="00682204">
        <w:rPr>
          <w:rFonts w:ascii="Arial" w:hAnsi="Arial" w:cs="Arial"/>
        </w:rPr>
        <w:t xml:space="preserve"> using an </w:t>
      </w:r>
      <w:proofErr w:type="spellStart"/>
      <w:r w:rsidRPr="00682204">
        <w:rPr>
          <w:rFonts w:ascii="Arial" w:hAnsi="Arial" w:cs="Arial"/>
        </w:rPr>
        <w:t>antiglobulin</w:t>
      </w:r>
      <w:proofErr w:type="spellEnd"/>
      <w:r w:rsidRPr="00682204">
        <w:rPr>
          <w:rFonts w:ascii="Arial" w:hAnsi="Arial" w:cs="Arial"/>
        </w:rPr>
        <w:t xml:space="preserve"> technique. </w:t>
      </w:r>
    </w:p>
    <w:p w:rsidR="00B23735" w:rsidRPr="00200480" w:rsidRDefault="00F0769E" w:rsidP="00A01438">
      <w:pPr>
        <w:pStyle w:val="NoSpacing"/>
        <w:numPr>
          <w:ilvl w:val="2"/>
          <w:numId w:val="21"/>
        </w:numPr>
        <w:rPr>
          <w:rFonts w:ascii="Arial" w:hAnsi="Arial" w:cs="Arial"/>
        </w:rPr>
      </w:pPr>
      <w:r w:rsidRPr="00200480">
        <w:rPr>
          <w:rFonts w:ascii="Arial" w:hAnsi="Arial" w:cs="Arial"/>
        </w:rPr>
        <w:lastRenderedPageBreak/>
        <w:t>For p</w:t>
      </w:r>
      <w:r w:rsidR="006F43FD" w:rsidRPr="00200480">
        <w:rPr>
          <w:rFonts w:ascii="Arial" w:hAnsi="Arial" w:cs="Arial"/>
        </w:rPr>
        <w:t>henotype</w:t>
      </w:r>
      <w:r w:rsidR="00B23735" w:rsidRPr="00200480">
        <w:rPr>
          <w:rFonts w:ascii="Arial" w:hAnsi="Arial" w:cs="Arial"/>
        </w:rPr>
        <w:t xml:space="preserve"> and crossmatch requirements:</w:t>
      </w:r>
    </w:p>
    <w:p w:rsidR="006F43FD" w:rsidRPr="00682204" w:rsidRDefault="00B23735" w:rsidP="00A01438">
      <w:pPr>
        <w:pStyle w:val="NoSpacing"/>
        <w:ind w:left="1440"/>
        <w:rPr>
          <w:rFonts w:ascii="Arial" w:hAnsi="Arial" w:cs="Arial"/>
        </w:rPr>
      </w:pPr>
      <w:r w:rsidRPr="00682204">
        <w:rPr>
          <w:rFonts w:ascii="Arial" w:hAnsi="Arial" w:cs="Arial"/>
        </w:rPr>
        <w:t>R</w:t>
      </w:r>
      <w:r w:rsidR="006F43FD" w:rsidRPr="00682204">
        <w:rPr>
          <w:rFonts w:ascii="Arial" w:hAnsi="Arial" w:cs="Arial"/>
        </w:rPr>
        <w:t xml:space="preserve">efer to IHL-TMD-IV </w:t>
      </w:r>
      <w:r w:rsidR="000F171E" w:rsidRPr="00200480">
        <w:rPr>
          <w:rFonts w:ascii="Arial" w:hAnsi="Arial" w:cs="Arial"/>
        </w:rPr>
        <w:t>Antigen Phenotyping</w:t>
      </w:r>
      <w:r w:rsidR="000F171E" w:rsidRPr="00682204">
        <w:rPr>
          <w:rFonts w:ascii="Arial" w:hAnsi="Arial" w:cs="Arial"/>
        </w:rPr>
        <w:t xml:space="preserve"> </w:t>
      </w:r>
    </w:p>
    <w:p w:rsidR="00D16847" w:rsidRDefault="00D16847" w:rsidP="00A01438">
      <w:pPr>
        <w:pStyle w:val="NoSpacing"/>
        <w:rPr>
          <w:rFonts w:ascii="Arial" w:hAnsi="Arial" w:cs="Arial"/>
          <w:highlight w:val="lightGray"/>
        </w:rPr>
      </w:pPr>
    </w:p>
    <w:p w:rsidR="00264E27" w:rsidRPr="008D78AD" w:rsidRDefault="00264E27" w:rsidP="00A01438">
      <w:pPr>
        <w:pStyle w:val="NoSpacing"/>
        <w:rPr>
          <w:rFonts w:ascii="Arial" w:hAnsi="Arial" w:cs="Arial"/>
        </w:rPr>
      </w:pPr>
    </w:p>
    <w:p w:rsidR="00A821D0" w:rsidRPr="008D78AD" w:rsidRDefault="00A821D0" w:rsidP="00A01438">
      <w:pPr>
        <w:pStyle w:val="NoSpacing"/>
        <w:numPr>
          <w:ilvl w:val="0"/>
          <w:numId w:val="21"/>
        </w:numPr>
        <w:rPr>
          <w:rFonts w:ascii="Arial" w:hAnsi="Arial" w:cs="Arial"/>
          <w:b/>
        </w:rPr>
      </w:pPr>
      <w:r w:rsidRPr="008D78AD">
        <w:rPr>
          <w:rFonts w:ascii="Arial" w:hAnsi="Arial" w:cs="Arial"/>
          <w:b/>
        </w:rPr>
        <w:t>PROCEDURE</w:t>
      </w:r>
      <w:r w:rsidR="009E3C4F" w:rsidRPr="008D78AD">
        <w:rPr>
          <w:rFonts w:ascii="Arial" w:hAnsi="Arial" w:cs="Arial"/>
          <w:b/>
        </w:rPr>
        <w:t xml:space="preserve"> </w:t>
      </w:r>
      <w:r w:rsidR="00A24842" w:rsidRPr="008D78AD">
        <w:rPr>
          <w:rFonts w:ascii="Arial" w:hAnsi="Arial" w:cs="Arial"/>
          <w:b/>
        </w:rPr>
        <w:t>step by step</w:t>
      </w:r>
      <w:r w:rsidR="009E3C4F" w:rsidRPr="008D78AD">
        <w:rPr>
          <w:rFonts w:ascii="Arial" w:hAnsi="Arial" w:cs="Arial"/>
          <w:b/>
        </w:rPr>
        <w:t xml:space="preserve"> </w:t>
      </w:r>
      <w:r w:rsidRPr="008D78AD">
        <w:rPr>
          <w:rFonts w:ascii="Arial" w:hAnsi="Arial" w:cs="Arial"/>
          <w:b/>
        </w:rPr>
        <w:t xml:space="preserve">/ </w:t>
      </w:r>
      <w:r w:rsidR="005B6884" w:rsidRPr="008D78AD">
        <w:rPr>
          <w:rFonts w:ascii="Arial" w:hAnsi="Arial" w:cs="Arial"/>
          <w:b/>
        </w:rPr>
        <w:t>Performance Specifications:</w:t>
      </w:r>
    </w:p>
    <w:p w:rsidR="00A821D0" w:rsidRPr="00682204" w:rsidRDefault="006F43FD" w:rsidP="00A01438">
      <w:pPr>
        <w:pStyle w:val="NoSpacing"/>
        <w:numPr>
          <w:ilvl w:val="1"/>
          <w:numId w:val="21"/>
        </w:numPr>
        <w:ind w:left="1080" w:hanging="720"/>
        <w:rPr>
          <w:rFonts w:ascii="Arial" w:hAnsi="Arial" w:cs="Arial"/>
        </w:rPr>
      </w:pPr>
      <w:r w:rsidRPr="008D78AD">
        <w:rPr>
          <w:rFonts w:ascii="Arial" w:hAnsi="Arial" w:cs="Arial"/>
        </w:rPr>
        <w:t xml:space="preserve">Select the </w:t>
      </w:r>
      <w:proofErr w:type="spellStart"/>
      <w:r w:rsidRPr="008D78AD">
        <w:rPr>
          <w:rFonts w:ascii="Arial" w:hAnsi="Arial" w:cs="Arial"/>
        </w:rPr>
        <w:t>antigram</w:t>
      </w:r>
      <w:proofErr w:type="spellEnd"/>
      <w:r w:rsidRPr="008D78AD">
        <w:rPr>
          <w:rFonts w:ascii="Arial" w:hAnsi="Arial" w:cs="Arial"/>
        </w:rPr>
        <w:t xml:space="preserve"> sheets for the antibody screen</w:t>
      </w:r>
      <w:r w:rsidRPr="00682204">
        <w:rPr>
          <w:rFonts w:ascii="Arial" w:hAnsi="Arial" w:cs="Arial"/>
        </w:rPr>
        <w:t xml:space="preserve"> and panel(s), </w:t>
      </w:r>
      <w:r w:rsidR="001F65D4" w:rsidRPr="00682204">
        <w:rPr>
          <w:rFonts w:ascii="Arial" w:hAnsi="Arial" w:cs="Arial"/>
        </w:rPr>
        <w:t>verifying the</w:t>
      </w:r>
      <w:r w:rsidRPr="00682204">
        <w:rPr>
          <w:rFonts w:ascii="Arial" w:hAnsi="Arial" w:cs="Arial"/>
        </w:rPr>
        <w:t xml:space="preserve"> lot numbers</w:t>
      </w:r>
      <w:r w:rsidR="00464FDA" w:rsidRPr="00682204">
        <w:rPr>
          <w:rFonts w:ascii="Arial" w:hAnsi="Arial" w:cs="Arial"/>
        </w:rPr>
        <w:t xml:space="preserve"> of the reagent red cells used. L</w:t>
      </w:r>
      <w:r w:rsidRPr="00682204">
        <w:rPr>
          <w:rFonts w:ascii="Arial" w:hAnsi="Arial" w:cs="Arial"/>
        </w:rPr>
        <w:t>abel with patient name, MR or HR number, room number, date, MLT initials.</w:t>
      </w:r>
    </w:p>
    <w:p w:rsidR="000F171E" w:rsidRPr="00682204" w:rsidRDefault="000F171E" w:rsidP="00A01438">
      <w:pPr>
        <w:pStyle w:val="NoSpacing"/>
        <w:numPr>
          <w:ilvl w:val="1"/>
          <w:numId w:val="21"/>
        </w:numPr>
        <w:ind w:left="1080" w:hanging="720"/>
        <w:rPr>
          <w:rFonts w:ascii="Arial" w:hAnsi="Arial" w:cs="Arial"/>
        </w:rPr>
      </w:pPr>
      <w:r w:rsidRPr="00682204">
        <w:rPr>
          <w:rFonts w:ascii="Arial" w:hAnsi="Arial" w:cs="Arial"/>
        </w:rPr>
        <w:t>Set up the panel in the appropriate phase</w:t>
      </w:r>
      <w:r w:rsidR="00A24842" w:rsidRPr="00682204">
        <w:rPr>
          <w:rFonts w:ascii="Arial" w:hAnsi="Arial" w:cs="Arial"/>
        </w:rPr>
        <w:t>.</w:t>
      </w:r>
    </w:p>
    <w:p w:rsidR="00B23735" w:rsidRPr="00682204" w:rsidRDefault="00A24842" w:rsidP="00A01438">
      <w:pPr>
        <w:pStyle w:val="NoSpacing"/>
        <w:numPr>
          <w:ilvl w:val="1"/>
          <w:numId w:val="21"/>
        </w:numPr>
        <w:ind w:left="1080" w:hanging="720"/>
        <w:rPr>
          <w:rFonts w:ascii="Arial" w:hAnsi="Arial" w:cs="Arial"/>
        </w:rPr>
      </w:pPr>
      <w:r w:rsidRPr="00682204">
        <w:rPr>
          <w:rFonts w:ascii="Arial" w:hAnsi="Arial" w:cs="Arial"/>
        </w:rPr>
        <w:t xml:space="preserve">Perform a DAT </w:t>
      </w:r>
    </w:p>
    <w:p w:rsidR="00B23735" w:rsidRPr="00682204" w:rsidRDefault="00B23735" w:rsidP="00A01438">
      <w:pPr>
        <w:pStyle w:val="NoSpacing"/>
        <w:ind w:left="1080"/>
        <w:rPr>
          <w:rFonts w:ascii="Arial" w:hAnsi="Arial" w:cs="Arial"/>
        </w:rPr>
      </w:pPr>
      <w:r w:rsidRPr="00682204">
        <w:rPr>
          <w:rFonts w:ascii="Arial" w:hAnsi="Arial" w:cs="Arial"/>
        </w:rPr>
        <w:t>R</w:t>
      </w:r>
      <w:r w:rsidR="00A24842" w:rsidRPr="00682204">
        <w:rPr>
          <w:rFonts w:ascii="Arial" w:hAnsi="Arial" w:cs="Arial"/>
        </w:rPr>
        <w:t xml:space="preserve">efer to IHL-TMD-VII Flowchart DAT testing and IHL-TMD-III Direct </w:t>
      </w:r>
      <w:proofErr w:type="spellStart"/>
      <w:r w:rsidR="00A24842" w:rsidRPr="00682204">
        <w:rPr>
          <w:rFonts w:ascii="Arial" w:hAnsi="Arial" w:cs="Arial"/>
        </w:rPr>
        <w:t>Antiglobulin</w:t>
      </w:r>
      <w:proofErr w:type="spellEnd"/>
      <w:r w:rsidR="00A24842" w:rsidRPr="00682204">
        <w:rPr>
          <w:rFonts w:ascii="Arial" w:hAnsi="Arial" w:cs="Arial"/>
        </w:rPr>
        <w:t xml:space="preserve"> Test (DAT) with Differentiation.</w:t>
      </w:r>
      <w:r w:rsidRPr="00682204">
        <w:rPr>
          <w:rFonts w:ascii="Arial" w:hAnsi="Arial" w:cs="Arial"/>
        </w:rPr>
        <w:t xml:space="preserve"> </w:t>
      </w:r>
    </w:p>
    <w:p w:rsidR="00B23735" w:rsidRPr="00682204" w:rsidRDefault="0080784D" w:rsidP="00A01438">
      <w:pPr>
        <w:pStyle w:val="NoSpacing"/>
        <w:numPr>
          <w:ilvl w:val="1"/>
          <w:numId w:val="21"/>
        </w:numPr>
        <w:ind w:left="1080" w:hanging="720"/>
        <w:rPr>
          <w:rFonts w:ascii="Arial" w:hAnsi="Arial" w:cs="Arial"/>
        </w:rPr>
      </w:pPr>
      <w:r w:rsidRPr="00682204">
        <w:rPr>
          <w:rFonts w:ascii="Arial" w:hAnsi="Arial" w:cs="Arial"/>
        </w:rPr>
        <w:t xml:space="preserve">Examine all antibody screen and panel results for positive and negative reactions. Positive reactions seen must be graded to assist in identifying the presence of multiple antibodies. </w:t>
      </w:r>
      <w:r w:rsidR="00B23735" w:rsidRPr="00682204">
        <w:rPr>
          <w:rFonts w:ascii="Arial" w:hAnsi="Arial" w:cs="Arial"/>
        </w:rPr>
        <w:t xml:space="preserve">Record all reactions observed for each phase of testing on the </w:t>
      </w:r>
      <w:proofErr w:type="spellStart"/>
      <w:r w:rsidR="00B23735" w:rsidRPr="00682204">
        <w:rPr>
          <w:rFonts w:ascii="Arial" w:hAnsi="Arial" w:cs="Arial"/>
        </w:rPr>
        <w:t>antigram</w:t>
      </w:r>
      <w:proofErr w:type="spellEnd"/>
      <w:r w:rsidR="00B23735" w:rsidRPr="00682204">
        <w:rPr>
          <w:rFonts w:ascii="Arial" w:hAnsi="Arial" w:cs="Arial"/>
        </w:rPr>
        <w:t xml:space="preserve"> sheets for the appropriate screen and panel tested. </w:t>
      </w:r>
    </w:p>
    <w:p w:rsidR="00B23735" w:rsidRPr="00682204" w:rsidRDefault="00B23735" w:rsidP="00A01438">
      <w:pPr>
        <w:pStyle w:val="NoSpacing"/>
        <w:ind w:left="1080"/>
        <w:rPr>
          <w:rFonts w:ascii="Arial" w:hAnsi="Arial" w:cs="Arial"/>
        </w:rPr>
      </w:pPr>
      <w:r w:rsidRPr="00682204">
        <w:rPr>
          <w:rFonts w:ascii="Arial" w:hAnsi="Arial" w:cs="Arial"/>
        </w:rPr>
        <w:t xml:space="preserve">Refer to IHL-TMD-III Reading and Recording </w:t>
      </w:r>
      <w:proofErr w:type="spellStart"/>
      <w:r w:rsidRPr="00682204">
        <w:rPr>
          <w:rFonts w:ascii="Arial" w:hAnsi="Arial" w:cs="Arial"/>
        </w:rPr>
        <w:t>Hemagglutination</w:t>
      </w:r>
      <w:proofErr w:type="spellEnd"/>
      <w:r w:rsidRPr="00682204">
        <w:rPr>
          <w:rFonts w:ascii="Arial" w:hAnsi="Arial" w:cs="Arial"/>
        </w:rPr>
        <w:t xml:space="preserve"> Reactions.</w:t>
      </w:r>
    </w:p>
    <w:p w:rsidR="000256D8" w:rsidRPr="00682204" w:rsidRDefault="00464FDA" w:rsidP="00A01438">
      <w:pPr>
        <w:pStyle w:val="NoSpacing"/>
        <w:numPr>
          <w:ilvl w:val="1"/>
          <w:numId w:val="21"/>
        </w:numPr>
        <w:ind w:left="1080" w:hanging="720"/>
        <w:rPr>
          <w:rFonts w:ascii="Arial" w:hAnsi="Arial" w:cs="Arial"/>
        </w:rPr>
      </w:pPr>
      <w:r w:rsidRPr="00682204">
        <w:rPr>
          <w:rFonts w:ascii="Arial" w:hAnsi="Arial" w:cs="Arial"/>
        </w:rPr>
        <w:t>Review</w:t>
      </w:r>
      <w:r w:rsidR="000256D8" w:rsidRPr="00682204">
        <w:rPr>
          <w:rFonts w:ascii="Arial" w:hAnsi="Arial" w:cs="Arial"/>
        </w:rPr>
        <w:t xml:space="preserve"> the patient’s clinical history (i.e. diagnosis, previous transfusion or pregnancy) and previous laboratory results/records. </w:t>
      </w:r>
      <w:r w:rsidR="0080784D" w:rsidRPr="00682204">
        <w:rPr>
          <w:rFonts w:ascii="Arial" w:hAnsi="Arial" w:cs="Arial"/>
        </w:rPr>
        <w:t xml:space="preserve">This helps to determine the possibility of the presence of alloantibodies. </w:t>
      </w:r>
      <w:r w:rsidRPr="00682204">
        <w:rPr>
          <w:rFonts w:ascii="Arial" w:hAnsi="Arial" w:cs="Arial"/>
        </w:rPr>
        <w:t>Contact other hospitals if required.</w:t>
      </w:r>
    </w:p>
    <w:p w:rsidR="00A102F2" w:rsidRDefault="0080784D" w:rsidP="00A01438">
      <w:pPr>
        <w:pStyle w:val="NoSpacing"/>
        <w:numPr>
          <w:ilvl w:val="1"/>
          <w:numId w:val="21"/>
        </w:numPr>
        <w:ind w:left="1080" w:hanging="720"/>
        <w:rPr>
          <w:rFonts w:ascii="Arial" w:hAnsi="Arial" w:cs="Arial"/>
        </w:rPr>
      </w:pPr>
      <w:r w:rsidRPr="00682204">
        <w:rPr>
          <w:rFonts w:ascii="Arial" w:hAnsi="Arial" w:cs="Arial"/>
        </w:rPr>
        <w:t xml:space="preserve">Perform antibody </w:t>
      </w:r>
      <w:r w:rsidR="00A102F2">
        <w:rPr>
          <w:rFonts w:ascii="Arial" w:hAnsi="Arial" w:cs="Arial"/>
        </w:rPr>
        <w:t>exclusions</w:t>
      </w:r>
    </w:p>
    <w:p w:rsidR="0080784D" w:rsidRPr="00682204" w:rsidRDefault="00A102F2" w:rsidP="00A01438">
      <w:pPr>
        <w:pStyle w:val="NoSpacing"/>
        <w:ind w:left="1080"/>
        <w:rPr>
          <w:rFonts w:ascii="Arial" w:hAnsi="Arial" w:cs="Arial"/>
        </w:rPr>
      </w:pPr>
      <w:r>
        <w:rPr>
          <w:rFonts w:ascii="Arial" w:hAnsi="Arial" w:cs="Arial"/>
        </w:rPr>
        <w:t>R</w:t>
      </w:r>
      <w:r w:rsidR="0080784D" w:rsidRPr="00682204">
        <w:rPr>
          <w:rFonts w:ascii="Arial" w:hAnsi="Arial" w:cs="Arial"/>
        </w:rPr>
        <w:t xml:space="preserve">efer to – IHL-TMD-IV </w:t>
      </w:r>
      <w:r w:rsidR="009435CC">
        <w:rPr>
          <w:rFonts w:ascii="Arial" w:hAnsi="Arial" w:cs="Arial"/>
        </w:rPr>
        <w:t>Antibody Exclusions</w:t>
      </w:r>
    </w:p>
    <w:p w:rsidR="00F37F17" w:rsidRPr="00682204" w:rsidRDefault="0071125F" w:rsidP="00A01438">
      <w:pPr>
        <w:pStyle w:val="NoSpacing"/>
        <w:numPr>
          <w:ilvl w:val="1"/>
          <w:numId w:val="21"/>
        </w:numPr>
        <w:ind w:left="1080" w:hanging="720"/>
        <w:rPr>
          <w:rFonts w:ascii="Arial" w:hAnsi="Arial" w:cs="Arial"/>
        </w:rPr>
      </w:pPr>
      <w:r w:rsidRPr="00682204">
        <w:rPr>
          <w:rFonts w:ascii="Arial" w:hAnsi="Arial" w:cs="Arial"/>
        </w:rPr>
        <w:t>Pre</w:t>
      </w:r>
      <w:r>
        <w:rPr>
          <w:rFonts w:ascii="Arial" w:hAnsi="Arial" w:cs="Arial"/>
        </w:rPr>
        <w:t>viously identified antibody(s</w:t>
      </w:r>
      <w:r w:rsidRPr="00682204">
        <w:rPr>
          <w:rFonts w:ascii="Arial" w:hAnsi="Arial" w:cs="Arial"/>
        </w:rPr>
        <w:t xml:space="preserve">) may or may not be reactive on subsequent investigations. </w:t>
      </w:r>
      <w:r w:rsidR="00871D3B" w:rsidRPr="00682204">
        <w:rPr>
          <w:rFonts w:ascii="Arial" w:hAnsi="Arial" w:cs="Arial"/>
        </w:rPr>
        <w:t>These are referred to as “on-file”.</w:t>
      </w:r>
    </w:p>
    <w:p w:rsidR="0075068E" w:rsidRPr="00264E27" w:rsidRDefault="0071125F" w:rsidP="00A01438">
      <w:pPr>
        <w:pStyle w:val="NoSpacing"/>
        <w:numPr>
          <w:ilvl w:val="1"/>
          <w:numId w:val="21"/>
        </w:numPr>
        <w:ind w:left="1080" w:hanging="720"/>
        <w:rPr>
          <w:rFonts w:ascii="Arial" w:hAnsi="Arial" w:cs="Arial"/>
        </w:rPr>
      </w:pPr>
      <w:r w:rsidRPr="00264E27">
        <w:rPr>
          <w:rFonts w:ascii="Arial" w:hAnsi="Arial" w:cs="Arial"/>
        </w:rPr>
        <w:t xml:space="preserve">Once an alloantibody(s) has been identified, it is best practice to show that the patient’s cells lack the corresponding antigen(s). </w:t>
      </w:r>
      <w:r w:rsidR="0075068E" w:rsidRPr="00264E27">
        <w:rPr>
          <w:rFonts w:ascii="Arial" w:hAnsi="Arial" w:cs="Arial"/>
        </w:rPr>
        <w:t xml:space="preserve">Review the </w:t>
      </w:r>
      <w:r w:rsidR="003E1F29" w:rsidRPr="00264E27">
        <w:rPr>
          <w:rFonts w:ascii="Arial" w:hAnsi="Arial" w:cs="Arial"/>
        </w:rPr>
        <w:t>patient’s</w:t>
      </w:r>
      <w:r w:rsidR="0075068E" w:rsidRPr="00264E27">
        <w:rPr>
          <w:rFonts w:ascii="Arial" w:hAnsi="Arial" w:cs="Arial"/>
        </w:rPr>
        <w:t xml:space="preserve"> transfusion history and refer to Refer to IHL-TMD-IV Antigen Phenotyping</w:t>
      </w:r>
      <w:r w:rsidR="00135F65" w:rsidRPr="00264E27">
        <w:rPr>
          <w:rFonts w:ascii="Arial" w:hAnsi="Arial" w:cs="Arial"/>
        </w:rPr>
        <w:t xml:space="preserve"> section 6, </w:t>
      </w:r>
      <w:r w:rsidR="00AA599F" w:rsidRPr="00264E27">
        <w:rPr>
          <w:rFonts w:ascii="Arial" w:hAnsi="Arial" w:cs="Arial"/>
        </w:rPr>
        <w:t>procedure</w:t>
      </w:r>
      <w:r w:rsidR="00135F65" w:rsidRPr="00264E27">
        <w:rPr>
          <w:rFonts w:ascii="Arial" w:hAnsi="Arial" w:cs="Arial"/>
        </w:rPr>
        <w:t xml:space="preserve"> notes, Patient phenotype</w:t>
      </w:r>
      <w:r w:rsidR="0075068E" w:rsidRPr="00264E27">
        <w:rPr>
          <w:rFonts w:ascii="Arial" w:hAnsi="Arial" w:cs="Arial"/>
        </w:rPr>
        <w:t xml:space="preserve">. </w:t>
      </w:r>
    </w:p>
    <w:p w:rsidR="00B508CB" w:rsidRPr="00682204" w:rsidRDefault="0075068E" w:rsidP="00A01438">
      <w:pPr>
        <w:pStyle w:val="NoSpacing"/>
        <w:ind w:left="1080"/>
        <w:rPr>
          <w:rFonts w:ascii="Arial" w:hAnsi="Arial" w:cs="Arial"/>
        </w:rPr>
      </w:pPr>
      <w:r w:rsidRPr="00682204">
        <w:rPr>
          <w:rFonts w:ascii="Arial" w:hAnsi="Arial" w:cs="Arial"/>
        </w:rPr>
        <w:t xml:space="preserve">Note: </w:t>
      </w:r>
      <w:r w:rsidR="00166F70" w:rsidRPr="00682204">
        <w:rPr>
          <w:rFonts w:ascii="Arial" w:hAnsi="Arial" w:cs="Arial"/>
        </w:rPr>
        <w:t>If a patient ha</w:t>
      </w:r>
      <w:r w:rsidRPr="00682204">
        <w:rPr>
          <w:rFonts w:ascii="Arial" w:hAnsi="Arial" w:cs="Arial"/>
        </w:rPr>
        <w:t>s not been</w:t>
      </w:r>
      <w:r w:rsidR="00141200" w:rsidRPr="00682204">
        <w:rPr>
          <w:rFonts w:ascii="Arial" w:hAnsi="Arial" w:cs="Arial"/>
        </w:rPr>
        <w:t xml:space="preserve"> recently</w:t>
      </w:r>
      <w:r w:rsidRPr="00682204">
        <w:rPr>
          <w:rFonts w:ascii="Arial" w:hAnsi="Arial" w:cs="Arial"/>
        </w:rPr>
        <w:t xml:space="preserve"> transfused </w:t>
      </w:r>
      <w:r w:rsidR="00166F70" w:rsidRPr="00682204">
        <w:rPr>
          <w:rFonts w:ascii="Arial" w:hAnsi="Arial" w:cs="Arial"/>
        </w:rPr>
        <w:t xml:space="preserve">and they are found to be positive for the antigen(s) corresponding to the identified antibody, then the results conflict with the antibody identification and further testing is required. </w:t>
      </w:r>
    </w:p>
    <w:p w:rsidR="00166F70" w:rsidRPr="00682204" w:rsidRDefault="00135F65" w:rsidP="00A01438">
      <w:pPr>
        <w:pStyle w:val="NoSpacing"/>
        <w:ind w:left="1080"/>
        <w:rPr>
          <w:rFonts w:ascii="Arial" w:hAnsi="Arial" w:cs="Arial"/>
        </w:rPr>
      </w:pPr>
      <w:r w:rsidRPr="005579A2">
        <w:rPr>
          <w:rFonts w:ascii="Arial" w:hAnsi="Arial" w:cs="Arial"/>
        </w:rPr>
        <w:t>See procedure notes</w:t>
      </w:r>
      <w:r w:rsidR="00A102F2" w:rsidRPr="005579A2">
        <w:rPr>
          <w:rFonts w:ascii="Arial" w:hAnsi="Arial" w:cs="Arial"/>
        </w:rPr>
        <w:t xml:space="preserve"> 9.1</w:t>
      </w:r>
      <w:r w:rsidRPr="005579A2">
        <w:rPr>
          <w:rFonts w:ascii="Arial" w:hAnsi="Arial" w:cs="Arial"/>
        </w:rPr>
        <w:t>.</w:t>
      </w:r>
    </w:p>
    <w:p w:rsidR="00353281" w:rsidRPr="00682204" w:rsidRDefault="00A821D0" w:rsidP="00A01438">
      <w:pPr>
        <w:pStyle w:val="NoSpacing"/>
        <w:numPr>
          <w:ilvl w:val="1"/>
          <w:numId w:val="21"/>
        </w:numPr>
        <w:ind w:left="1080" w:hanging="720"/>
        <w:rPr>
          <w:rFonts w:ascii="Arial" w:hAnsi="Arial" w:cs="Arial"/>
        </w:rPr>
      </w:pPr>
      <w:r w:rsidRPr="00682204">
        <w:rPr>
          <w:rFonts w:ascii="Arial" w:hAnsi="Arial" w:cs="Arial"/>
        </w:rPr>
        <w:t>When clinically significant antibodies cannot safely be excluded, it is recommended, where possible, to select donors negative for the antigen(s) in question. Phenotyping the patient’s cells (when possible), for the antigens corresponding to non-excluded antibodies, may be helpful in completing the exclusions.</w:t>
      </w:r>
      <w:r w:rsidR="00353281" w:rsidRPr="00682204">
        <w:rPr>
          <w:rFonts w:ascii="Arial" w:hAnsi="Arial" w:cs="Arial"/>
        </w:rPr>
        <w:t xml:space="preserve"> </w:t>
      </w:r>
    </w:p>
    <w:p w:rsidR="00BF4A24" w:rsidRPr="00682204" w:rsidRDefault="00353281" w:rsidP="00A01438">
      <w:pPr>
        <w:pStyle w:val="NoSpacing"/>
        <w:ind w:left="1440"/>
        <w:rPr>
          <w:rFonts w:ascii="Arial" w:hAnsi="Arial" w:cs="Arial"/>
        </w:rPr>
      </w:pPr>
      <w:r w:rsidRPr="00682204">
        <w:rPr>
          <w:rFonts w:ascii="Arial" w:hAnsi="Arial" w:cs="Arial"/>
        </w:rPr>
        <w:t>Example: Patient has Anti-</w:t>
      </w:r>
      <w:r w:rsidR="00A01438">
        <w:rPr>
          <w:rFonts w:ascii="Arial" w:hAnsi="Arial" w:cs="Arial"/>
        </w:rPr>
        <w:t>e</w:t>
      </w:r>
      <w:r w:rsidRPr="00682204">
        <w:rPr>
          <w:rFonts w:ascii="Arial" w:hAnsi="Arial" w:cs="Arial"/>
        </w:rPr>
        <w:t xml:space="preserve">, cannot exclude </w:t>
      </w:r>
      <w:r w:rsidR="00A01438">
        <w:rPr>
          <w:rFonts w:ascii="Arial" w:hAnsi="Arial" w:cs="Arial"/>
        </w:rPr>
        <w:t>Anti-S</w:t>
      </w:r>
      <w:r w:rsidRPr="00682204">
        <w:rPr>
          <w:rFonts w:ascii="Arial" w:hAnsi="Arial" w:cs="Arial"/>
        </w:rPr>
        <w:t xml:space="preserve">: </w:t>
      </w:r>
    </w:p>
    <w:p w:rsidR="008E60DA" w:rsidRPr="00682204" w:rsidRDefault="00BF4A24" w:rsidP="00A01438">
      <w:pPr>
        <w:pStyle w:val="NoSpacing"/>
        <w:ind w:left="1440" w:firstLine="720"/>
        <w:rPr>
          <w:rFonts w:ascii="Arial" w:hAnsi="Arial" w:cs="Arial"/>
        </w:rPr>
      </w:pPr>
      <w:r w:rsidRPr="00682204">
        <w:rPr>
          <w:rFonts w:ascii="Arial" w:hAnsi="Arial" w:cs="Arial"/>
        </w:rPr>
        <w:t xml:space="preserve">If </w:t>
      </w:r>
      <w:r w:rsidRPr="005579A2">
        <w:rPr>
          <w:rFonts w:ascii="Arial" w:hAnsi="Arial" w:cs="Arial"/>
          <w:i/>
        </w:rPr>
        <w:t>unable</w:t>
      </w:r>
      <w:r w:rsidRPr="00682204">
        <w:rPr>
          <w:rFonts w:ascii="Arial" w:hAnsi="Arial" w:cs="Arial"/>
        </w:rPr>
        <w:t xml:space="preserve"> to phenotype</w:t>
      </w:r>
      <w:r w:rsidR="0075068E" w:rsidRPr="00682204">
        <w:rPr>
          <w:rFonts w:ascii="Arial" w:hAnsi="Arial" w:cs="Arial"/>
        </w:rPr>
        <w:t xml:space="preserve"> </w:t>
      </w:r>
      <w:r w:rsidR="00A01438">
        <w:rPr>
          <w:rFonts w:ascii="Arial" w:hAnsi="Arial" w:cs="Arial"/>
        </w:rPr>
        <w:t xml:space="preserve">patient sample </w:t>
      </w:r>
      <w:r w:rsidR="0075068E" w:rsidRPr="00682204">
        <w:rPr>
          <w:rFonts w:ascii="Arial" w:hAnsi="Arial" w:cs="Arial"/>
        </w:rPr>
        <w:t xml:space="preserve">for the </w:t>
      </w:r>
      <w:r w:rsidR="00A01438">
        <w:rPr>
          <w:rFonts w:ascii="Arial" w:hAnsi="Arial" w:cs="Arial"/>
        </w:rPr>
        <w:t>S</w:t>
      </w:r>
      <w:r w:rsidR="0075068E" w:rsidRPr="00682204">
        <w:rPr>
          <w:rFonts w:ascii="Arial" w:hAnsi="Arial" w:cs="Arial"/>
        </w:rPr>
        <w:t xml:space="preserve"> antigen</w:t>
      </w:r>
      <w:r w:rsidR="008E60DA" w:rsidRPr="00682204">
        <w:rPr>
          <w:rFonts w:ascii="Arial" w:hAnsi="Arial" w:cs="Arial"/>
        </w:rPr>
        <w:t xml:space="preserve">: </w:t>
      </w:r>
    </w:p>
    <w:p w:rsidR="00BF4A24" w:rsidRPr="00682204" w:rsidRDefault="005579A2" w:rsidP="00A01438">
      <w:pPr>
        <w:pStyle w:val="NoSpacing"/>
        <w:numPr>
          <w:ilvl w:val="0"/>
          <w:numId w:val="22"/>
        </w:numPr>
        <w:rPr>
          <w:rFonts w:ascii="Arial" w:hAnsi="Arial" w:cs="Arial"/>
        </w:rPr>
      </w:pPr>
      <w:r>
        <w:rPr>
          <w:rFonts w:ascii="Arial" w:hAnsi="Arial" w:cs="Arial"/>
        </w:rPr>
        <w:t xml:space="preserve">transfuse </w:t>
      </w:r>
      <w:r w:rsidR="00BF4A24" w:rsidRPr="00682204">
        <w:rPr>
          <w:rFonts w:ascii="Arial" w:hAnsi="Arial" w:cs="Arial"/>
        </w:rPr>
        <w:t>with</w:t>
      </w:r>
      <w:r w:rsidR="00871D3B" w:rsidRPr="00682204">
        <w:rPr>
          <w:rFonts w:ascii="Arial" w:hAnsi="Arial" w:cs="Arial"/>
        </w:rPr>
        <w:t xml:space="preserve"> </w:t>
      </w:r>
      <w:r w:rsidR="00A01438">
        <w:rPr>
          <w:rFonts w:ascii="Arial" w:hAnsi="Arial" w:cs="Arial"/>
        </w:rPr>
        <w:t>e</w:t>
      </w:r>
      <w:r w:rsidR="00871D3B" w:rsidRPr="00682204">
        <w:rPr>
          <w:rFonts w:ascii="Arial" w:hAnsi="Arial" w:cs="Arial"/>
        </w:rPr>
        <w:t xml:space="preserve"> and </w:t>
      </w:r>
      <w:r w:rsidR="00A01438">
        <w:rPr>
          <w:rFonts w:ascii="Arial" w:hAnsi="Arial" w:cs="Arial"/>
        </w:rPr>
        <w:t>S</w:t>
      </w:r>
      <w:r w:rsidR="00BF4A24" w:rsidRPr="00682204">
        <w:rPr>
          <w:rFonts w:ascii="Arial" w:hAnsi="Arial" w:cs="Arial"/>
        </w:rPr>
        <w:t xml:space="preserve"> negative RBC’s </w:t>
      </w:r>
    </w:p>
    <w:p w:rsidR="00BF4A24" w:rsidRPr="00682204" w:rsidRDefault="00BF4A24" w:rsidP="00A01438">
      <w:pPr>
        <w:pStyle w:val="NoSpacing"/>
        <w:ind w:left="1440" w:firstLine="720"/>
        <w:rPr>
          <w:rFonts w:ascii="Arial" w:hAnsi="Arial" w:cs="Arial"/>
        </w:rPr>
      </w:pPr>
      <w:r w:rsidRPr="00682204">
        <w:rPr>
          <w:rFonts w:ascii="Arial" w:hAnsi="Arial" w:cs="Arial"/>
        </w:rPr>
        <w:t xml:space="preserve">If </w:t>
      </w:r>
      <w:r w:rsidRPr="005579A2">
        <w:rPr>
          <w:rFonts w:ascii="Arial" w:hAnsi="Arial" w:cs="Arial"/>
          <w:i/>
        </w:rPr>
        <w:t>able</w:t>
      </w:r>
      <w:r w:rsidRPr="00682204">
        <w:rPr>
          <w:rFonts w:ascii="Arial" w:hAnsi="Arial" w:cs="Arial"/>
        </w:rPr>
        <w:t xml:space="preserve"> </w:t>
      </w:r>
      <w:r w:rsidR="00353281" w:rsidRPr="00682204">
        <w:rPr>
          <w:rFonts w:ascii="Arial" w:hAnsi="Arial" w:cs="Arial"/>
        </w:rPr>
        <w:t>phenotype the patient</w:t>
      </w:r>
      <w:r w:rsidR="00A01438">
        <w:rPr>
          <w:rFonts w:ascii="Arial" w:hAnsi="Arial" w:cs="Arial"/>
        </w:rPr>
        <w:t xml:space="preserve"> sample</w:t>
      </w:r>
      <w:r w:rsidR="00353281" w:rsidRPr="00682204">
        <w:rPr>
          <w:rFonts w:ascii="Arial" w:hAnsi="Arial" w:cs="Arial"/>
        </w:rPr>
        <w:t xml:space="preserve"> for the </w:t>
      </w:r>
      <w:r w:rsidR="00A01438">
        <w:rPr>
          <w:rFonts w:ascii="Arial" w:hAnsi="Arial" w:cs="Arial"/>
        </w:rPr>
        <w:t>S</w:t>
      </w:r>
      <w:r w:rsidR="00353281" w:rsidRPr="00682204">
        <w:rPr>
          <w:rFonts w:ascii="Arial" w:hAnsi="Arial" w:cs="Arial"/>
        </w:rPr>
        <w:t xml:space="preserve"> antigen</w:t>
      </w:r>
      <w:r w:rsidRPr="00682204">
        <w:rPr>
          <w:rFonts w:ascii="Arial" w:hAnsi="Arial" w:cs="Arial"/>
        </w:rPr>
        <w:t xml:space="preserve">: </w:t>
      </w:r>
    </w:p>
    <w:p w:rsidR="00BF4A24" w:rsidRPr="00682204" w:rsidRDefault="00BF4A24" w:rsidP="00A01438">
      <w:pPr>
        <w:pStyle w:val="NoSpacing"/>
        <w:numPr>
          <w:ilvl w:val="0"/>
          <w:numId w:val="22"/>
        </w:numPr>
        <w:rPr>
          <w:rFonts w:ascii="Arial" w:hAnsi="Arial" w:cs="Arial"/>
        </w:rPr>
      </w:pPr>
      <w:r w:rsidRPr="00682204">
        <w:rPr>
          <w:rFonts w:ascii="Arial" w:hAnsi="Arial" w:cs="Arial"/>
        </w:rPr>
        <w:t>i</w:t>
      </w:r>
      <w:r w:rsidR="00353281" w:rsidRPr="00682204">
        <w:rPr>
          <w:rFonts w:ascii="Arial" w:hAnsi="Arial" w:cs="Arial"/>
        </w:rPr>
        <w:t xml:space="preserve">f </w:t>
      </w:r>
      <w:r w:rsidR="00A01438">
        <w:rPr>
          <w:rFonts w:ascii="Arial" w:hAnsi="Arial" w:cs="Arial"/>
        </w:rPr>
        <w:t>S</w:t>
      </w:r>
      <w:r w:rsidR="00353281" w:rsidRPr="00682204">
        <w:rPr>
          <w:rFonts w:ascii="Arial" w:hAnsi="Arial" w:cs="Arial"/>
        </w:rPr>
        <w:t xml:space="preserve"> positive, the Anti-</w:t>
      </w:r>
      <w:r w:rsidR="00A01438">
        <w:rPr>
          <w:rFonts w:ascii="Arial" w:hAnsi="Arial" w:cs="Arial"/>
        </w:rPr>
        <w:t>S</w:t>
      </w:r>
      <w:r w:rsidR="00353281" w:rsidRPr="00682204">
        <w:rPr>
          <w:rFonts w:ascii="Arial" w:hAnsi="Arial" w:cs="Arial"/>
        </w:rPr>
        <w:t xml:space="preserve"> can be excluded, </w:t>
      </w:r>
      <w:r w:rsidR="00A102F2">
        <w:rPr>
          <w:rFonts w:ascii="Arial" w:hAnsi="Arial" w:cs="Arial"/>
        </w:rPr>
        <w:t xml:space="preserve">transfuse with </w:t>
      </w:r>
      <w:r w:rsidR="00A01438">
        <w:rPr>
          <w:rFonts w:ascii="Arial" w:hAnsi="Arial" w:cs="Arial"/>
        </w:rPr>
        <w:t>e</w:t>
      </w:r>
      <w:r w:rsidR="00A102F2">
        <w:rPr>
          <w:rFonts w:ascii="Arial" w:hAnsi="Arial" w:cs="Arial"/>
        </w:rPr>
        <w:t xml:space="preserve"> </w:t>
      </w:r>
      <w:r w:rsidR="008E60DA" w:rsidRPr="00682204">
        <w:rPr>
          <w:rFonts w:ascii="Arial" w:hAnsi="Arial" w:cs="Arial"/>
        </w:rPr>
        <w:t>negative, (</w:t>
      </w:r>
      <w:r w:rsidR="00A01438">
        <w:rPr>
          <w:rFonts w:ascii="Arial" w:hAnsi="Arial" w:cs="Arial"/>
        </w:rPr>
        <w:t>S</w:t>
      </w:r>
      <w:r w:rsidR="008E60DA" w:rsidRPr="00682204">
        <w:rPr>
          <w:rFonts w:ascii="Arial" w:hAnsi="Arial" w:cs="Arial"/>
        </w:rPr>
        <w:t xml:space="preserve"> phenotype not required for donor)</w:t>
      </w:r>
    </w:p>
    <w:p w:rsidR="00F37F17" w:rsidRPr="00682204" w:rsidRDefault="00A01438" w:rsidP="00A01438">
      <w:pPr>
        <w:pStyle w:val="NoSpacing"/>
        <w:numPr>
          <w:ilvl w:val="0"/>
          <w:numId w:val="22"/>
        </w:numPr>
        <w:rPr>
          <w:rFonts w:ascii="Arial" w:hAnsi="Arial" w:cs="Arial"/>
        </w:rPr>
      </w:pPr>
      <w:r>
        <w:rPr>
          <w:rFonts w:ascii="Arial" w:hAnsi="Arial" w:cs="Arial"/>
        </w:rPr>
        <w:t>if S</w:t>
      </w:r>
      <w:r w:rsidR="00353281" w:rsidRPr="00682204">
        <w:rPr>
          <w:rFonts w:ascii="Arial" w:hAnsi="Arial" w:cs="Arial"/>
        </w:rPr>
        <w:t xml:space="preserve"> negative</w:t>
      </w:r>
      <w:r w:rsidR="008E60DA" w:rsidRPr="00682204">
        <w:rPr>
          <w:rFonts w:ascii="Arial" w:hAnsi="Arial" w:cs="Arial"/>
        </w:rPr>
        <w:t>,</w:t>
      </w:r>
      <w:r w:rsidR="00353281" w:rsidRPr="00682204">
        <w:rPr>
          <w:rFonts w:ascii="Arial" w:hAnsi="Arial" w:cs="Arial"/>
        </w:rPr>
        <w:t xml:space="preserve"> transfuse with </w:t>
      </w:r>
      <w:r>
        <w:rPr>
          <w:rFonts w:ascii="Arial" w:hAnsi="Arial" w:cs="Arial"/>
        </w:rPr>
        <w:t>e</w:t>
      </w:r>
      <w:r w:rsidR="00BF4A24" w:rsidRPr="00682204">
        <w:rPr>
          <w:rFonts w:ascii="Arial" w:hAnsi="Arial" w:cs="Arial"/>
        </w:rPr>
        <w:t xml:space="preserve"> and </w:t>
      </w:r>
      <w:r>
        <w:rPr>
          <w:rFonts w:ascii="Arial" w:hAnsi="Arial" w:cs="Arial"/>
        </w:rPr>
        <w:t>S</w:t>
      </w:r>
      <w:r w:rsidR="008E60DA" w:rsidRPr="00682204">
        <w:rPr>
          <w:rFonts w:ascii="Arial" w:hAnsi="Arial" w:cs="Arial"/>
        </w:rPr>
        <w:t xml:space="preserve"> negative RBC’s</w:t>
      </w:r>
    </w:p>
    <w:p w:rsidR="00B508CB" w:rsidRPr="00682204" w:rsidRDefault="00474452" w:rsidP="00A01438">
      <w:pPr>
        <w:pStyle w:val="NoSpacing"/>
        <w:numPr>
          <w:ilvl w:val="1"/>
          <w:numId w:val="21"/>
        </w:numPr>
        <w:ind w:left="1080" w:hanging="720"/>
        <w:rPr>
          <w:rFonts w:ascii="Arial" w:hAnsi="Arial" w:cs="Arial"/>
        </w:rPr>
      </w:pPr>
      <w:r w:rsidRPr="00682204">
        <w:rPr>
          <w:rFonts w:ascii="Arial" w:hAnsi="Arial" w:cs="Arial"/>
        </w:rPr>
        <w:lastRenderedPageBreak/>
        <w:t>Requirements for c</w:t>
      </w:r>
      <w:r w:rsidR="004152E8" w:rsidRPr="00682204">
        <w:rPr>
          <w:rFonts w:ascii="Arial" w:hAnsi="Arial" w:cs="Arial"/>
        </w:rPr>
        <w:t>rossmatch</w:t>
      </w:r>
      <w:r w:rsidR="008E60DA" w:rsidRPr="00682204">
        <w:rPr>
          <w:rFonts w:ascii="Arial" w:hAnsi="Arial" w:cs="Arial"/>
        </w:rPr>
        <w:t xml:space="preserve"> [Immediate spin (IS) or IS AND ‘FULL’ (AHG)]</w:t>
      </w:r>
      <w:r w:rsidR="004152E8" w:rsidRPr="00682204">
        <w:rPr>
          <w:rFonts w:ascii="Arial" w:hAnsi="Arial" w:cs="Arial"/>
        </w:rPr>
        <w:t xml:space="preserve"> </w:t>
      </w:r>
      <w:r w:rsidR="004152E8" w:rsidRPr="00FF1BD1">
        <w:rPr>
          <w:rFonts w:ascii="Arial" w:hAnsi="Arial" w:cs="Arial"/>
          <w:i/>
        </w:rPr>
        <w:t>and</w:t>
      </w:r>
      <w:r w:rsidR="004152E8" w:rsidRPr="00682204">
        <w:rPr>
          <w:rFonts w:ascii="Arial" w:hAnsi="Arial" w:cs="Arial"/>
        </w:rPr>
        <w:t xml:space="preserve"> donor </w:t>
      </w:r>
      <w:r w:rsidR="008E60DA" w:rsidRPr="00682204">
        <w:rPr>
          <w:rFonts w:ascii="Arial" w:hAnsi="Arial" w:cs="Arial"/>
        </w:rPr>
        <w:t xml:space="preserve">unit </w:t>
      </w:r>
      <w:r w:rsidR="004152E8" w:rsidRPr="00682204">
        <w:rPr>
          <w:rFonts w:ascii="Arial" w:hAnsi="Arial" w:cs="Arial"/>
        </w:rPr>
        <w:t>phenotyping depends on the antibody(s) identified</w:t>
      </w:r>
      <w:r w:rsidR="00FF1BD1">
        <w:rPr>
          <w:rFonts w:ascii="Arial" w:hAnsi="Arial" w:cs="Arial"/>
        </w:rPr>
        <w:t>, including any previously identified antibody(s).</w:t>
      </w:r>
    </w:p>
    <w:p w:rsidR="009E6CDD" w:rsidRPr="00682204" w:rsidRDefault="009E6CDD" w:rsidP="00A01438">
      <w:pPr>
        <w:pStyle w:val="NoSpacing"/>
        <w:ind w:left="1080"/>
        <w:rPr>
          <w:rFonts w:ascii="Arial" w:hAnsi="Arial" w:cs="Arial"/>
        </w:rPr>
      </w:pPr>
      <w:r w:rsidRPr="00682204">
        <w:rPr>
          <w:rFonts w:ascii="Arial" w:hAnsi="Arial" w:cs="Arial"/>
        </w:rPr>
        <w:t>REFER to IHL-TMD-IV Antigen Phenotyping:</w:t>
      </w:r>
      <w:r w:rsidR="00A821D0" w:rsidRPr="00682204">
        <w:rPr>
          <w:rFonts w:ascii="Arial" w:hAnsi="Arial" w:cs="Arial"/>
        </w:rPr>
        <w:t xml:space="preserve"> </w:t>
      </w:r>
    </w:p>
    <w:p w:rsidR="00DC5700" w:rsidRPr="00682204" w:rsidRDefault="00DC5700" w:rsidP="00A01438">
      <w:pPr>
        <w:pStyle w:val="NoSpacing"/>
        <w:numPr>
          <w:ilvl w:val="1"/>
          <w:numId w:val="21"/>
        </w:numPr>
        <w:ind w:left="1080" w:hanging="720"/>
        <w:rPr>
          <w:rFonts w:ascii="Arial" w:hAnsi="Arial" w:cs="Arial"/>
        </w:rPr>
      </w:pPr>
      <w:r w:rsidRPr="00682204">
        <w:rPr>
          <w:rFonts w:ascii="Arial" w:hAnsi="Arial" w:cs="Arial"/>
        </w:rPr>
        <w:t>Complete the following checklist to ensure that all steps have been completed: Refer to IHL-TMD-IV Antibody Investigation Checklist</w:t>
      </w:r>
    </w:p>
    <w:p w:rsidR="00557A36" w:rsidRPr="00682204" w:rsidRDefault="00557A36" w:rsidP="00A01438">
      <w:pPr>
        <w:pStyle w:val="NoSpacing"/>
        <w:numPr>
          <w:ilvl w:val="1"/>
          <w:numId w:val="21"/>
        </w:numPr>
        <w:ind w:left="1080" w:hanging="720"/>
        <w:rPr>
          <w:rFonts w:ascii="Arial" w:hAnsi="Arial" w:cs="Arial"/>
        </w:rPr>
      </w:pPr>
      <w:r w:rsidRPr="00682204">
        <w:rPr>
          <w:rFonts w:ascii="Arial" w:hAnsi="Arial" w:cs="Arial"/>
        </w:rPr>
        <w:t xml:space="preserve">Report the result of the antibody investigation and identification. </w:t>
      </w:r>
      <w:r w:rsidR="00AA599F" w:rsidRPr="00682204">
        <w:rPr>
          <w:rFonts w:ascii="Arial" w:hAnsi="Arial" w:cs="Arial"/>
        </w:rPr>
        <w:t>See</w:t>
      </w:r>
      <w:r w:rsidRPr="00682204">
        <w:rPr>
          <w:rFonts w:ascii="Arial" w:hAnsi="Arial" w:cs="Arial"/>
        </w:rPr>
        <w:t xml:space="preserve"> </w:t>
      </w:r>
      <w:r w:rsidR="00C837E8" w:rsidRPr="00682204">
        <w:rPr>
          <w:rFonts w:ascii="Arial" w:hAnsi="Arial" w:cs="Arial"/>
        </w:rPr>
        <w:t>REPORTING.</w:t>
      </w:r>
    </w:p>
    <w:p w:rsidR="00B11C9C" w:rsidRDefault="00B11C9C" w:rsidP="00A01438">
      <w:pPr>
        <w:pStyle w:val="NoSpacing"/>
        <w:rPr>
          <w:rFonts w:ascii="Arial" w:hAnsi="Arial" w:cs="Arial"/>
        </w:rPr>
      </w:pPr>
    </w:p>
    <w:p w:rsidR="00DC5700" w:rsidRPr="00FF1BD1" w:rsidRDefault="00DC5700" w:rsidP="00A01438">
      <w:pPr>
        <w:pStyle w:val="NoSpacing"/>
        <w:numPr>
          <w:ilvl w:val="0"/>
          <w:numId w:val="21"/>
        </w:numPr>
        <w:rPr>
          <w:rFonts w:ascii="Arial" w:hAnsi="Arial" w:cs="Arial"/>
          <w:b/>
        </w:rPr>
      </w:pPr>
      <w:r w:rsidRPr="00FF1BD1">
        <w:rPr>
          <w:rFonts w:ascii="Arial" w:hAnsi="Arial" w:cs="Arial"/>
          <w:b/>
        </w:rPr>
        <w:t>REPORTING:</w:t>
      </w:r>
    </w:p>
    <w:p w:rsidR="00DC5700" w:rsidRPr="00682204" w:rsidRDefault="0071125F" w:rsidP="00A01438">
      <w:pPr>
        <w:pStyle w:val="NoSpacing"/>
        <w:numPr>
          <w:ilvl w:val="1"/>
          <w:numId w:val="21"/>
        </w:numPr>
        <w:rPr>
          <w:rFonts w:ascii="Arial" w:hAnsi="Arial" w:cs="Arial"/>
        </w:rPr>
      </w:pPr>
      <w:r w:rsidRPr="00682204">
        <w:rPr>
          <w:rFonts w:ascii="Arial" w:hAnsi="Arial" w:cs="Arial"/>
        </w:rPr>
        <w:t>Report the name of</w:t>
      </w:r>
      <w:r>
        <w:rPr>
          <w:rFonts w:ascii="Arial" w:hAnsi="Arial" w:cs="Arial"/>
        </w:rPr>
        <w:t xml:space="preserve"> the antibody(s</w:t>
      </w:r>
      <w:r w:rsidRPr="00682204">
        <w:rPr>
          <w:rFonts w:ascii="Arial" w:hAnsi="Arial" w:cs="Arial"/>
        </w:rPr>
        <w:t>) identified, example: Anti-E</w:t>
      </w:r>
    </w:p>
    <w:p w:rsidR="00C837E8" w:rsidRPr="00682204" w:rsidRDefault="00C837E8" w:rsidP="00A01438">
      <w:pPr>
        <w:pStyle w:val="NoSpacing"/>
        <w:numPr>
          <w:ilvl w:val="1"/>
          <w:numId w:val="21"/>
        </w:numPr>
        <w:rPr>
          <w:rFonts w:ascii="Arial" w:hAnsi="Arial" w:cs="Arial"/>
        </w:rPr>
      </w:pPr>
      <w:r w:rsidRPr="00682204">
        <w:rPr>
          <w:rFonts w:ascii="Arial" w:hAnsi="Arial" w:cs="Arial"/>
        </w:rPr>
        <w:t>Unidentified antibodies or unexplained reactions may be repo</w:t>
      </w:r>
      <w:r w:rsidR="00302534" w:rsidRPr="00682204">
        <w:rPr>
          <w:rFonts w:ascii="Arial" w:hAnsi="Arial" w:cs="Arial"/>
        </w:rPr>
        <w:t>rted as Non-Specific Reactivity (after the investigation is complete).</w:t>
      </w:r>
    </w:p>
    <w:p w:rsidR="00B0041D" w:rsidRPr="00682204" w:rsidRDefault="00B0041D" w:rsidP="00A01438">
      <w:pPr>
        <w:pStyle w:val="NoSpacing"/>
        <w:numPr>
          <w:ilvl w:val="1"/>
          <w:numId w:val="21"/>
        </w:numPr>
        <w:rPr>
          <w:rFonts w:ascii="Arial" w:hAnsi="Arial" w:cs="Arial"/>
        </w:rPr>
      </w:pPr>
      <w:r w:rsidRPr="00682204">
        <w:rPr>
          <w:rFonts w:ascii="Arial" w:hAnsi="Arial" w:cs="Arial"/>
        </w:rPr>
        <w:t xml:space="preserve">Passive Anti-D identified from </w:t>
      </w:r>
      <w:proofErr w:type="spellStart"/>
      <w:r w:rsidRPr="00682204">
        <w:rPr>
          <w:rFonts w:ascii="Arial" w:hAnsi="Arial" w:cs="Arial"/>
        </w:rPr>
        <w:t>RhIg</w:t>
      </w:r>
      <w:proofErr w:type="spellEnd"/>
      <w:r w:rsidRPr="00682204">
        <w:rPr>
          <w:rFonts w:ascii="Arial" w:hAnsi="Arial" w:cs="Arial"/>
        </w:rPr>
        <w:t xml:space="preserve"> injections to Rh negative women</w:t>
      </w:r>
      <w:r w:rsidR="00D47812" w:rsidRPr="00682204">
        <w:rPr>
          <w:rFonts w:ascii="Arial" w:hAnsi="Arial" w:cs="Arial"/>
        </w:rPr>
        <w:t xml:space="preserve"> within the last 12 weeks, see procedure notes </w:t>
      </w:r>
      <w:r w:rsidR="00DC323F" w:rsidRPr="00A01438">
        <w:rPr>
          <w:rFonts w:ascii="Arial" w:hAnsi="Arial" w:cs="Arial"/>
        </w:rPr>
        <w:t>9</w:t>
      </w:r>
      <w:r w:rsidR="00D47812" w:rsidRPr="00A01438">
        <w:rPr>
          <w:rFonts w:ascii="Arial" w:hAnsi="Arial" w:cs="Arial"/>
        </w:rPr>
        <w:t>.2</w:t>
      </w:r>
      <w:r w:rsidR="00D47812" w:rsidRPr="00682204">
        <w:rPr>
          <w:rFonts w:ascii="Arial" w:hAnsi="Arial" w:cs="Arial"/>
        </w:rPr>
        <w:t>. R</w:t>
      </w:r>
      <w:r w:rsidRPr="00682204">
        <w:rPr>
          <w:rFonts w:ascii="Arial" w:hAnsi="Arial" w:cs="Arial"/>
        </w:rPr>
        <w:t>eport as follows:</w:t>
      </w:r>
    </w:p>
    <w:p w:rsidR="00B0041D" w:rsidRPr="00FF1BD1" w:rsidRDefault="00B0041D" w:rsidP="00A01438">
      <w:pPr>
        <w:pStyle w:val="NoSpacing"/>
        <w:numPr>
          <w:ilvl w:val="0"/>
          <w:numId w:val="22"/>
        </w:numPr>
        <w:tabs>
          <w:tab w:val="left" w:pos="1080"/>
        </w:tabs>
        <w:ind w:left="1440" w:hanging="630"/>
        <w:rPr>
          <w:rFonts w:ascii="Arial" w:hAnsi="Arial" w:cs="Arial"/>
          <w:i/>
        </w:rPr>
      </w:pPr>
      <w:r w:rsidRPr="00FF1BD1">
        <w:rPr>
          <w:rFonts w:ascii="Arial" w:hAnsi="Arial" w:cs="Arial"/>
          <w:i/>
        </w:rPr>
        <w:t xml:space="preserve">Passive Anti-D probably due to the injection of </w:t>
      </w:r>
      <w:proofErr w:type="spellStart"/>
      <w:r w:rsidR="00B56317" w:rsidRPr="00FF1BD1">
        <w:rPr>
          <w:rFonts w:ascii="Arial" w:hAnsi="Arial" w:cs="Arial"/>
          <w:i/>
        </w:rPr>
        <w:t>RhIg</w:t>
      </w:r>
      <w:proofErr w:type="spellEnd"/>
      <w:r w:rsidRPr="00FF1BD1">
        <w:rPr>
          <w:rFonts w:ascii="Arial" w:hAnsi="Arial" w:cs="Arial"/>
          <w:i/>
        </w:rPr>
        <w:t xml:space="preserve"> on _</w:t>
      </w:r>
      <w:r w:rsidR="00A01438" w:rsidRPr="00FF1BD1">
        <w:rPr>
          <w:rFonts w:ascii="Arial" w:hAnsi="Arial" w:cs="Arial"/>
          <w:i/>
        </w:rPr>
        <w:t>___</w:t>
      </w:r>
      <w:r w:rsidRPr="00FF1BD1">
        <w:rPr>
          <w:rFonts w:ascii="Arial" w:hAnsi="Arial" w:cs="Arial"/>
          <w:i/>
        </w:rPr>
        <w:t>__</w:t>
      </w:r>
      <w:r w:rsidR="00F63D53" w:rsidRPr="00FF1BD1">
        <w:rPr>
          <w:rFonts w:ascii="Arial" w:hAnsi="Arial" w:cs="Arial"/>
          <w:i/>
        </w:rPr>
        <w:t xml:space="preserve"> (</w:t>
      </w:r>
      <w:r w:rsidRPr="00FF1BD1">
        <w:rPr>
          <w:rFonts w:ascii="Arial" w:hAnsi="Arial" w:cs="Arial"/>
          <w:i/>
        </w:rPr>
        <w:t>date of injection)</w:t>
      </w:r>
    </w:p>
    <w:p w:rsidR="008D78AD" w:rsidRPr="008D78AD" w:rsidRDefault="00C837E8" w:rsidP="008D78AD">
      <w:pPr>
        <w:pStyle w:val="NoSpacing"/>
        <w:numPr>
          <w:ilvl w:val="1"/>
          <w:numId w:val="21"/>
        </w:numPr>
        <w:rPr>
          <w:rFonts w:ascii="Arial" w:hAnsi="Arial" w:cs="Arial"/>
        </w:rPr>
      </w:pPr>
      <w:r w:rsidRPr="008D78AD">
        <w:rPr>
          <w:rFonts w:ascii="Arial" w:hAnsi="Arial" w:cs="Arial"/>
        </w:rPr>
        <w:t>Co</w:t>
      </w:r>
      <w:r w:rsidR="008D78AD" w:rsidRPr="008D78AD">
        <w:rPr>
          <w:rFonts w:ascii="Arial" w:hAnsi="Arial" w:cs="Arial"/>
        </w:rPr>
        <w:t xml:space="preserve">nfirm </w:t>
      </w:r>
      <w:r w:rsidRPr="008D78AD">
        <w:rPr>
          <w:rFonts w:ascii="Arial" w:hAnsi="Arial" w:cs="Arial"/>
        </w:rPr>
        <w:t>a</w:t>
      </w:r>
      <w:r w:rsidR="00D16847" w:rsidRPr="008D78AD">
        <w:rPr>
          <w:rFonts w:ascii="Arial" w:hAnsi="Arial" w:cs="Arial"/>
        </w:rPr>
        <w:t>ll</w:t>
      </w:r>
      <w:r w:rsidRPr="008D78AD">
        <w:rPr>
          <w:rFonts w:ascii="Arial" w:hAnsi="Arial" w:cs="Arial"/>
        </w:rPr>
        <w:t xml:space="preserve"> </w:t>
      </w:r>
      <w:r w:rsidR="008D78AD" w:rsidRPr="008D78AD">
        <w:rPr>
          <w:rFonts w:ascii="Arial" w:hAnsi="Arial" w:cs="Arial"/>
        </w:rPr>
        <w:t xml:space="preserve">patient records contain the </w:t>
      </w:r>
      <w:r w:rsidRPr="008D78AD">
        <w:rPr>
          <w:rFonts w:ascii="Arial" w:hAnsi="Arial" w:cs="Arial"/>
        </w:rPr>
        <w:t xml:space="preserve">antibody </w:t>
      </w:r>
      <w:r w:rsidR="008D78AD" w:rsidRPr="008D78AD">
        <w:rPr>
          <w:rFonts w:ascii="Arial" w:hAnsi="Arial" w:cs="Arial"/>
        </w:rPr>
        <w:t>information</w:t>
      </w:r>
    </w:p>
    <w:p w:rsidR="00BC4CE2" w:rsidRDefault="00BC4CE2" w:rsidP="00A01438">
      <w:pPr>
        <w:pStyle w:val="NoSpacing"/>
        <w:numPr>
          <w:ilvl w:val="2"/>
          <w:numId w:val="21"/>
        </w:numPr>
        <w:rPr>
          <w:rFonts w:ascii="Arial" w:hAnsi="Arial" w:cs="Arial"/>
        </w:rPr>
      </w:pPr>
      <w:r>
        <w:rPr>
          <w:rFonts w:ascii="Arial" w:hAnsi="Arial" w:cs="Arial"/>
        </w:rPr>
        <w:t xml:space="preserve">File all completed </w:t>
      </w:r>
      <w:proofErr w:type="spellStart"/>
      <w:r>
        <w:rPr>
          <w:rFonts w:ascii="Arial" w:hAnsi="Arial" w:cs="Arial"/>
        </w:rPr>
        <w:t>antigrams</w:t>
      </w:r>
      <w:proofErr w:type="spellEnd"/>
      <w:r>
        <w:rPr>
          <w:rFonts w:ascii="Arial" w:hAnsi="Arial" w:cs="Arial"/>
        </w:rPr>
        <w:t xml:space="preserve"> appropriately</w:t>
      </w:r>
    </w:p>
    <w:p w:rsidR="008D78AD" w:rsidRPr="00682204" w:rsidRDefault="008D78AD" w:rsidP="00A01438">
      <w:pPr>
        <w:pStyle w:val="NoSpacing"/>
        <w:numPr>
          <w:ilvl w:val="2"/>
          <w:numId w:val="21"/>
        </w:numPr>
        <w:rPr>
          <w:rFonts w:ascii="Arial" w:hAnsi="Arial" w:cs="Arial"/>
        </w:rPr>
      </w:pPr>
      <w:r>
        <w:rPr>
          <w:rFonts w:ascii="Arial" w:hAnsi="Arial" w:cs="Arial"/>
        </w:rPr>
        <w:t>Any tracking regarding special methods</w:t>
      </w:r>
    </w:p>
    <w:p w:rsidR="00DC5700" w:rsidRDefault="00DC5700" w:rsidP="00A01438">
      <w:pPr>
        <w:pStyle w:val="NoSpacing"/>
        <w:rPr>
          <w:rFonts w:ascii="Arial" w:hAnsi="Arial" w:cs="Arial"/>
        </w:rPr>
      </w:pPr>
    </w:p>
    <w:p w:rsidR="00DC5700" w:rsidRPr="00FF1BD1" w:rsidRDefault="00F5675C" w:rsidP="00A01438">
      <w:pPr>
        <w:pStyle w:val="NoSpacing"/>
        <w:numPr>
          <w:ilvl w:val="0"/>
          <w:numId w:val="21"/>
        </w:numPr>
        <w:rPr>
          <w:rFonts w:ascii="Arial" w:hAnsi="Arial" w:cs="Arial"/>
          <w:b/>
        </w:rPr>
      </w:pPr>
      <w:r w:rsidRPr="00FF1BD1">
        <w:rPr>
          <w:rFonts w:ascii="Arial" w:hAnsi="Arial" w:cs="Arial"/>
          <w:b/>
        </w:rPr>
        <w:t>PROCEDURE NOTES:</w:t>
      </w:r>
    </w:p>
    <w:p w:rsidR="00F96488" w:rsidRPr="00682204" w:rsidRDefault="00F5675C" w:rsidP="002B7B1A">
      <w:pPr>
        <w:pStyle w:val="NoSpacing"/>
        <w:numPr>
          <w:ilvl w:val="1"/>
          <w:numId w:val="21"/>
        </w:numPr>
        <w:rPr>
          <w:rFonts w:ascii="Arial" w:hAnsi="Arial" w:cs="Arial"/>
        </w:rPr>
      </w:pPr>
      <w:r w:rsidRPr="00682204">
        <w:rPr>
          <w:rFonts w:ascii="Arial" w:hAnsi="Arial" w:cs="Arial"/>
        </w:rPr>
        <w:t xml:space="preserve">Further testing may include – </w:t>
      </w:r>
      <w:r w:rsidR="00F96488" w:rsidRPr="00682204">
        <w:rPr>
          <w:rFonts w:ascii="Arial" w:hAnsi="Arial" w:cs="Arial"/>
        </w:rPr>
        <w:t xml:space="preserve">collecting a new sample, </w:t>
      </w:r>
      <w:r w:rsidRPr="00682204">
        <w:rPr>
          <w:rFonts w:ascii="Arial" w:hAnsi="Arial" w:cs="Arial"/>
        </w:rPr>
        <w:t>repeat testing</w:t>
      </w:r>
      <w:r w:rsidR="00C837E8" w:rsidRPr="00682204">
        <w:rPr>
          <w:rFonts w:ascii="Arial" w:hAnsi="Arial" w:cs="Arial"/>
        </w:rPr>
        <w:t xml:space="preserve">; </w:t>
      </w:r>
      <w:r w:rsidR="00F96488" w:rsidRPr="00682204">
        <w:rPr>
          <w:rFonts w:ascii="Arial" w:hAnsi="Arial" w:cs="Arial"/>
        </w:rPr>
        <w:t xml:space="preserve">repeat testing using a different method, </w:t>
      </w:r>
      <w:r w:rsidR="00C837E8" w:rsidRPr="00682204">
        <w:rPr>
          <w:rFonts w:ascii="Arial" w:hAnsi="Arial" w:cs="Arial"/>
        </w:rPr>
        <w:t>review exclusions and re-evaluate the antibody investigation</w:t>
      </w:r>
      <w:r w:rsidR="00F96488" w:rsidRPr="00682204">
        <w:rPr>
          <w:rFonts w:ascii="Arial" w:hAnsi="Arial" w:cs="Arial"/>
        </w:rPr>
        <w:t>;</w:t>
      </w:r>
    </w:p>
    <w:p w:rsidR="00F5675C" w:rsidRPr="00682204" w:rsidRDefault="00F96488" w:rsidP="002B7B1A">
      <w:pPr>
        <w:pStyle w:val="NoSpacing"/>
        <w:ind w:left="792"/>
        <w:rPr>
          <w:rFonts w:ascii="Arial" w:hAnsi="Arial" w:cs="Arial"/>
        </w:rPr>
      </w:pPr>
      <w:r w:rsidRPr="00682204">
        <w:rPr>
          <w:rFonts w:ascii="Arial" w:hAnsi="Arial" w:cs="Arial"/>
        </w:rPr>
        <w:t>R</w:t>
      </w:r>
      <w:r w:rsidR="00F5675C" w:rsidRPr="00682204">
        <w:rPr>
          <w:rFonts w:ascii="Arial" w:hAnsi="Arial" w:cs="Arial"/>
        </w:rPr>
        <w:t xml:space="preserve">efer to </w:t>
      </w:r>
      <w:r w:rsidR="00BC4CE2">
        <w:rPr>
          <w:rFonts w:ascii="Arial" w:hAnsi="Arial" w:cs="Arial"/>
        </w:rPr>
        <w:t xml:space="preserve">antibody investigation </w:t>
      </w:r>
      <w:r w:rsidR="00C837E8" w:rsidRPr="00682204">
        <w:rPr>
          <w:rFonts w:ascii="Arial" w:hAnsi="Arial" w:cs="Arial"/>
        </w:rPr>
        <w:t>flow charts; refer to IHL-TMD-IV Antibody Checklist.</w:t>
      </w:r>
    </w:p>
    <w:p w:rsidR="00D47812" w:rsidRPr="00682204" w:rsidRDefault="00D47812" w:rsidP="002B7B1A">
      <w:pPr>
        <w:pStyle w:val="NoSpacing"/>
        <w:numPr>
          <w:ilvl w:val="1"/>
          <w:numId w:val="21"/>
        </w:numPr>
        <w:rPr>
          <w:rFonts w:ascii="Arial" w:hAnsi="Arial" w:cs="Arial"/>
        </w:rPr>
      </w:pPr>
      <w:r w:rsidRPr="00682204">
        <w:rPr>
          <w:rFonts w:ascii="Arial" w:hAnsi="Arial" w:cs="Arial"/>
        </w:rPr>
        <w:t xml:space="preserve">Usually the reaction of a passive anti-D with D positive cells is weaker than 2+, however this is </w:t>
      </w:r>
      <w:r w:rsidR="00B56317" w:rsidRPr="00682204">
        <w:rPr>
          <w:rFonts w:ascii="Arial" w:hAnsi="Arial" w:cs="Arial"/>
        </w:rPr>
        <w:t>dependent</w:t>
      </w:r>
      <w:r w:rsidRPr="00682204">
        <w:rPr>
          <w:rFonts w:ascii="Arial" w:hAnsi="Arial" w:cs="Arial"/>
        </w:rPr>
        <w:t xml:space="preserve"> on the date of administration of the </w:t>
      </w:r>
      <w:proofErr w:type="spellStart"/>
      <w:r w:rsidR="00B56317" w:rsidRPr="00682204">
        <w:rPr>
          <w:rFonts w:ascii="Arial" w:hAnsi="Arial" w:cs="Arial"/>
        </w:rPr>
        <w:t>RhIg</w:t>
      </w:r>
      <w:proofErr w:type="spellEnd"/>
      <w:r w:rsidRPr="00682204">
        <w:rPr>
          <w:rFonts w:ascii="Arial" w:hAnsi="Arial" w:cs="Arial"/>
        </w:rPr>
        <w:t xml:space="preserve">. 3-5 days post administration the reaction strength may be significantly stronger. Patient history should be checked to confirm a recent injection of </w:t>
      </w:r>
      <w:proofErr w:type="spellStart"/>
      <w:r w:rsidR="00B56317" w:rsidRPr="00682204">
        <w:rPr>
          <w:rFonts w:ascii="Arial" w:hAnsi="Arial" w:cs="Arial"/>
        </w:rPr>
        <w:t>RhIg</w:t>
      </w:r>
      <w:proofErr w:type="spellEnd"/>
      <w:r w:rsidRPr="00682204">
        <w:rPr>
          <w:rFonts w:ascii="Arial" w:hAnsi="Arial" w:cs="Arial"/>
        </w:rPr>
        <w:t>.</w:t>
      </w:r>
    </w:p>
    <w:p w:rsidR="00910658" w:rsidRPr="00682204" w:rsidRDefault="00F5675C" w:rsidP="002B7B1A">
      <w:pPr>
        <w:pStyle w:val="NoSpacing"/>
        <w:numPr>
          <w:ilvl w:val="1"/>
          <w:numId w:val="21"/>
        </w:numPr>
        <w:rPr>
          <w:rFonts w:ascii="Arial" w:hAnsi="Arial" w:cs="Arial"/>
        </w:rPr>
      </w:pPr>
      <w:r w:rsidRPr="00682204">
        <w:rPr>
          <w:rFonts w:ascii="Arial" w:hAnsi="Arial" w:cs="Arial"/>
        </w:rPr>
        <w:t>If the required commercial antisera is not available, antigen negative donor units may be obtained from CBS</w:t>
      </w:r>
    </w:p>
    <w:p w:rsidR="00DB75DD" w:rsidRDefault="00DB75DD" w:rsidP="00A01438">
      <w:pPr>
        <w:pStyle w:val="NoSpacing"/>
        <w:rPr>
          <w:rFonts w:ascii="Arial" w:hAnsi="Arial" w:cs="Arial"/>
        </w:rPr>
      </w:pPr>
    </w:p>
    <w:p w:rsidR="00DB75DD" w:rsidRPr="00D16847" w:rsidRDefault="00DB75DD" w:rsidP="00A01438">
      <w:pPr>
        <w:pStyle w:val="NoSpacing"/>
        <w:numPr>
          <w:ilvl w:val="0"/>
          <w:numId w:val="21"/>
        </w:numPr>
        <w:rPr>
          <w:rFonts w:ascii="Arial" w:hAnsi="Arial" w:cs="Arial"/>
          <w:b/>
        </w:rPr>
      </w:pPr>
      <w:r w:rsidRPr="00D16847">
        <w:rPr>
          <w:rFonts w:ascii="Arial" w:hAnsi="Arial" w:cs="Arial"/>
          <w:b/>
        </w:rPr>
        <w:t>REFERENCES:</w:t>
      </w:r>
    </w:p>
    <w:p w:rsidR="00DB75DD" w:rsidRPr="00682204" w:rsidRDefault="00DB75DD" w:rsidP="002B7B1A">
      <w:pPr>
        <w:pStyle w:val="NoSpacing"/>
        <w:numPr>
          <w:ilvl w:val="1"/>
          <w:numId w:val="21"/>
        </w:numPr>
        <w:ind w:left="1080" w:hanging="720"/>
        <w:rPr>
          <w:rFonts w:ascii="Arial" w:hAnsi="Arial" w:cs="Arial"/>
        </w:rPr>
      </w:pPr>
      <w:r w:rsidRPr="00682204">
        <w:rPr>
          <w:rFonts w:ascii="Arial" w:hAnsi="Arial" w:cs="Arial"/>
        </w:rPr>
        <w:t>AABB Technical Manual, 17th edition, 2011.</w:t>
      </w:r>
    </w:p>
    <w:p w:rsidR="00DB75DD" w:rsidRPr="00682204" w:rsidRDefault="00DB75DD" w:rsidP="002B7B1A">
      <w:pPr>
        <w:pStyle w:val="NoSpacing"/>
        <w:numPr>
          <w:ilvl w:val="1"/>
          <w:numId w:val="21"/>
        </w:numPr>
        <w:ind w:left="1080" w:hanging="720"/>
        <w:rPr>
          <w:rFonts w:ascii="Arial" w:hAnsi="Arial" w:cs="Arial"/>
        </w:rPr>
      </w:pPr>
      <w:r w:rsidRPr="00682204">
        <w:rPr>
          <w:rFonts w:ascii="Arial" w:hAnsi="Arial" w:cs="Arial"/>
        </w:rPr>
        <w:t>W.A.R.M manufacturer’s insert code 347-8, Rev 9/10. Immucor, Inc.</w:t>
      </w:r>
    </w:p>
    <w:p w:rsidR="00B7669F" w:rsidRPr="00682204" w:rsidRDefault="00DB75DD" w:rsidP="002B7B1A">
      <w:pPr>
        <w:pStyle w:val="NoSpacing"/>
        <w:numPr>
          <w:ilvl w:val="1"/>
          <w:numId w:val="21"/>
        </w:numPr>
        <w:ind w:left="1080" w:hanging="720"/>
        <w:rPr>
          <w:rFonts w:ascii="Arial" w:hAnsi="Arial" w:cs="Arial"/>
        </w:rPr>
      </w:pPr>
      <w:r w:rsidRPr="00682204">
        <w:rPr>
          <w:rFonts w:ascii="Arial" w:hAnsi="Arial" w:cs="Arial"/>
        </w:rPr>
        <w:t>Judd’s Methods in Immunohematology, 3rd edition, 2008.</w:t>
      </w:r>
      <w:r w:rsidR="00B7669F" w:rsidRPr="00682204">
        <w:rPr>
          <w:rFonts w:ascii="Arial" w:hAnsi="Arial" w:cs="Arial"/>
        </w:rPr>
        <w:t xml:space="preserve">  </w:t>
      </w:r>
    </w:p>
    <w:p w:rsidR="00B7669F" w:rsidRPr="00682204" w:rsidRDefault="00B7669F" w:rsidP="002B7B1A">
      <w:pPr>
        <w:pStyle w:val="NoSpacing"/>
        <w:numPr>
          <w:ilvl w:val="1"/>
          <w:numId w:val="21"/>
        </w:numPr>
        <w:ind w:left="1080" w:hanging="720"/>
        <w:rPr>
          <w:rFonts w:ascii="Arial" w:hAnsi="Arial" w:cs="Arial"/>
        </w:rPr>
      </w:pPr>
      <w:r w:rsidRPr="00682204">
        <w:rPr>
          <w:rFonts w:ascii="Arial" w:hAnsi="Arial" w:cs="Arial"/>
        </w:rPr>
        <w:t>ID-Micro Typing System™ Interpretation Guide (J6902201), Ortho Clinical Diagnostics.</w:t>
      </w:r>
    </w:p>
    <w:p w:rsidR="00B7669F" w:rsidRPr="00682204" w:rsidRDefault="00B7669F" w:rsidP="002B7B1A">
      <w:pPr>
        <w:pStyle w:val="NoSpacing"/>
        <w:numPr>
          <w:ilvl w:val="1"/>
          <w:numId w:val="21"/>
        </w:numPr>
        <w:ind w:left="1080" w:hanging="720"/>
        <w:rPr>
          <w:rFonts w:ascii="Arial" w:hAnsi="Arial" w:cs="Arial"/>
        </w:rPr>
      </w:pPr>
      <w:r w:rsidRPr="00682204">
        <w:rPr>
          <w:rFonts w:ascii="Arial" w:hAnsi="Arial" w:cs="Arial"/>
        </w:rPr>
        <w:t>ID-Micro Typing System™ Implementation Guide and Procedures (J6902200), Ortho  Clinical Diagnostics</w:t>
      </w:r>
      <w:r w:rsidR="00DB75DD" w:rsidRPr="00682204">
        <w:rPr>
          <w:rFonts w:ascii="Arial" w:hAnsi="Arial" w:cs="Arial"/>
        </w:rPr>
        <w:t xml:space="preserve"> </w:t>
      </w:r>
    </w:p>
    <w:p w:rsidR="00B7669F" w:rsidRPr="00682204" w:rsidRDefault="00B7669F" w:rsidP="002B7B1A">
      <w:pPr>
        <w:pStyle w:val="NoSpacing"/>
        <w:numPr>
          <w:ilvl w:val="1"/>
          <w:numId w:val="21"/>
        </w:numPr>
        <w:ind w:left="1080" w:hanging="720"/>
        <w:rPr>
          <w:rFonts w:ascii="Arial" w:hAnsi="Arial" w:cs="Arial"/>
        </w:rPr>
      </w:pPr>
      <w:r w:rsidRPr="00682204">
        <w:rPr>
          <w:rFonts w:ascii="Arial" w:hAnsi="Arial" w:cs="Arial"/>
        </w:rPr>
        <w:t>Instructions for use (IFU), Anti-Human Globulin Anti-IgG (Rabbit) MTS™ Anti-IgG Card</w:t>
      </w:r>
      <w:r w:rsidR="00F63D53" w:rsidRPr="00682204">
        <w:rPr>
          <w:rFonts w:ascii="Arial" w:hAnsi="Arial" w:cs="Arial"/>
        </w:rPr>
        <w:t>, ©</w:t>
      </w:r>
      <w:r w:rsidRPr="00682204">
        <w:rPr>
          <w:rFonts w:ascii="Arial" w:hAnsi="Arial" w:cs="Arial"/>
        </w:rPr>
        <w:t xml:space="preserve"> Micro Typing Systems Inc. 2008. Version 2.0 2013-07-17. </w:t>
      </w:r>
    </w:p>
    <w:p w:rsidR="003A625E" w:rsidRPr="00682204" w:rsidRDefault="003A625E" w:rsidP="002B7B1A">
      <w:pPr>
        <w:pStyle w:val="NoSpacing"/>
        <w:numPr>
          <w:ilvl w:val="1"/>
          <w:numId w:val="21"/>
        </w:numPr>
        <w:ind w:left="1080" w:hanging="720"/>
        <w:rPr>
          <w:rFonts w:ascii="Arial" w:hAnsi="Arial" w:cs="Arial"/>
        </w:rPr>
      </w:pPr>
      <w:r w:rsidRPr="00682204">
        <w:rPr>
          <w:rFonts w:ascii="Arial" w:hAnsi="Arial" w:cs="Arial"/>
        </w:rPr>
        <w:t>IFU, MTS™ Diluent 2 Red Blood Cell Diluent, ID-Micro Typing Systems Inc. Version 3.0 2014-11-24</w:t>
      </w:r>
      <w:r w:rsidR="00457837" w:rsidRPr="00682204">
        <w:rPr>
          <w:rFonts w:ascii="Arial" w:hAnsi="Arial" w:cs="Arial"/>
        </w:rPr>
        <w:t>.</w:t>
      </w:r>
    </w:p>
    <w:p w:rsidR="003A625E" w:rsidRPr="00682204" w:rsidRDefault="003A625E" w:rsidP="00A01438">
      <w:pPr>
        <w:pStyle w:val="NoSpacing"/>
        <w:rPr>
          <w:rFonts w:ascii="Arial" w:hAnsi="Arial" w:cs="Arial"/>
        </w:rPr>
      </w:pPr>
    </w:p>
    <w:sectPr w:rsidR="003A625E" w:rsidRPr="00682204" w:rsidSect="0071125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666" w:rsidRDefault="00995666">
      <w:r>
        <w:separator/>
      </w:r>
    </w:p>
  </w:endnote>
  <w:endnote w:type="continuationSeparator" w:id="0">
    <w:p w:rsidR="00995666" w:rsidRDefault="0099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884" w:rsidRDefault="007E777D">
    <w:pPr>
      <w:pStyle w:val="Footer"/>
      <w:rPr>
        <w:rFonts w:ascii="Arial" w:hAnsi="Arial" w:cs="Arial"/>
        <w:sz w:val="16"/>
        <w:szCs w:val="16"/>
      </w:rPr>
    </w:pPr>
    <w:r>
      <w:rPr>
        <w:rFonts w:ascii="Arial" w:hAnsi="Arial" w:cs="Arial"/>
        <w:b/>
        <w:noProof/>
        <w:sz w:val="16"/>
        <w:szCs w:val="16"/>
      </w:rPr>
      <mc:AlternateContent>
        <mc:Choice Requires="wps">
          <w:drawing>
            <wp:anchor distT="0" distB="0" distL="114300" distR="114300" simplePos="0" relativeHeight="251657728" behindDoc="0" locked="0" layoutInCell="1" allowOverlap="1" wp14:anchorId="14A10F36" wp14:editId="01D1546D">
              <wp:simplePos x="0" y="0"/>
              <wp:positionH relativeFrom="column">
                <wp:posOffset>0</wp:posOffset>
              </wp:positionH>
              <wp:positionV relativeFrom="paragraph">
                <wp:posOffset>-63500</wp:posOffset>
              </wp:positionV>
              <wp:extent cx="5486400" cy="0"/>
              <wp:effectExtent l="9525" t="12700" r="9525"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6in,-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RWL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"/>
          </w:pict>
        </mc:Fallback>
      </mc:AlternateContent>
    </w:r>
    <w:r w:rsidR="005B6884">
      <w:rPr>
        <w:rFonts w:ascii="Arial" w:hAnsi="Arial" w:cs="Arial"/>
        <w:b/>
        <w:sz w:val="16"/>
        <w:szCs w:val="16"/>
      </w:rPr>
      <w:t>NOTE</w:t>
    </w:r>
    <w:r w:rsidR="005B6884">
      <w:rPr>
        <w:rFonts w:ascii="Arial" w:hAnsi="Arial" w:cs="Arial"/>
        <w:sz w:val="16"/>
        <w:szCs w:val="16"/>
      </w:rPr>
      <w:t>: This is a CONTROLLED document as are all system files on this server.  Any documents appearing in paper form are not controlled and should be checked against the server file version prior to use.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666" w:rsidRDefault="00995666">
      <w:r>
        <w:separator/>
      </w:r>
    </w:p>
  </w:footnote>
  <w:footnote w:type="continuationSeparator" w:id="0">
    <w:p w:rsidR="00995666" w:rsidRDefault="009956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884" w:rsidRPr="003B063A" w:rsidRDefault="005B6884">
    <w:pPr>
      <w:pStyle w:val="Header"/>
      <w:jc w:val="center"/>
      <w:rPr>
        <w:rFonts w:ascii="Arial" w:hAnsi="Arial" w:cs="Arial"/>
        <w:b/>
        <w:i/>
      </w:rPr>
    </w:pPr>
    <w:r w:rsidRPr="003B063A">
      <w:rPr>
        <w:rFonts w:ascii="Arial" w:hAnsi="Arial" w:cs="Arial"/>
        <w:b/>
        <w:i/>
      </w:rPr>
      <w:t>Integrated Hospital Laboratories Service, Windsor Essex</w:t>
    </w:r>
  </w:p>
  <w:p w:rsidR="00530A52" w:rsidRPr="003B063A" w:rsidRDefault="00530A52">
    <w:pPr>
      <w:pStyle w:val="Header"/>
      <w:jc w:val="right"/>
      <w:rPr>
        <w:rFonts w:ascii="Arial" w:hAnsi="Arial" w:cs="Arial"/>
        <w:b/>
        <w:snapToGrid w:val="0"/>
        <w:sz w:val="16"/>
        <w:szCs w:val="16"/>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8"/>
      <w:gridCol w:w="3690"/>
      <w:gridCol w:w="2108"/>
    </w:tblGrid>
    <w:tr w:rsidR="00170BCD" w:rsidRPr="003B063A" w:rsidTr="0036237F">
      <w:trPr>
        <w:cantSplit/>
        <w:trHeight w:val="557"/>
      </w:trPr>
      <w:tc>
        <w:tcPr>
          <w:tcW w:w="8606" w:type="dxa"/>
          <w:gridSpan w:val="3"/>
          <w:tcBorders>
            <w:top w:val="single" w:sz="4" w:space="0" w:color="auto"/>
            <w:left w:val="single" w:sz="4" w:space="0" w:color="auto"/>
            <w:bottom w:val="single" w:sz="4" w:space="0" w:color="auto"/>
            <w:right w:val="single" w:sz="4" w:space="0" w:color="auto"/>
          </w:tcBorders>
        </w:tcPr>
        <w:p w:rsidR="00170BCD" w:rsidRPr="003B063A" w:rsidRDefault="00170BCD" w:rsidP="00530A52">
          <w:pPr>
            <w:tabs>
              <w:tab w:val="center" w:pos="4320"/>
              <w:tab w:val="right" w:pos="8640"/>
            </w:tabs>
            <w:rPr>
              <w:rFonts w:ascii="Arial" w:hAnsi="Arial" w:cs="Arial"/>
              <w:b/>
              <w:sz w:val="16"/>
              <w:szCs w:val="20"/>
              <w:lang w:val="en-CA"/>
            </w:rPr>
          </w:pPr>
          <w:r w:rsidRPr="003B063A">
            <w:rPr>
              <w:rFonts w:ascii="Arial" w:hAnsi="Arial" w:cs="Arial"/>
              <w:b/>
              <w:sz w:val="16"/>
              <w:szCs w:val="20"/>
              <w:lang w:val="en-CA"/>
            </w:rPr>
            <w:t>Document Identification (Title):</w:t>
          </w:r>
        </w:p>
        <w:p w:rsidR="00170BCD" w:rsidRPr="003B063A" w:rsidRDefault="003B063A" w:rsidP="0036237F">
          <w:pPr>
            <w:tabs>
              <w:tab w:val="center" w:pos="4320"/>
              <w:tab w:val="right" w:pos="8640"/>
            </w:tabs>
            <w:rPr>
              <w:rFonts w:ascii="Arial" w:hAnsi="Arial" w:cs="Arial"/>
              <w:sz w:val="20"/>
              <w:szCs w:val="20"/>
              <w:lang w:val="en-CA"/>
            </w:rPr>
          </w:pPr>
          <w:r w:rsidRPr="003B063A">
            <w:rPr>
              <w:rFonts w:ascii="Arial" w:hAnsi="Arial" w:cs="Arial"/>
              <w:szCs w:val="16"/>
              <w:lang w:val="en-CA"/>
            </w:rPr>
            <w:t>IHL-TMD-IV Antibody Investigation and Identification</w:t>
          </w:r>
        </w:p>
      </w:tc>
    </w:tr>
    <w:tr w:rsidR="00170BCD" w:rsidRPr="003B063A" w:rsidTr="0036237F">
      <w:trPr>
        <w:cantSplit/>
        <w:trHeight w:val="773"/>
      </w:trPr>
      <w:tc>
        <w:tcPr>
          <w:tcW w:w="2808" w:type="dxa"/>
          <w:tcBorders>
            <w:top w:val="single" w:sz="4" w:space="0" w:color="auto"/>
            <w:left w:val="single" w:sz="4" w:space="0" w:color="auto"/>
            <w:bottom w:val="single" w:sz="4" w:space="0" w:color="auto"/>
            <w:right w:val="single" w:sz="4" w:space="0" w:color="auto"/>
          </w:tcBorders>
        </w:tcPr>
        <w:p w:rsidR="00170BCD" w:rsidRPr="003B063A" w:rsidRDefault="00170BCD" w:rsidP="0036237F">
          <w:pPr>
            <w:tabs>
              <w:tab w:val="center" w:pos="4320"/>
              <w:tab w:val="right" w:pos="8640"/>
            </w:tabs>
            <w:spacing w:after="0"/>
            <w:rPr>
              <w:rFonts w:ascii="Arial" w:hAnsi="Arial" w:cs="Arial"/>
              <w:b/>
              <w:sz w:val="16"/>
              <w:szCs w:val="20"/>
              <w:lang w:val="en-CA"/>
            </w:rPr>
          </w:pPr>
          <w:r w:rsidRPr="003B063A">
            <w:rPr>
              <w:rFonts w:ascii="Arial" w:hAnsi="Arial" w:cs="Arial"/>
              <w:b/>
              <w:sz w:val="16"/>
              <w:szCs w:val="20"/>
              <w:lang w:val="en-CA"/>
            </w:rPr>
            <w:t>Author:</w:t>
          </w:r>
        </w:p>
        <w:p w:rsidR="003B063A" w:rsidRPr="003B063A" w:rsidRDefault="003B063A" w:rsidP="0036237F">
          <w:pPr>
            <w:tabs>
              <w:tab w:val="center" w:pos="4320"/>
              <w:tab w:val="right" w:pos="8640"/>
            </w:tabs>
            <w:spacing w:after="0"/>
            <w:rPr>
              <w:rFonts w:ascii="Arial" w:hAnsi="Arial" w:cs="Arial"/>
              <w:sz w:val="20"/>
              <w:szCs w:val="20"/>
              <w:lang w:val="en-CA"/>
            </w:rPr>
          </w:pPr>
          <w:r>
            <w:rPr>
              <w:rFonts w:ascii="Arial" w:hAnsi="Arial" w:cs="Arial"/>
              <w:sz w:val="20"/>
              <w:szCs w:val="20"/>
              <w:lang w:val="en-CA"/>
            </w:rPr>
            <w:t>B. Brancaccio</w:t>
          </w:r>
        </w:p>
      </w:tc>
      <w:tc>
        <w:tcPr>
          <w:tcW w:w="3690" w:type="dxa"/>
          <w:tcBorders>
            <w:top w:val="single" w:sz="4" w:space="0" w:color="auto"/>
            <w:left w:val="single" w:sz="4" w:space="0" w:color="auto"/>
            <w:bottom w:val="single" w:sz="4" w:space="0" w:color="auto"/>
            <w:right w:val="single" w:sz="4" w:space="0" w:color="auto"/>
          </w:tcBorders>
        </w:tcPr>
        <w:p w:rsidR="00170BCD" w:rsidRPr="003B063A" w:rsidRDefault="00170BCD" w:rsidP="0036237F">
          <w:pPr>
            <w:tabs>
              <w:tab w:val="center" w:pos="4320"/>
              <w:tab w:val="right" w:pos="8640"/>
            </w:tabs>
            <w:spacing w:after="0"/>
            <w:rPr>
              <w:rFonts w:ascii="Arial" w:hAnsi="Arial" w:cs="Arial"/>
              <w:b/>
              <w:sz w:val="16"/>
              <w:szCs w:val="20"/>
              <w:lang w:val="en-CA"/>
            </w:rPr>
          </w:pPr>
          <w:r w:rsidRPr="003B063A">
            <w:rPr>
              <w:rFonts w:ascii="Arial" w:hAnsi="Arial" w:cs="Arial"/>
              <w:b/>
              <w:sz w:val="16"/>
              <w:szCs w:val="20"/>
              <w:lang w:val="en-CA"/>
            </w:rPr>
            <w:t>Authorized By:</w:t>
          </w:r>
        </w:p>
        <w:p w:rsidR="00170BCD" w:rsidRPr="003B063A" w:rsidRDefault="003B063A" w:rsidP="0036237F">
          <w:pPr>
            <w:spacing w:after="0"/>
            <w:rPr>
              <w:rFonts w:ascii="Arial" w:hAnsi="Arial" w:cs="Arial"/>
              <w:sz w:val="20"/>
              <w:szCs w:val="20"/>
              <w:lang w:val="en-CA"/>
            </w:rPr>
          </w:pPr>
          <w:r>
            <w:rPr>
              <w:rFonts w:ascii="Arial" w:hAnsi="Arial" w:cs="Arial"/>
              <w:sz w:val="20"/>
              <w:szCs w:val="20"/>
              <w:lang w:val="en-CA"/>
            </w:rPr>
            <w:t>Transfusion Medicine Clinical Leader</w:t>
          </w:r>
        </w:p>
      </w:tc>
      <w:tc>
        <w:tcPr>
          <w:tcW w:w="2108" w:type="dxa"/>
          <w:tcBorders>
            <w:top w:val="single" w:sz="4" w:space="0" w:color="auto"/>
            <w:left w:val="single" w:sz="4" w:space="0" w:color="auto"/>
            <w:bottom w:val="single" w:sz="4" w:space="0" w:color="auto"/>
            <w:right w:val="single" w:sz="4" w:space="0" w:color="auto"/>
          </w:tcBorders>
        </w:tcPr>
        <w:p w:rsidR="00170BCD" w:rsidRPr="003B063A" w:rsidRDefault="00170BCD" w:rsidP="0036237F">
          <w:pPr>
            <w:tabs>
              <w:tab w:val="center" w:pos="4320"/>
              <w:tab w:val="right" w:pos="8640"/>
            </w:tabs>
            <w:spacing w:after="0"/>
            <w:rPr>
              <w:rFonts w:ascii="Arial" w:hAnsi="Arial" w:cs="Arial"/>
              <w:b/>
              <w:sz w:val="20"/>
              <w:szCs w:val="20"/>
              <w:lang w:val="en-CA"/>
            </w:rPr>
          </w:pPr>
          <w:r w:rsidRPr="003B063A">
            <w:rPr>
              <w:rFonts w:ascii="Arial" w:hAnsi="Arial" w:cs="Arial"/>
              <w:b/>
              <w:sz w:val="16"/>
              <w:szCs w:val="20"/>
              <w:lang w:val="en-CA"/>
            </w:rPr>
            <w:t>Effective Date</w:t>
          </w:r>
        </w:p>
        <w:p w:rsidR="000537BD" w:rsidRPr="003B063A" w:rsidRDefault="008C1B52" w:rsidP="0036237F">
          <w:pPr>
            <w:spacing w:after="0"/>
            <w:rPr>
              <w:rFonts w:ascii="Arial" w:hAnsi="Arial" w:cs="Arial"/>
              <w:sz w:val="20"/>
              <w:szCs w:val="20"/>
              <w:lang w:val="en-CA"/>
            </w:rPr>
          </w:pPr>
          <w:r>
            <w:rPr>
              <w:rFonts w:ascii="Arial" w:hAnsi="Arial" w:cs="Arial"/>
              <w:sz w:val="20"/>
              <w:szCs w:val="20"/>
              <w:lang w:val="en-CA"/>
            </w:rPr>
            <w:t>2016-11-02</w:t>
          </w:r>
        </w:p>
      </w:tc>
    </w:tr>
  </w:tbl>
  <w:p w:rsidR="005B6884" w:rsidRPr="003B063A" w:rsidRDefault="005B6884">
    <w:pPr>
      <w:pStyle w:val="Header"/>
      <w:jc w:val="right"/>
      <w:rPr>
        <w:rFonts w:ascii="Arial" w:hAnsi="Arial" w:cs="Arial"/>
        <w:b/>
        <w:sz w:val="16"/>
        <w:szCs w:val="16"/>
      </w:rPr>
    </w:pPr>
    <w:r w:rsidRPr="003B063A">
      <w:rPr>
        <w:rFonts w:ascii="Arial" w:hAnsi="Arial" w:cs="Arial"/>
        <w:b/>
        <w:snapToGrid w:val="0"/>
        <w:sz w:val="16"/>
        <w:szCs w:val="16"/>
        <w:lang w:val="en-CA"/>
      </w:rPr>
      <w:t xml:space="preserve">Page </w:t>
    </w:r>
    <w:r w:rsidRPr="003B063A">
      <w:rPr>
        <w:rFonts w:ascii="Arial" w:hAnsi="Arial" w:cs="Arial"/>
        <w:b/>
        <w:snapToGrid w:val="0"/>
        <w:sz w:val="16"/>
        <w:szCs w:val="16"/>
        <w:lang w:val="en-CA"/>
      </w:rPr>
      <w:fldChar w:fldCharType="begin"/>
    </w:r>
    <w:r w:rsidRPr="003B063A">
      <w:rPr>
        <w:rFonts w:ascii="Arial" w:hAnsi="Arial" w:cs="Arial"/>
        <w:b/>
        <w:snapToGrid w:val="0"/>
        <w:sz w:val="16"/>
        <w:szCs w:val="16"/>
        <w:lang w:val="en-CA"/>
      </w:rPr>
      <w:instrText xml:space="preserve"> PAGE </w:instrText>
    </w:r>
    <w:r w:rsidRPr="003B063A">
      <w:rPr>
        <w:rFonts w:ascii="Arial" w:hAnsi="Arial" w:cs="Arial"/>
        <w:b/>
        <w:snapToGrid w:val="0"/>
        <w:sz w:val="16"/>
        <w:szCs w:val="16"/>
        <w:lang w:val="en-CA"/>
      </w:rPr>
      <w:fldChar w:fldCharType="separate"/>
    </w:r>
    <w:r w:rsidR="00505CA0">
      <w:rPr>
        <w:rFonts w:ascii="Arial" w:hAnsi="Arial" w:cs="Arial"/>
        <w:b/>
        <w:noProof/>
        <w:snapToGrid w:val="0"/>
        <w:sz w:val="16"/>
        <w:szCs w:val="16"/>
        <w:lang w:val="en-CA"/>
      </w:rPr>
      <w:t>1</w:t>
    </w:r>
    <w:r w:rsidRPr="003B063A">
      <w:rPr>
        <w:rFonts w:ascii="Arial" w:hAnsi="Arial" w:cs="Arial"/>
        <w:b/>
        <w:snapToGrid w:val="0"/>
        <w:sz w:val="16"/>
        <w:szCs w:val="16"/>
        <w:lang w:val="en-CA"/>
      </w:rPr>
      <w:fldChar w:fldCharType="end"/>
    </w:r>
    <w:r w:rsidRPr="003B063A">
      <w:rPr>
        <w:rFonts w:ascii="Arial" w:hAnsi="Arial" w:cs="Arial"/>
        <w:b/>
        <w:snapToGrid w:val="0"/>
        <w:sz w:val="16"/>
        <w:szCs w:val="16"/>
        <w:lang w:val="en-CA"/>
      </w:rPr>
      <w:t xml:space="preserve"> of </w:t>
    </w:r>
    <w:r w:rsidRPr="003B063A">
      <w:rPr>
        <w:rStyle w:val="PageNumber"/>
        <w:rFonts w:ascii="Arial" w:hAnsi="Arial" w:cs="Arial"/>
        <w:b/>
        <w:sz w:val="16"/>
        <w:szCs w:val="16"/>
      </w:rPr>
      <w:fldChar w:fldCharType="begin"/>
    </w:r>
    <w:r w:rsidRPr="003B063A">
      <w:rPr>
        <w:rStyle w:val="PageNumber"/>
        <w:rFonts w:ascii="Arial" w:hAnsi="Arial" w:cs="Arial"/>
        <w:b/>
        <w:sz w:val="16"/>
        <w:szCs w:val="16"/>
      </w:rPr>
      <w:instrText xml:space="preserve"> NUMPAGES </w:instrText>
    </w:r>
    <w:r w:rsidRPr="003B063A">
      <w:rPr>
        <w:rStyle w:val="PageNumber"/>
        <w:rFonts w:ascii="Arial" w:hAnsi="Arial" w:cs="Arial"/>
        <w:b/>
        <w:sz w:val="16"/>
        <w:szCs w:val="16"/>
      </w:rPr>
      <w:fldChar w:fldCharType="separate"/>
    </w:r>
    <w:r w:rsidR="00505CA0">
      <w:rPr>
        <w:rStyle w:val="PageNumber"/>
        <w:rFonts w:ascii="Arial" w:hAnsi="Arial" w:cs="Arial"/>
        <w:b/>
        <w:noProof/>
        <w:sz w:val="16"/>
        <w:szCs w:val="16"/>
      </w:rPr>
      <w:t>4</w:t>
    </w:r>
    <w:r w:rsidRPr="003B063A">
      <w:rPr>
        <w:rStyle w:val="PageNumber"/>
        <w:rFonts w:ascii="Arial" w:hAnsi="Arial" w:cs="Arial"/>
        <w:b/>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004D2"/>
    <w:multiLevelType w:val="multilevel"/>
    <w:tmpl w:val="E9A62710"/>
    <w:lvl w:ilvl="0">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F735072"/>
    <w:multiLevelType w:val="hybridMultilevel"/>
    <w:tmpl w:val="AB08F0E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20D27F4"/>
    <w:multiLevelType w:val="multilevel"/>
    <w:tmpl w:val="B5564ACA"/>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1623621E"/>
    <w:multiLevelType w:val="hybridMultilevel"/>
    <w:tmpl w:val="A54E1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AD0824"/>
    <w:multiLevelType w:val="hybridMultilevel"/>
    <w:tmpl w:val="13BC5BE2"/>
    <w:lvl w:ilvl="0" w:tplc="AE22FFD2">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765D38"/>
    <w:multiLevelType w:val="hybridMultilevel"/>
    <w:tmpl w:val="13BC5BE2"/>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24D2EAF"/>
    <w:multiLevelType w:val="hybridMultilevel"/>
    <w:tmpl w:val="C98CBC5C"/>
    <w:lvl w:ilvl="0" w:tplc="5D6682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EA410C"/>
    <w:multiLevelType w:val="hybridMultilevel"/>
    <w:tmpl w:val="FEE88DCA"/>
    <w:lvl w:ilvl="0" w:tplc="7C0068D4">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29B65326"/>
    <w:multiLevelType w:val="hybridMultilevel"/>
    <w:tmpl w:val="A2D41828"/>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32826685"/>
    <w:multiLevelType w:val="multilevel"/>
    <w:tmpl w:val="B5564ACA"/>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348515D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C997DDC"/>
    <w:multiLevelType w:val="multilevel"/>
    <w:tmpl w:val="4950DE72"/>
    <w:lvl w:ilvl="0">
      <w:start w:val="1"/>
      <w:numFmt w:val="decimal"/>
      <w:lvlText w:val="%1."/>
      <w:lvlJc w:val="left"/>
      <w:pPr>
        <w:ind w:left="720" w:hanging="720"/>
      </w:pPr>
      <w:rPr>
        <w:rFonts w:hint="default"/>
      </w:rPr>
    </w:lvl>
    <w:lvl w:ilvl="1">
      <w:start w:val="1"/>
      <w:numFmt w:val="decimal"/>
      <w:suff w:val="space"/>
      <w:lvlText w:val="%1.%2."/>
      <w:lvlJc w:val="left"/>
      <w:pPr>
        <w:ind w:left="1224" w:hanging="504"/>
      </w:pPr>
      <w:rPr>
        <w:rFonts w:hint="default"/>
      </w:rPr>
    </w:lvl>
    <w:lvl w:ilvl="2">
      <w:start w:val="1"/>
      <w:numFmt w:val="decimal"/>
      <w:suff w:val="space"/>
      <w:lvlText w:val="%1.%2.%3."/>
      <w:lvlJc w:val="left"/>
      <w:pPr>
        <w:ind w:left="2232" w:hanging="792"/>
      </w:pPr>
      <w:rPr>
        <w:rFonts w:hint="default"/>
      </w:rPr>
    </w:lvl>
    <w:lvl w:ilvl="3">
      <w:start w:val="1"/>
      <w:numFmt w:val="decimal"/>
      <w:suff w:val="space"/>
      <w:lvlText w:val="%1.%2.%3.%4."/>
      <w:lvlJc w:val="left"/>
      <w:pPr>
        <w:ind w:left="3168" w:hanging="1008"/>
      </w:pPr>
      <w:rPr>
        <w:rFonts w:hint="default"/>
      </w:rPr>
    </w:lvl>
    <w:lvl w:ilvl="4">
      <w:start w:val="1"/>
      <w:numFmt w:val="decimal"/>
      <w:suff w:val="space"/>
      <w:lvlText w:val="%1.%2.%3.%4.%5."/>
      <w:lvlJc w:val="left"/>
      <w:pPr>
        <w:ind w:left="3960" w:hanging="1080"/>
      </w:pPr>
      <w:rPr>
        <w:rFonts w:hint="default"/>
      </w:rPr>
    </w:lvl>
    <w:lvl w:ilvl="5">
      <w:start w:val="1"/>
      <w:numFmt w:val="decimal"/>
      <w:lvlText w:val="%1.%2.%3.%4.%5.%6."/>
      <w:lvlJc w:val="left"/>
      <w:pPr>
        <w:ind w:left="6120" w:hanging="25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2">
    <w:nsid w:val="3D5E7D94"/>
    <w:multiLevelType w:val="hybridMultilevel"/>
    <w:tmpl w:val="61C68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AA180D"/>
    <w:multiLevelType w:val="multilevel"/>
    <w:tmpl w:val="9DA08CE8"/>
    <w:lvl w:ilvl="0">
      <w:start w:val="3"/>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42FB6013"/>
    <w:multiLevelType w:val="singleLevel"/>
    <w:tmpl w:val="0409000F"/>
    <w:lvl w:ilvl="0">
      <w:start w:val="8"/>
      <w:numFmt w:val="decimal"/>
      <w:lvlText w:val="%1."/>
      <w:lvlJc w:val="left"/>
      <w:pPr>
        <w:tabs>
          <w:tab w:val="num" w:pos="360"/>
        </w:tabs>
        <w:ind w:left="360" w:hanging="360"/>
      </w:pPr>
      <w:rPr>
        <w:rFonts w:hint="default"/>
      </w:rPr>
    </w:lvl>
  </w:abstractNum>
  <w:abstractNum w:abstractNumId="15">
    <w:nsid w:val="44CB5DB6"/>
    <w:multiLevelType w:val="hybridMultilevel"/>
    <w:tmpl w:val="D270B8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CB3AB3"/>
    <w:multiLevelType w:val="singleLevel"/>
    <w:tmpl w:val="0409000F"/>
    <w:lvl w:ilvl="0">
      <w:start w:val="2"/>
      <w:numFmt w:val="decimal"/>
      <w:lvlText w:val="%1."/>
      <w:lvlJc w:val="left"/>
      <w:pPr>
        <w:tabs>
          <w:tab w:val="num" w:pos="360"/>
        </w:tabs>
        <w:ind w:left="360" w:hanging="360"/>
      </w:pPr>
      <w:rPr>
        <w:rFonts w:hint="default"/>
      </w:rPr>
    </w:lvl>
  </w:abstractNum>
  <w:abstractNum w:abstractNumId="17">
    <w:nsid w:val="50D370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5D616BA"/>
    <w:multiLevelType w:val="hybridMultilevel"/>
    <w:tmpl w:val="3CB44AC8"/>
    <w:lvl w:ilvl="0" w:tplc="0978865C">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E365D70"/>
    <w:multiLevelType w:val="hybridMultilevel"/>
    <w:tmpl w:val="A27C21D6"/>
    <w:lvl w:ilvl="0" w:tplc="2892D3A0">
      <w:start w:val="1"/>
      <w:numFmt w:val="bullet"/>
      <w:lvlText w:val=""/>
      <w:lvlJc w:val="left"/>
      <w:pPr>
        <w:tabs>
          <w:tab w:val="num" w:pos="288"/>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91E3432"/>
    <w:multiLevelType w:val="hybridMultilevel"/>
    <w:tmpl w:val="13BC5BE2"/>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7BFB2AF4"/>
    <w:multiLevelType w:val="hybridMultilevel"/>
    <w:tmpl w:val="F8906920"/>
    <w:lvl w:ilvl="0" w:tplc="05EA46FE">
      <w:numFmt w:val="bullet"/>
      <w:lvlText w:val="-"/>
      <w:lvlJc w:val="left"/>
      <w:pPr>
        <w:ind w:left="3240" w:hanging="360"/>
      </w:pPr>
      <w:rPr>
        <w:rFonts w:ascii="Arial" w:eastAsiaTheme="minorEastAsia" w:hAnsi="Aria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9"/>
  </w:num>
  <w:num w:numId="2">
    <w:abstractNumId w:val="0"/>
  </w:num>
  <w:num w:numId="3">
    <w:abstractNumId w:val="13"/>
  </w:num>
  <w:num w:numId="4">
    <w:abstractNumId w:val="16"/>
  </w:num>
  <w:num w:numId="5">
    <w:abstractNumId w:val="14"/>
  </w:num>
  <w:num w:numId="6">
    <w:abstractNumId w:val="1"/>
  </w:num>
  <w:num w:numId="7">
    <w:abstractNumId w:val="19"/>
  </w:num>
  <w:num w:numId="8">
    <w:abstractNumId w:val="4"/>
  </w:num>
  <w:num w:numId="9">
    <w:abstractNumId w:val="5"/>
  </w:num>
  <w:num w:numId="10">
    <w:abstractNumId w:val="20"/>
  </w:num>
  <w:num w:numId="11">
    <w:abstractNumId w:val="3"/>
  </w:num>
  <w:num w:numId="12">
    <w:abstractNumId w:val="12"/>
  </w:num>
  <w:num w:numId="13">
    <w:abstractNumId w:val="6"/>
  </w:num>
  <w:num w:numId="14">
    <w:abstractNumId w:val="7"/>
  </w:num>
  <w:num w:numId="15">
    <w:abstractNumId w:val="11"/>
  </w:num>
  <w:num w:numId="16">
    <w:abstractNumId w:val="18"/>
  </w:num>
  <w:num w:numId="17">
    <w:abstractNumId w:val="8"/>
  </w:num>
  <w:num w:numId="18">
    <w:abstractNumId w:val="15"/>
  </w:num>
  <w:num w:numId="19">
    <w:abstractNumId w:val="17"/>
  </w:num>
  <w:num w:numId="20">
    <w:abstractNumId w:val="2"/>
  </w:num>
  <w:num w:numId="21">
    <w:abstractNumId w:val="1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37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884"/>
    <w:rsid w:val="00004C0C"/>
    <w:rsid w:val="00006841"/>
    <w:rsid w:val="00007A1C"/>
    <w:rsid w:val="00014B9A"/>
    <w:rsid w:val="000256D8"/>
    <w:rsid w:val="0004711E"/>
    <w:rsid w:val="000537BD"/>
    <w:rsid w:val="00080C45"/>
    <w:rsid w:val="00095EB6"/>
    <w:rsid w:val="000A1DF4"/>
    <w:rsid w:val="000F171E"/>
    <w:rsid w:val="00103042"/>
    <w:rsid w:val="00111D3C"/>
    <w:rsid w:val="00124668"/>
    <w:rsid w:val="00135F65"/>
    <w:rsid w:val="00141200"/>
    <w:rsid w:val="00166E5B"/>
    <w:rsid w:val="00166F70"/>
    <w:rsid w:val="00170BCD"/>
    <w:rsid w:val="001D3D92"/>
    <w:rsid w:val="001F65D4"/>
    <w:rsid w:val="00200480"/>
    <w:rsid w:val="00214D26"/>
    <w:rsid w:val="002510CC"/>
    <w:rsid w:val="00264E27"/>
    <w:rsid w:val="00273810"/>
    <w:rsid w:val="002B7B1A"/>
    <w:rsid w:val="002C1465"/>
    <w:rsid w:val="002C74C5"/>
    <w:rsid w:val="002E2DF3"/>
    <w:rsid w:val="00302534"/>
    <w:rsid w:val="00317CD7"/>
    <w:rsid w:val="0035084A"/>
    <w:rsid w:val="00353281"/>
    <w:rsid w:val="0036237F"/>
    <w:rsid w:val="003644D8"/>
    <w:rsid w:val="003A625E"/>
    <w:rsid w:val="003B063A"/>
    <w:rsid w:val="003E1F29"/>
    <w:rsid w:val="004152E8"/>
    <w:rsid w:val="00423F90"/>
    <w:rsid w:val="00441673"/>
    <w:rsid w:val="00444859"/>
    <w:rsid w:val="004544AA"/>
    <w:rsid w:val="00457837"/>
    <w:rsid w:val="00464FDA"/>
    <w:rsid w:val="00465F54"/>
    <w:rsid w:val="00474452"/>
    <w:rsid w:val="00497AB7"/>
    <w:rsid w:val="004B073C"/>
    <w:rsid w:val="00505CA0"/>
    <w:rsid w:val="005173BD"/>
    <w:rsid w:val="00523879"/>
    <w:rsid w:val="00525E0B"/>
    <w:rsid w:val="00530A52"/>
    <w:rsid w:val="00534D6D"/>
    <w:rsid w:val="005579A2"/>
    <w:rsid w:val="00557A36"/>
    <w:rsid w:val="0056244E"/>
    <w:rsid w:val="00571A79"/>
    <w:rsid w:val="00573448"/>
    <w:rsid w:val="00593C8C"/>
    <w:rsid w:val="005B6884"/>
    <w:rsid w:val="005E35ED"/>
    <w:rsid w:val="00632C80"/>
    <w:rsid w:val="0065478A"/>
    <w:rsid w:val="00682204"/>
    <w:rsid w:val="006F43FD"/>
    <w:rsid w:val="0071072A"/>
    <w:rsid w:val="0071125F"/>
    <w:rsid w:val="007129E5"/>
    <w:rsid w:val="007227B9"/>
    <w:rsid w:val="0075068E"/>
    <w:rsid w:val="00766704"/>
    <w:rsid w:val="00771F16"/>
    <w:rsid w:val="0078424E"/>
    <w:rsid w:val="007916E7"/>
    <w:rsid w:val="007C27CF"/>
    <w:rsid w:val="007E777D"/>
    <w:rsid w:val="008059BB"/>
    <w:rsid w:val="0080784D"/>
    <w:rsid w:val="00822C09"/>
    <w:rsid w:val="00871D3B"/>
    <w:rsid w:val="008A66EC"/>
    <w:rsid w:val="008B5278"/>
    <w:rsid w:val="008C1B52"/>
    <w:rsid w:val="008D78AD"/>
    <w:rsid w:val="008E218A"/>
    <w:rsid w:val="008E60DA"/>
    <w:rsid w:val="008E710C"/>
    <w:rsid w:val="00910658"/>
    <w:rsid w:val="00910ADB"/>
    <w:rsid w:val="0092749D"/>
    <w:rsid w:val="00941B36"/>
    <w:rsid w:val="009435CC"/>
    <w:rsid w:val="00951C85"/>
    <w:rsid w:val="009604F3"/>
    <w:rsid w:val="00974976"/>
    <w:rsid w:val="00991BAE"/>
    <w:rsid w:val="00995666"/>
    <w:rsid w:val="009978CA"/>
    <w:rsid w:val="009E3C4F"/>
    <w:rsid w:val="009E48C2"/>
    <w:rsid w:val="009E6CDD"/>
    <w:rsid w:val="009F3902"/>
    <w:rsid w:val="00A01438"/>
    <w:rsid w:val="00A102F2"/>
    <w:rsid w:val="00A24842"/>
    <w:rsid w:val="00A26B7F"/>
    <w:rsid w:val="00A36EBD"/>
    <w:rsid w:val="00A64BE7"/>
    <w:rsid w:val="00A821D0"/>
    <w:rsid w:val="00AA599F"/>
    <w:rsid w:val="00AC1889"/>
    <w:rsid w:val="00AE3E56"/>
    <w:rsid w:val="00AF30D7"/>
    <w:rsid w:val="00AF49F9"/>
    <w:rsid w:val="00B0041D"/>
    <w:rsid w:val="00B029D5"/>
    <w:rsid w:val="00B11C9C"/>
    <w:rsid w:val="00B12C75"/>
    <w:rsid w:val="00B23735"/>
    <w:rsid w:val="00B4678C"/>
    <w:rsid w:val="00B508CB"/>
    <w:rsid w:val="00B55BA7"/>
    <w:rsid w:val="00B56317"/>
    <w:rsid w:val="00B634D0"/>
    <w:rsid w:val="00B72147"/>
    <w:rsid w:val="00B7669F"/>
    <w:rsid w:val="00BA280E"/>
    <w:rsid w:val="00BB23E3"/>
    <w:rsid w:val="00BB6C86"/>
    <w:rsid w:val="00BC4CE2"/>
    <w:rsid w:val="00BD26B7"/>
    <w:rsid w:val="00BF4A24"/>
    <w:rsid w:val="00C24BFA"/>
    <w:rsid w:val="00C26E7C"/>
    <w:rsid w:val="00C27566"/>
    <w:rsid w:val="00C837E8"/>
    <w:rsid w:val="00CB729F"/>
    <w:rsid w:val="00CD26B4"/>
    <w:rsid w:val="00CF27DD"/>
    <w:rsid w:val="00D00776"/>
    <w:rsid w:val="00D16847"/>
    <w:rsid w:val="00D418D9"/>
    <w:rsid w:val="00D42400"/>
    <w:rsid w:val="00D47812"/>
    <w:rsid w:val="00D73549"/>
    <w:rsid w:val="00D829CC"/>
    <w:rsid w:val="00DB75DD"/>
    <w:rsid w:val="00DC323F"/>
    <w:rsid w:val="00DC5700"/>
    <w:rsid w:val="00DE570F"/>
    <w:rsid w:val="00E00406"/>
    <w:rsid w:val="00E52C48"/>
    <w:rsid w:val="00E54B8F"/>
    <w:rsid w:val="00E61634"/>
    <w:rsid w:val="00E8120B"/>
    <w:rsid w:val="00E93791"/>
    <w:rsid w:val="00ED6D95"/>
    <w:rsid w:val="00F0769E"/>
    <w:rsid w:val="00F140D5"/>
    <w:rsid w:val="00F37F17"/>
    <w:rsid w:val="00F556F0"/>
    <w:rsid w:val="00F5675C"/>
    <w:rsid w:val="00F63D53"/>
    <w:rsid w:val="00F7542C"/>
    <w:rsid w:val="00F92298"/>
    <w:rsid w:val="00F96488"/>
    <w:rsid w:val="00FB79A6"/>
    <w:rsid w:val="00FD39A9"/>
    <w:rsid w:val="00FE65D2"/>
    <w:rsid w:val="00FE6FEC"/>
    <w:rsid w:val="00FF1BD1"/>
    <w:rsid w:val="00FF5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80"/>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237F"/>
  </w:style>
  <w:style w:type="paragraph" w:styleId="Heading1">
    <w:name w:val="heading 1"/>
    <w:basedOn w:val="Normal"/>
    <w:next w:val="Normal"/>
    <w:link w:val="Heading1Char"/>
    <w:uiPriority w:val="9"/>
    <w:qFormat/>
    <w:rsid w:val="003623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623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6237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6237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6237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6237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6237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6237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6237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36237F"/>
    <w:pPr>
      <w:ind w:left="720"/>
      <w:contextualSpacing/>
    </w:pPr>
  </w:style>
  <w:style w:type="paragraph" w:styleId="BodyText">
    <w:name w:val="Body Text"/>
    <w:basedOn w:val="Normal"/>
    <w:link w:val="BodyTextChar"/>
    <w:rsid w:val="004B073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rFonts w:ascii="Arial" w:hAnsi="Arial"/>
      <w:sz w:val="20"/>
      <w:szCs w:val="20"/>
    </w:rPr>
  </w:style>
  <w:style w:type="character" w:customStyle="1" w:styleId="BodyTextChar">
    <w:name w:val="Body Text Char"/>
    <w:basedOn w:val="DefaultParagraphFont"/>
    <w:link w:val="BodyText"/>
    <w:rsid w:val="004B073C"/>
    <w:rPr>
      <w:rFonts w:ascii="Arial" w:hAnsi="Arial"/>
    </w:rPr>
  </w:style>
  <w:style w:type="paragraph" w:styleId="BodyText2">
    <w:name w:val="Body Text 2"/>
    <w:basedOn w:val="Normal"/>
    <w:link w:val="BodyText2Char"/>
    <w:rsid w:val="004B073C"/>
    <w:rPr>
      <w:rFonts w:ascii="Arial" w:hAnsi="Arial"/>
      <w:snapToGrid w:val="0"/>
      <w:color w:val="000000"/>
      <w:sz w:val="20"/>
      <w:szCs w:val="20"/>
    </w:rPr>
  </w:style>
  <w:style w:type="character" w:customStyle="1" w:styleId="BodyText2Char">
    <w:name w:val="Body Text 2 Char"/>
    <w:basedOn w:val="DefaultParagraphFont"/>
    <w:link w:val="BodyText2"/>
    <w:rsid w:val="004B073C"/>
    <w:rPr>
      <w:rFonts w:ascii="Arial" w:hAnsi="Arial"/>
      <w:snapToGrid w:val="0"/>
      <w:color w:val="000000"/>
    </w:rPr>
  </w:style>
  <w:style w:type="paragraph" w:styleId="BalloonText">
    <w:name w:val="Balloon Text"/>
    <w:basedOn w:val="Normal"/>
    <w:link w:val="BalloonTextChar"/>
    <w:rsid w:val="00E93791"/>
    <w:rPr>
      <w:rFonts w:ascii="Tahoma" w:hAnsi="Tahoma" w:cs="Tahoma"/>
      <w:sz w:val="16"/>
      <w:szCs w:val="16"/>
    </w:rPr>
  </w:style>
  <w:style w:type="character" w:customStyle="1" w:styleId="BalloonTextChar">
    <w:name w:val="Balloon Text Char"/>
    <w:basedOn w:val="DefaultParagraphFont"/>
    <w:link w:val="BalloonText"/>
    <w:rsid w:val="00E93791"/>
    <w:rPr>
      <w:rFonts w:ascii="Tahoma" w:hAnsi="Tahoma" w:cs="Tahoma"/>
      <w:sz w:val="16"/>
      <w:szCs w:val="16"/>
    </w:rPr>
  </w:style>
  <w:style w:type="paragraph" w:styleId="BodyTextIndent">
    <w:name w:val="Body Text Indent"/>
    <w:basedOn w:val="Normal"/>
    <w:link w:val="BodyTextIndentChar"/>
    <w:rsid w:val="00423F90"/>
    <w:pPr>
      <w:spacing w:after="120"/>
      <w:ind w:left="360"/>
    </w:pPr>
  </w:style>
  <w:style w:type="character" w:customStyle="1" w:styleId="BodyTextIndentChar">
    <w:name w:val="Body Text Indent Char"/>
    <w:basedOn w:val="DefaultParagraphFont"/>
    <w:link w:val="BodyTextIndent"/>
    <w:rsid w:val="00423F90"/>
    <w:rPr>
      <w:sz w:val="24"/>
      <w:szCs w:val="24"/>
    </w:rPr>
  </w:style>
  <w:style w:type="character" w:customStyle="1" w:styleId="Heading3Char">
    <w:name w:val="Heading 3 Char"/>
    <w:basedOn w:val="DefaultParagraphFont"/>
    <w:link w:val="Heading3"/>
    <w:uiPriority w:val="9"/>
    <w:rsid w:val="0036237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6237F"/>
    <w:rPr>
      <w:rFonts w:asciiTheme="majorHAnsi" w:eastAsiaTheme="majorEastAsia" w:hAnsiTheme="majorHAnsi" w:cstheme="majorBidi"/>
      <w:b/>
      <w:bCs/>
      <w:i/>
      <w:iCs/>
      <w:color w:val="4F81BD" w:themeColor="accent1"/>
    </w:rPr>
  </w:style>
  <w:style w:type="paragraph" w:styleId="NoSpacing">
    <w:name w:val="No Spacing"/>
    <w:uiPriority w:val="1"/>
    <w:qFormat/>
    <w:rsid w:val="0036237F"/>
    <w:pPr>
      <w:spacing w:after="0"/>
    </w:pPr>
  </w:style>
  <w:style w:type="character" w:customStyle="1" w:styleId="Heading1Char">
    <w:name w:val="Heading 1 Char"/>
    <w:basedOn w:val="DefaultParagraphFont"/>
    <w:link w:val="Heading1"/>
    <w:uiPriority w:val="9"/>
    <w:rsid w:val="0036237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rsid w:val="00771F16"/>
    <w:rPr>
      <w:color w:val="0000FF"/>
      <w:u w:val="single"/>
    </w:rPr>
  </w:style>
  <w:style w:type="character" w:customStyle="1" w:styleId="Heading2Char">
    <w:name w:val="Heading 2 Char"/>
    <w:basedOn w:val="DefaultParagraphFont"/>
    <w:link w:val="Heading2"/>
    <w:uiPriority w:val="9"/>
    <w:semiHidden/>
    <w:rsid w:val="0036237F"/>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36237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6237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6237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6237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6237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6237F"/>
    <w:rPr>
      <w:b/>
      <w:bCs/>
      <w:color w:val="4F81BD" w:themeColor="accent1"/>
      <w:sz w:val="18"/>
      <w:szCs w:val="18"/>
    </w:rPr>
  </w:style>
  <w:style w:type="paragraph" w:styleId="Title">
    <w:name w:val="Title"/>
    <w:basedOn w:val="Normal"/>
    <w:next w:val="Normal"/>
    <w:link w:val="TitleChar"/>
    <w:uiPriority w:val="10"/>
    <w:qFormat/>
    <w:rsid w:val="0036237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6237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6237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6237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6237F"/>
    <w:rPr>
      <w:b/>
      <w:bCs/>
    </w:rPr>
  </w:style>
  <w:style w:type="character" w:styleId="Emphasis">
    <w:name w:val="Emphasis"/>
    <w:basedOn w:val="DefaultParagraphFont"/>
    <w:uiPriority w:val="20"/>
    <w:qFormat/>
    <w:rsid w:val="0036237F"/>
    <w:rPr>
      <w:i/>
      <w:iCs/>
    </w:rPr>
  </w:style>
  <w:style w:type="paragraph" w:styleId="Quote">
    <w:name w:val="Quote"/>
    <w:basedOn w:val="Normal"/>
    <w:next w:val="Normal"/>
    <w:link w:val="QuoteChar"/>
    <w:uiPriority w:val="29"/>
    <w:qFormat/>
    <w:rsid w:val="0036237F"/>
    <w:rPr>
      <w:i/>
      <w:iCs/>
      <w:color w:val="000000" w:themeColor="text1"/>
    </w:rPr>
  </w:style>
  <w:style w:type="character" w:customStyle="1" w:styleId="QuoteChar">
    <w:name w:val="Quote Char"/>
    <w:basedOn w:val="DefaultParagraphFont"/>
    <w:link w:val="Quote"/>
    <w:uiPriority w:val="29"/>
    <w:rsid w:val="0036237F"/>
    <w:rPr>
      <w:i/>
      <w:iCs/>
      <w:color w:val="000000" w:themeColor="text1"/>
    </w:rPr>
  </w:style>
  <w:style w:type="paragraph" w:styleId="IntenseQuote">
    <w:name w:val="Intense Quote"/>
    <w:basedOn w:val="Normal"/>
    <w:next w:val="Normal"/>
    <w:link w:val="IntenseQuoteChar"/>
    <w:uiPriority w:val="30"/>
    <w:qFormat/>
    <w:rsid w:val="0036237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6237F"/>
    <w:rPr>
      <w:b/>
      <w:bCs/>
      <w:i/>
      <w:iCs/>
      <w:color w:val="4F81BD" w:themeColor="accent1"/>
    </w:rPr>
  </w:style>
  <w:style w:type="character" w:styleId="SubtleEmphasis">
    <w:name w:val="Subtle Emphasis"/>
    <w:basedOn w:val="DefaultParagraphFont"/>
    <w:uiPriority w:val="19"/>
    <w:qFormat/>
    <w:rsid w:val="0036237F"/>
    <w:rPr>
      <w:i/>
      <w:iCs/>
      <w:color w:val="808080" w:themeColor="text1" w:themeTint="7F"/>
    </w:rPr>
  </w:style>
  <w:style w:type="character" w:styleId="IntenseEmphasis">
    <w:name w:val="Intense Emphasis"/>
    <w:basedOn w:val="DefaultParagraphFont"/>
    <w:uiPriority w:val="21"/>
    <w:qFormat/>
    <w:rsid w:val="0036237F"/>
    <w:rPr>
      <w:b/>
      <w:bCs/>
      <w:i/>
      <w:iCs/>
      <w:color w:val="4F81BD" w:themeColor="accent1"/>
    </w:rPr>
  </w:style>
  <w:style w:type="character" w:styleId="SubtleReference">
    <w:name w:val="Subtle Reference"/>
    <w:basedOn w:val="DefaultParagraphFont"/>
    <w:uiPriority w:val="31"/>
    <w:qFormat/>
    <w:rsid w:val="0036237F"/>
    <w:rPr>
      <w:smallCaps/>
      <w:color w:val="C0504D" w:themeColor="accent2"/>
      <w:u w:val="single"/>
    </w:rPr>
  </w:style>
  <w:style w:type="character" w:styleId="IntenseReference">
    <w:name w:val="Intense Reference"/>
    <w:basedOn w:val="DefaultParagraphFont"/>
    <w:uiPriority w:val="32"/>
    <w:qFormat/>
    <w:rsid w:val="0036237F"/>
    <w:rPr>
      <w:b/>
      <w:bCs/>
      <w:smallCaps/>
      <w:color w:val="C0504D" w:themeColor="accent2"/>
      <w:spacing w:val="5"/>
      <w:u w:val="single"/>
    </w:rPr>
  </w:style>
  <w:style w:type="character" w:styleId="BookTitle">
    <w:name w:val="Book Title"/>
    <w:basedOn w:val="DefaultParagraphFont"/>
    <w:uiPriority w:val="33"/>
    <w:qFormat/>
    <w:rsid w:val="0036237F"/>
    <w:rPr>
      <w:b/>
      <w:bCs/>
      <w:smallCaps/>
      <w:spacing w:val="5"/>
    </w:rPr>
  </w:style>
  <w:style w:type="paragraph" w:styleId="TOCHeading">
    <w:name w:val="TOC Heading"/>
    <w:basedOn w:val="Heading1"/>
    <w:next w:val="Normal"/>
    <w:uiPriority w:val="39"/>
    <w:semiHidden/>
    <w:unhideWhenUsed/>
    <w:qFormat/>
    <w:rsid w:val="0036237F"/>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80"/>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237F"/>
  </w:style>
  <w:style w:type="paragraph" w:styleId="Heading1">
    <w:name w:val="heading 1"/>
    <w:basedOn w:val="Normal"/>
    <w:next w:val="Normal"/>
    <w:link w:val="Heading1Char"/>
    <w:uiPriority w:val="9"/>
    <w:qFormat/>
    <w:rsid w:val="003623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623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6237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6237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6237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6237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6237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6237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6237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36237F"/>
    <w:pPr>
      <w:ind w:left="720"/>
      <w:contextualSpacing/>
    </w:pPr>
  </w:style>
  <w:style w:type="paragraph" w:styleId="BodyText">
    <w:name w:val="Body Text"/>
    <w:basedOn w:val="Normal"/>
    <w:link w:val="BodyTextChar"/>
    <w:rsid w:val="004B073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rFonts w:ascii="Arial" w:hAnsi="Arial"/>
      <w:sz w:val="20"/>
      <w:szCs w:val="20"/>
    </w:rPr>
  </w:style>
  <w:style w:type="character" w:customStyle="1" w:styleId="BodyTextChar">
    <w:name w:val="Body Text Char"/>
    <w:basedOn w:val="DefaultParagraphFont"/>
    <w:link w:val="BodyText"/>
    <w:rsid w:val="004B073C"/>
    <w:rPr>
      <w:rFonts w:ascii="Arial" w:hAnsi="Arial"/>
    </w:rPr>
  </w:style>
  <w:style w:type="paragraph" w:styleId="BodyText2">
    <w:name w:val="Body Text 2"/>
    <w:basedOn w:val="Normal"/>
    <w:link w:val="BodyText2Char"/>
    <w:rsid w:val="004B073C"/>
    <w:rPr>
      <w:rFonts w:ascii="Arial" w:hAnsi="Arial"/>
      <w:snapToGrid w:val="0"/>
      <w:color w:val="000000"/>
      <w:sz w:val="20"/>
      <w:szCs w:val="20"/>
    </w:rPr>
  </w:style>
  <w:style w:type="character" w:customStyle="1" w:styleId="BodyText2Char">
    <w:name w:val="Body Text 2 Char"/>
    <w:basedOn w:val="DefaultParagraphFont"/>
    <w:link w:val="BodyText2"/>
    <w:rsid w:val="004B073C"/>
    <w:rPr>
      <w:rFonts w:ascii="Arial" w:hAnsi="Arial"/>
      <w:snapToGrid w:val="0"/>
      <w:color w:val="000000"/>
    </w:rPr>
  </w:style>
  <w:style w:type="paragraph" w:styleId="BalloonText">
    <w:name w:val="Balloon Text"/>
    <w:basedOn w:val="Normal"/>
    <w:link w:val="BalloonTextChar"/>
    <w:rsid w:val="00E93791"/>
    <w:rPr>
      <w:rFonts w:ascii="Tahoma" w:hAnsi="Tahoma" w:cs="Tahoma"/>
      <w:sz w:val="16"/>
      <w:szCs w:val="16"/>
    </w:rPr>
  </w:style>
  <w:style w:type="character" w:customStyle="1" w:styleId="BalloonTextChar">
    <w:name w:val="Balloon Text Char"/>
    <w:basedOn w:val="DefaultParagraphFont"/>
    <w:link w:val="BalloonText"/>
    <w:rsid w:val="00E93791"/>
    <w:rPr>
      <w:rFonts w:ascii="Tahoma" w:hAnsi="Tahoma" w:cs="Tahoma"/>
      <w:sz w:val="16"/>
      <w:szCs w:val="16"/>
    </w:rPr>
  </w:style>
  <w:style w:type="paragraph" w:styleId="BodyTextIndent">
    <w:name w:val="Body Text Indent"/>
    <w:basedOn w:val="Normal"/>
    <w:link w:val="BodyTextIndentChar"/>
    <w:rsid w:val="00423F90"/>
    <w:pPr>
      <w:spacing w:after="120"/>
      <w:ind w:left="360"/>
    </w:pPr>
  </w:style>
  <w:style w:type="character" w:customStyle="1" w:styleId="BodyTextIndentChar">
    <w:name w:val="Body Text Indent Char"/>
    <w:basedOn w:val="DefaultParagraphFont"/>
    <w:link w:val="BodyTextIndent"/>
    <w:rsid w:val="00423F90"/>
    <w:rPr>
      <w:sz w:val="24"/>
      <w:szCs w:val="24"/>
    </w:rPr>
  </w:style>
  <w:style w:type="character" w:customStyle="1" w:styleId="Heading3Char">
    <w:name w:val="Heading 3 Char"/>
    <w:basedOn w:val="DefaultParagraphFont"/>
    <w:link w:val="Heading3"/>
    <w:uiPriority w:val="9"/>
    <w:rsid w:val="0036237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6237F"/>
    <w:rPr>
      <w:rFonts w:asciiTheme="majorHAnsi" w:eastAsiaTheme="majorEastAsia" w:hAnsiTheme="majorHAnsi" w:cstheme="majorBidi"/>
      <w:b/>
      <w:bCs/>
      <w:i/>
      <w:iCs/>
      <w:color w:val="4F81BD" w:themeColor="accent1"/>
    </w:rPr>
  </w:style>
  <w:style w:type="paragraph" w:styleId="NoSpacing">
    <w:name w:val="No Spacing"/>
    <w:uiPriority w:val="1"/>
    <w:qFormat/>
    <w:rsid w:val="0036237F"/>
    <w:pPr>
      <w:spacing w:after="0"/>
    </w:pPr>
  </w:style>
  <w:style w:type="character" w:customStyle="1" w:styleId="Heading1Char">
    <w:name w:val="Heading 1 Char"/>
    <w:basedOn w:val="DefaultParagraphFont"/>
    <w:link w:val="Heading1"/>
    <w:uiPriority w:val="9"/>
    <w:rsid w:val="0036237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rsid w:val="00771F16"/>
    <w:rPr>
      <w:color w:val="0000FF"/>
      <w:u w:val="single"/>
    </w:rPr>
  </w:style>
  <w:style w:type="character" w:customStyle="1" w:styleId="Heading2Char">
    <w:name w:val="Heading 2 Char"/>
    <w:basedOn w:val="DefaultParagraphFont"/>
    <w:link w:val="Heading2"/>
    <w:uiPriority w:val="9"/>
    <w:semiHidden/>
    <w:rsid w:val="0036237F"/>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36237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6237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6237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6237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6237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6237F"/>
    <w:rPr>
      <w:b/>
      <w:bCs/>
      <w:color w:val="4F81BD" w:themeColor="accent1"/>
      <w:sz w:val="18"/>
      <w:szCs w:val="18"/>
    </w:rPr>
  </w:style>
  <w:style w:type="paragraph" w:styleId="Title">
    <w:name w:val="Title"/>
    <w:basedOn w:val="Normal"/>
    <w:next w:val="Normal"/>
    <w:link w:val="TitleChar"/>
    <w:uiPriority w:val="10"/>
    <w:qFormat/>
    <w:rsid w:val="0036237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6237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6237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6237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6237F"/>
    <w:rPr>
      <w:b/>
      <w:bCs/>
    </w:rPr>
  </w:style>
  <w:style w:type="character" w:styleId="Emphasis">
    <w:name w:val="Emphasis"/>
    <w:basedOn w:val="DefaultParagraphFont"/>
    <w:uiPriority w:val="20"/>
    <w:qFormat/>
    <w:rsid w:val="0036237F"/>
    <w:rPr>
      <w:i/>
      <w:iCs/>
    </w:rPr>
  </w:style>
  <w:style w:type="paragraph" w:styleId="Quote">
    <w:name w:val="Quote"/>
    <w:basedOn w:val="Normal"/>
    <w:next w:val="Normal"/>
    <w:link w:val="QuoteChar"/>
    <w:uiPriority w:val="29"/>
    <w:qFormat/>
    <w:rsid w:val="0036237F"/>
    <w:rPr>
      <w:i/>
      <w:iCs/>
      <w:color w:val="000000" w:themeColor="text1"/>
    </w:rPr>
  </w:style>
  <w:style w:type="character" w:customStyle="1" w:styleId="QuoteChar">
    <w:name w:val="Quote Char"/>
    <w:basedOn w:val="DefaultParagraphFont"/>
    <w:link w:val="Quote"/>
    <w:uiPriority w:val="29"/>
    <w:rsid w:val="0036237F"/>
    <w:rPr>
      <w:i/>
      <w:iCs/>
      <w:color w:val="000000" w:themeColor="text1"/>
    </w:rPr>
  </w:style>
  <w:style w:type="paragraph" w:styleId="IntenseQuote">
    <w:name w:val="Intense Quote"/>
    <w:basedOn w:val="Normal"/>
    <w:next w:val="Normal"/>
    <w:link w:val="IntenseQuoteChar"/>
    <w:uiPriority w:val="30"/>
    <w:qFormat/>
    <w:rsid w:val="0036237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6237F"/>
    <w:rPr>
      <w:b/>
      <w:bCs/>
      <w:i/>
      <w:iCs/>
      <w:color w:val="4F81BD" w:themeColor="accent1"/>
    </w:rPr>
  </w:style>
  <w:style w:type="character" w:styleId="SubtleEmphasis">
    <w:name w:val="Subtle Emphasis"/>
    <w:basedOn w:val="DefaultParagraphFont"/>
    <w:uiPriority w:val="19"/>
    <w:qFormat/>
    <w:rsid w:val="0036237F"/>
    <w:rPr>
      <w:i/>
      <w:iCs/>
      <w:color w:val="808080" w:themeColor="text1" w:themeTint="7F"/>
    </w:rPr>
  </w:style>
  <w:style w:type="character" w:styleId="IntenseEmphasis">
    <w:name w:val="Intense Emphasis"/>
    <w:basedOn w:val="DefaultParagraphFont"/>
    <w:uiPriority w:val="21"/>
    <w:qFormat/>
    <w:rsid w:val="0036237F"/>
    <w:rPr>
      <w:b/>
      <w:bCs/>
      <w:i/>
      <w:iCs/>
      <w:color w:val="4F81BD" w:themeColor="accent1"/>
    </w:rPr>
  </w:style>
  <w:style w:type="character" w:styleId="SubtleReference">
    <w:name w:val="Subtle Reference"/>
    <w:basedOn w:val="DefaultParagraphFont"/>
    <w:uiPriority w:val="31"/>
    <w:qFormat/>
    <w:rsid w:val="0036237F"/>
    <w:rPr>
      <w:smallCaps/>
      <w:color w:val="C0504D" w:themeColor="accent2"/>
      <w:u w:val="single"/>
    </w:rPr>
  </w:style>
  <w:style w:type="character" w:styleId="IntenseReference">
    <w:name w:val="Intense Reference"/>
    <w:basedOn w:val="DefaultParagraphFont"/>
    <w:uiPriority w:val="32"/>
    <w:qFormat/>
    <w:rsid w:val="0036237F"/>
    <w:rPr>
      <w:b/>
      <w:bCs/>
      <w:smallCaps/>
      <w:color w:val="C0504D" w:themeColor="accent2"/>
      <w:spacing w:val="5"/>
      <w:u w:val="single"/>
    </w:rPr>
  </w:style>
  <w:style w:type="character" w:styleId="BookTitle">
    <w:name w:val="Book Title"/>
    <w:basedOn w:val="DefaultParagraphFont"/>
    <w:uiPriority w:val="33"/>
    <w:qFormat/>
    <w:rsid w:val="0036237F"/>
    <w:rPr>
      <w:b/>
      <w:bCs/>
      <w:smallCaps/>
      <w:spacing w:val="5"/>
    </w:rPr>
  </w:style>
  <w:style w:type="paragraph" w:styleId="TOCHeading">
    <w:name w:val="TOC Heading"/>
    <w:basedOn w:val="Heading1"/>
    <w:next w:val="Normal"/>
    <w:uiPriority w:val="39"/>
    <w:semiHidden/>
    <w:unhideWhenUsed/>
    <w:qFormat/>
    <w:rsid w:val="0036237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Documents%20and%20Settings\jbooth\Local%20Settings\Temporary%20Internet%20Files\Content.IE5\4HIZG1E3\IHL-QAC-II%20Procedure%20Template%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C08C3-05A1-44F2-89FC-A0A47721A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IHL-QAC-II Procedure Template[1]</Template>
  <TotalTime>0</TotalTime>
  <Pages>4</Pages>
  <Words>1527</Words>
  <Characters>8590</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WRH</Company>
  <LinksUpToDate>false</LinksUpToDate>
  <CharactersWithSpaces>10097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Booth</dc:creator>
  <cp:lastModifiedBy>Jennifer Bawden</cp:lastModifiedBy>
  <cp:revision>2</cp:revision>
  <cp:lastPrinted>2016-01-28T20:34:00Z</cp:lastPrinted>
  <dcterms:created xsi:type="dcterms:W3CDTF">2016-11-10T18:48:00Z</dcterms:created>
  <dcterms:modified xsi:type="dcterms:W3CDTF">2016-11-10T18:48:00Z</dcterms:modified>
</cp:coreProperties>
</file>