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8"/>
        <w:gridCol w:w="1620"/>
        <w:gridCol w:w="3888"/>
      </w:tblGrid>
      <w:tr w:rsidR="00FB1490" w:rsidRPr="00FB1490" w:rsidTr="005E763D">
        <w:tc>
          <w:tcPr>
            <w:tcW w:w="7128" w:type="dxa"/>
            <w:gridSpan w:val="2"/>
          </w:tcPr>
          <w:p w:rsidR="00FB1490" w:rsidRPr="0059191D" w:rsidRDefault="007633E9" w:rsidP="009A2049">
            <w:pPr>
              <w:spacing w:before="120" w:after="120"/>
            </w:pPr>
            <w:r>
              <w:rPr>
                <w:noProof/>
                <w:color w:val="0000FF"/>
                <w:sz w:val="10"/>
              </w:rPr>
              <w:drawing>
                <wp:inline distT="0" distB="0" distL="0" distR="0">
                  <wp:extent cx="1200150" cy="409575"/>
                  <wp:effectExtent l="19050" t="0" r="0" b="0"/>
                  <wp:docPr id="1" name="Picture 1" descr="MultiCare_bc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ltiCare_bc_black"/>
                          <pic:cNvPicPr>
                            <a:picLocks noChangeAspect="1" noChangeArrowheads="1"/>
                          </pic:cNvPicPr>
                        </pic:nvPicPr>
                        <pic:blipFill>
                          <a:blip r:embed="rId8" cstate="print"/>
                          <a:srcRect/>
                          <a:stretch>
                            <a:fillRect/>
                          </a:stretch>
                        </pic:blipFill>
                        <pic:spPr bwMode="auto">
                          <a:xfrm>
                            <a:off x="0" y="0"/>
                            <a:ext cx="1200150" cy="409575"/>
                          </a:xfrm>
                          <a:prstGeom prst="rect">
                            <a:avLst/>
                          </a:prstGeom>
                          <a:noFill/>
                          <a:ln w="9525">
                            <a:noFill/>
                            <a:miter lim="800000"/>
                            <a:headEnd/>
                            <a:tailEnd/>
                          </a:ln>
                        </pic:spPr>
                      </pic:pic>
                    </a:graphicData>
                  </a:graphic>
                </wp:inline>
              </w:drawing>
            </w:r>
          </w:p>
        </w:tc>
        <w:tc>
          <w:tcPr>
            <w:tcW w:w="3888" w:type="dxa"/>
            <w:vAlign w:val="center"/>
          </w:tcPr>
          <w:p w:rsidR="009E6642" w:rsidRPr="0059191D" w:rsidRDefault="007633E9" w:rsidP="00A41AB2">
            <w:pPr>
              <w:jc w:val="center"/>
              <w:rPr>
                <w:b/>
                <w:i/>
              </w:rPr>
            </w:pPr>
            <w:r>
              <w:rPr>
                <w:b/>
                <w:i/>
                <w:noProof/>
              </w:rPr>
              <w:drawing>
                <wp:anchor distT="0" distB="0" distL="114300" distR="114300" simplePos="0" relativeHeight="251657728" behindDoc="0" locked="0" layoutInCell="1" allowOverlap="1">
                  <wp:simplePos x="0" y="0"/>
                  <wp:positionH relativeFrom="column">
                    <wp:posOffset>125095</wp:posOffset>
                  </wp:positionH>
                  <wp:positionV relativeFrom="paragraph">
                    <wp:posOffset>16510</wp:posOffset>
                  </wp:positionV>
                  <wp:extent cx="2057400" cy="516255"/>
                  <wp:effectExtent l="19050" t="0" r="0" b="0"/>
                  <wp:wrapNone/>
                  <wp:docPr id="3" name="Picture 3" descr="labNW logo jpeg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bNW logo jpeg version"/>
                          <pic:cNvPicPr>
                            <a:picLocks noChangeAspect="1" noChangeArrowheads="1"/>
                          </pic:cNvPicPr>
                        </pic:nvPicPr>
                        <pic:blipFill>
                          <a:blip r:embed="rId9" cstate="print"/>
                          <a:srcRect b="14285"/>
                          <a:stretch>
                            <a:fillRect/>
                          </a:stretch>
                        </pic:blipFill>
                        <pic:spPr bwMode="auto">
                          <a:xfrm>
                            <a:off x="0" y="0"/>
                            <a:ext cx="2057400" cy="516255"/>
                          </a:xfrm>
                          <a:prstGeom prst="rect">
                            <a:avLst/>
                          </a:prstGeom>
                          <a:noFill/>
                          <a:ln w="9525">
                            <a:noFill/>
                            <a:miter lim="800000"/>
                            <a:headEnd/>
                            <a:tailEnd/>
                          </a:ln>
                        </pic:spPr>
                      </pic:pic>
                    </a:graphicData>
                  </a:graphic>
                </wp:anchor>
              </w:drawing>
            </w:r>
          </w:p>
        </w:tc>
      </w:tr>
      <w:tr w:rsidR="00E22198" w:rsidRPr="00FB1490" w:rsidTr="005E763D">
        <w:tc>
          <w:tcPr>
            <w:tcW w:w="11016" w:type="dxa"/>
            <w:gridSpan w:val="3"/>
          </w:tcPr>
          <w:p w:rsidR="00E22198" w:rsidRPr="0059191D" w:rsidRDefault="00E22198">
            <w:pPr>
              <w:rPr>
                <w:b/>
                <w:sz w:val="28"/>
              </w:rPr>
            </w:pPr>
          </w:p>
          <w:p w:rsidR="00E22198" w:rsidRPr="00767638" w:rsidRDefault="00E22198" w:rsidP="00C67F76">
            <w:pPr>
              <w:rPr>
                <w:b/>
                <w:sz w:val="28"/>
              </w:rPr>
            </w:pPr>
            <w:r w:rsidRPr="0059191D">
              <w:rPr>
                <w:b/>
                <w:sz w:val="28"/>
              </w:rPr>
              <w:t xml:space="preserve">Title: </w:t>
            </w:r>
            <w:r w:rsidR="00C67F76" w:rsidRPr="00C67F76">
              <w:rPr>
                <w:b/>
                <w:sz w:val="28"/>
                <w:szCs w:val="28"/>
              </w:rPr>
              <w:t>QUALITY MANAGEMENT PLAN</w:t>
            </w:r>
          </w:p>
        </w:tc>
      </w:tr>
      <w:tr w:rsidR="00E22198" w:rsidRPr="00FB1490" w:rsidTr="005E763D">
        <w:tc>
          <w:tcPr>
            <w:tcW w:w="11016" w:type="dxa"/>
            <w:gridSpan w:val="3"/>
          </w:tcPr>
          <w:p w:rsidR="00E22198" w:rsidRDefault="00E22198" w:rsidP="00767638">
            <w:pPr>
              <w:spacing w:after="120"/>
              <w:rPr>
                <w:b/>
              </w:rPr>
            </w:pPr>
            <w:r w:rsidRPr="0059191D">
              <w:rPr>
                <w:b/>
              </w:rPr>
              <w:t>Scope:</w:t>
            </w:r>
          </w:p>
          <w:p w:rsidR="00C67F76" w:rsidRPr="00C67F76" w:rsidRDefault="00C67F76" w:rsidP="00C67F76">
            <w:pPr>
              <w:spacing w:after="120"/>
            </w:pPr>
            <w:r w:rsidRPr="00C67F76">
              <w:t>The Quality Management Plan encompasses all disciplines that are inclusive to LABORATORIES Northwest.</w:t>
            </w:r>
          </w:p>
          <w:tbl>
            <w:tblPr>
              <w:tblW w:w="0" w:type="auto"/>
              <w:tblLayout w:type="fixed"/>
              <w:tblLook w:val="0000"/>
            </w:tblPr>
            <w:tblGrid>
              <w:gridCol w:w="3188"/>
              <w:gridCol w:w="2860"/>
              <w:gridCol w:w="2750"/>
            </w:tblGrid>
            <w:tr w:rsidR="00C67F76" w:rsidRPr="00C67F76" w:rsidTr="00DA6728">
              <w:tc>
                <w:tcPr>
                  <w:tcW w:w="3188" w:type="dxa"/>
                </w:tcPr>
                <w:p w:rsidR="00C67F76" w:rsidRPr="00C67F76" w:rsidRDefault="00C67F76" w:rsidP="00DA6728">
                  <w:r w:rsidRPr="00C67F76">
                    <w:t xml:space="preserve">Transfusion Services </w:t>
                  </w:r>
                </w:p>
              </w:tc>
              <w:tc>
                <w:tcPr>
                  <w:tcW w:w="2860" w:type="dxa"/>
                </w:tcPr>
                <w:p w:rsidR="00C67F76" w:rsidRPr="00C67F76" w:rsidRDefault="00C67F76" w:rsidP="00DA6728">
                  <w:r w:rsidRPr="00C67F76">
                    <w:t xml:space="preserve">Chemistry                     </w:t>
                  </w:r>
                </w:p>
              </w:tc>
              <w:tc>
                <w:tcPr>
                  <w:tcW w:w="2750" w:type="dxa"/>
                </w:tcPr>
                <w:p w:rsidR="00C67F76" w:rsidRPr="00C67F76" w:rsidRDefault="00C67F76" w:rsidP="00DA6728">
                  <w:r w:rsidRPr="00C67F76">
                    <w:t>Molecular</w:t>
                  </w:r>
                </w:p>
              </w:tc>
            </w:tr>
            <w:tr w:rsidR="00C67F76" w:rsidRPr="00C67F76" w:rsidTr="00DA6728">
              <w:tc>
                <w:tcPr>
                  <w:tcW w:w="3188" w:type="dxa"/>
                </w:tcPr>
                <w:p w:rsidR="00C67F76" w:rsidRPr="00C67F76" w:rsidRDefault="00C67F76" w:rsidP="00DA6728">
                  <w:r w:rsidRPr="00C67F76">
                    <w:t>Hematology/Urinalysis</w:t>
                  </w:r>
                </w:p>
              </w:tc>
              <w:tc>
                <w:tcPr>
                  <w:tcW w:w="2860" w:type="dxa"/>
                </w:tcPr>
                <w:p w:rsidR="00C67F76" w:rsidRPr="00C67F76" w:rsidRDefault="00C67F76" w:rsidP="00DA6728">
                  <w:r w:rsidRPr="00C67F76">
                    <w:t>Microbiology</w:t>
                  </w:r>
                </w:p>
              </w:tc>
              <w:tc>
                <w:tcPr>
                  <w:tcW w:w="2750" w:type="dxa"/>
                </w:tcPr>
                <w:p w:rsidR="00C67F76" w:rsidRPr="00C67F76" w:rsidRDefault="00C67F76" w:rsidP="00DA6728">
                  <w:r w:rsidRPr="00C67F76">
                    <w:t>Flow Cytometry</w:t>
                  </w:r>
                </w:p>
              </w:tc>
            </w:tr>
            <w:tr w:rsidR="00C67F76" w:rsidRPr="00C67F76" w:rsidTr="00DA6728">
              <w:trPr>
                <w:trHeight w:val="203"/>
              </w:trPr>
              <w:tc>
                <w:tcPr>
                  <w:tcW w:w="3188" w:type="dxa"/>
                </w:tcPr>
                <w:p w:rsidR="00C67F76" w:rsidRPr="00C67F76" w:rsidRDefault="00C67F76" w:rsidP="00DA6728">
                  <w:r w:rsidRPr="00C67F76">
                    <w:t xml:space="preserve">Immunology </w:t>
                  </w:r>
                </w:p>
              </w:tc>
              <w:tc>
                <w:tcPr>
                  <w:tcW w:w="2860" w:type="dxa"/>
                </w:tcPr>
                <w:p w:rsidR="00C67F76" w:rsidRPr="00C67F76" w:rsidRDefault="00C67F76" w:rsidP="00DA6728">
                  <w:r w:rsidRPr="00C67F76">
                    <w:t>Coagulation</w:t>
                  </w:r>
                </w:p>
              </w:tc>
              <w:tc>
                <w:tcPr>
                  <w:tcW w:w="2750" w:type="dxa"/>
                </w:tcPr>
                <w:p w:rsidR="00C67F76" w:rsidRPr="00C67F76" w:rsidRDefault="00C67F76" w:rsidP="00DA6728">
                  <w:r w:rsidRPr="00C67F76">
                    <w:t>Pathology</w:t>
                  </w:r>
                </w:p>
              </w:tc>
            </w:tr>
          </w:tbl>
          <w:p w:rsidR="00C67F76" w:rsidRPr="00C67F76" w:rsidRDefault="00C67F76" w:rsidP="00C67F76"/>
          <w:p w:rsidR="00C67F76" w:rsidRPr="00C67F76" w:rsidRDefault="00C67F76" w:rsidP="00C67F76">
            <w:pPr>
              <w:rPr>
                <w:b/>
                <w:bCs/>
              </w:rPr>
            </w:pPr>
            <w:r w:rsidRPr="00C67F76">
              <w:t>These disciplines are supported by the following support services within the laboratory.</w:t>
            </w:r>
          </w:p>
          <w:tbl>
            <w:tblPr>
              <w:tblW w:w="0" w:type="auto"/>
              <w:tblLayout w:type="fixed"/>
              <w:tblLook w:val="0000"/>
            </w:tblPr>
            <w:tblGrid>
              <w:gridCol w:w="4428"/>
              <w:gridCol w:w="4428"/>
            </w:tblGrid>
            <w:tr w:rsidR="00C67F76" w:rsidRPr="00C67F76" w:rsidTr="00DA6728">
              <w:tc>
                <w:tcPr>
                  <w:tcW w:w="4428" w:type="dxa"/>
                </w:tcPr>
                <w:p w:rsidR="00C67F76" w:rsidRPr="00C67F76" w:rsidRDefault="00C67F76" w:rsidP="00DA6728">
                  <w:r w:rsidRPr="00C67F76">
                    <w:t>Specimen Procurement</w:t>
                  </w:r>
                </w:p>
              </w:tc>
              <w:tc>
                <w:tcPr>
                  <w:tcW w:w="4428" w:type="dxa"/>
                </w:tcPr>
                <w:p w:rsidR="00C67F76" w:rsidRPr="00C67F76" w:rsidRDefault="00C67F76" w:rsidP="00DA6728">
                  <w:r w:rsidRPr="00C67F76">
                    <w:t>Laboratory Information Services</w:t>
                  </w:r>
                </w:p>
              </w:tc>
            </w:tr>
            <w:tr w:rsidR="00C67F76" w:rsidRPr="00C67F76" w:rsidTr="00DA6728">
              <w:tc>
                <w:tcPr>
                  <w:tcW w:w="4428" w:type="dxa"/>
                </w:tcPr>
                <w:p w:rsidR="00C67F76" w:rsidRPr="00C67F76" w:rsidRDefault="00C67F76" w:rsidP="00DA6728">
                  <w:r w:rsidRPr="00C67F76">
                    <w:t>Specimen Receiving and Processing</w:t>
                  </w:r>
                </w:p>
              </w:tc>
              <w:tc>
                <w:tcPr>
                  <w:tcW w:w="4428" w:type="dxa"/>
                </w:tcPr>
                <w:p w:rsidR="00C67F76" w:rsidRPr="00C67F76" w:rsidRDefault="00C67F76" w:rsidP="00DA6728">
                  <w:pPr>
                    <w:rPr>
                      <w:lang w:val="fr-FR"/>
                    </w:rPr>
                  </w:pPr>
                  <w:r w:rsidRPr="00C67F76">
                    <w:rPr>
                      <w:lang w:val="fr-FR"/>
                    </w:rPr>
                    <w:t>Client Services</w:t>
                  </w:r>
                </w:p>
              </w:tc>
            </w:tr>
            <w:tr w:rsidR="00C67F76" w:rsidRPr="00C67F76" w:rsidTr="00DA6728">
              <w:tc>
                <w:tcPr>
                  <w:tcW w:w="4428" w:type="dxa"/>
                </w:tcPr>
                <w:p w:rsidR="00C67F76" w:rsidRPr="00C67F76" w:rsidRDefault="00C67F76" w:rsidP="00DA6728">
                  <w:r w:rsidRPr="00C67F76">
                    <w:t>Couriers</w:t>
                  </w:r>
                </w:p>
              </w:tc>
              <w:tc>
                <w:tcPr>
                  <w:tcW w:w="4428" w:type="dxa"/>
                </w:tcPr>
                <w:p w:rsidR="00C67F76" w:rsidRPr="00C67F76" w:rsidRDefault="00C67F76" w:rsidP="00DA6728">
                  <w:r w:rsidRPr="00C67F76">
                    <w:t>Reference Laboratories</w:t>
                  </w:r>
                </w:p>
              </w:tc>
            </w:tr>
            <w:tr w:rsidR="00C67F76" w:rsidRPr="00C67F76" w:rsidTr="00DA6728">
              <w:tc>
                <w:tcPr>
                  <w:tcW w:w="4428" w:type="dxa"/>
                </w:tcPr>
                <w:p w:rsidR="00C67F76" w:rsidRPr="00C67F76" w:rsidRDefault="00C67F76" w:rsidP="00DA6728">
                  <w:r w:rsidRPr="00C67F76">
                    <w:t>Patient Service Centers</w:t>
                  </w:r>
                </w:p>
              </w:tc>
              <w:tc>
                <w:tcPr>
                  <w:tcW w:w="4428" w:type="dxa"/>
                </w:tcPr>
                <w:p w:rsidR="00C67F76" w:rsidRPr="00C67F76" w:rsidRDefault="00C67F76" w:rsidP="00DA6728">
                  <w:r w:rsidRPr="00C67F76">
                    <w:t>Point of Care Testing</w:t>
                  </w:r>
                </w:p>
              </w:tc>
            </w:tr>
            <w:tr w:rsidR="00C67F76" w:rsidRPr="00C67F76" w:rsidTr="00DA6728">
              <w:tc>
                <w:tcPr>
                  <w:tcW w:w="4428" w:type="dxa"/>
                </w:tcPr>
                <w:p w:rsidR="00C67F76" w:rsidRPr="00C67F76" w:rsidRDefault="00C67F76" w:rsidP="00DA6728">
                  <w:r w:rsidRPr="00C67F76">
                    <w:t xml:space="preserve">Business Development </w:t>
                  </w:r>
                </w:p>
              </w:tc>
              <w:tc>
                <w:tcPr>
                  <w:tcW w:w="4428" w:type="dxa"/>
                </w:tcPr>
                <w:p w:rsidR="00C67F76" w:rsidRPr="00C67F76" w:rsidRDefault="00C67F76" w:rsidP="00DA6728">
                  <w:r w:rsidRPr="00C67F76">
                    <w:t>Laboratory Billing</w:t>
                  </w:r>
                </w:p>
              </w:tc>
            </w:tr>
          </w:tbl>
          <w:p w:rsidR="00E22198" w:rsidRPr="0059191D" w:rsidRDefault="00E22198" w:rsidP="00767638">
            <w:pPr>
              <w:spacing w:after="120"/>
            </w:pPr>
          </w:p>
        </w:tc>
      </w:tr>
      <w:tr w:rsidR="00E22198" w:rsidRPr="00FB1490" w:rsidTr="005E763D">
        <w:tc>
          <w:tcPr>
            <w:tcW w:w="11016" w:type="dxa"/>
            <w:gridSpan w:val="3"/>
          </w:tcPr>
          <w:p w:rsidR="00E22198" w:rsidRPr="0059191D" w:rsidRDefault="00E22198" w:rsidP="00767638">
            <w:pPr>
              <w:spacing w:after="120"/>
              <w:rPr>
                <w:b/>
              </w:rPr>
            </w:pPr>
            <w:r w:rsidRPr="0059191D">
              <w:rPr>
                <w:b/>
              </w:rPr>
              <w:t>Policy Statement:</w:t>
            </w:r>
          </w:p>
          <w:p w:rsidR="00E22198" w:rsidRPr="00C67F76" w:rsidRDefault="00C67F76" w:rsidP="00906312">
            <w:pPr>
              <w:spacing w:after="120"/>
            </w:pPr>
            <w:r w:rsidRPr="00C67F76">
              <w:t>Lab</w:t>
            </w:r>
            <w:r w:rsidR="00906312">
              <w:t xml:space="preserve">oratories </w:t>
            </w:r>
            <w:r w:rsidRPr="00C67F76">
              <w:t>N</w:t>
            </w:r>
            <w:r w:rsidR="00906312">
              <w:t>orthwest</w:t>
            </w:r>
            <w:r w:rsidRPr="00C67F76">
              <w:t>’s Quality and Performance Improvement Plan is to provide for a formalized, systematic process of developing and setting targets for monitoring, evaluating and improving the quality and appropriateness of laboratory products and services by utilizing occurrence management and process control. Our commitment is to a Quality Management program that is designed to benefit the health of the people we serve by utilizing state of the art diagnostic tools and integrated information in an environment that emphasizes customer service and fiscal responsibility.</w:t>
            </w:r>
          </w:p>
        </w:tc>
      </w:tr>
      <w:tr w:rsidR="00E22198" w:rsidRPr="00FB1490" w:rsidTr="005E763D">
        <w:tc>
          <w:tcPr>
            <w:tcW w:w="11016" w:type="dxa"/>
            <w:gridSpan w:val="3"/>
          </w:tcPr>
          <w:p w:rsidR="00B03BE2" w:rsidRPr="00B03BE2" w:rsidRDefault="00B03BE2" w:rsidP="00B03BE2">
            <w:r w:rsidRPr="00B03BE2">
              <w:rPr>
                <w:b/>
                <w:bCs/>
              </w:rPr>
              <w:t xml:space="preserve">SERVICE OBJECTIVES:  </w:t>
            </w:r>
            <w:r w:rsidRPr="00B03BE2">
              <w:t xml:space="preserve">As identified within the strategic framework of </w:t>
            </w:r>
            <w:proofErr w:type="spellStart"/>
            <w:r w:rsidRPr="00B03BE2">
              <w:t>MultiCares</w:t>
            </w:r>
            <w:proofErr w:type="spellEnd"/>
            <w:r w:rsidRPr="00B03BE2">
              <w:t>’ Journey to Excellence</w:t>
            </w:r>
            <w:smartTag w:uri="urn:schemas-microsoft-com:office:smarttags" w:element="PersonName">
              <w:r w:rsidRPr="00B03BE2">
                <w:t>,</w:t>
              </w:r>
            </w:smartTag>
            <w:r w:rsidRPr="00B03BE2">
              <w:t xml:space="preserve"> this laboratory subscribes to its philosophy is committed to support the following:</w:t>
            </w:r>
          </w:p>
          <w:p w:rsidR="00B03BE2" w:rsidRPr="00B03BE2" w:rsidRDefault="00B03BE2" w:rsidP="00B03BE2">
            <w:pPr>
              <w:numPr>
                <w:ilvl w:val="0"/>
                <w:numId w:val="42"/>
              </w:numPr>
            </w:pPr>
            <w:r w:rsidRPr="00B03BE2">
              <w:t>Culture and People:  Understanding who our customers are and what they consider to be excellent customer service.</w:t>
            </w:r>
          </w:p>
          <w:p w:rsidR="00B03BE2" w:rsidRPr="00B03BE2" w:rsidRDefault="00B03BE2" w:rsidP="00B03BE2">
            <w:pPr>
              <w:numPr>
                <w:ilvl w:val="0"/>
                <w:numId w:val="42"/>
              </w:numPr>
            </w:pPr>
            <w:r w:rsidRPr="00B03BE2">
              <w:t>Clinical Quality:  Set expectations among all staff that their top priority, in addition to quality of care and patient safety, is to exceed all expectations of service to our customers.</w:t>
            </w:r>
          </w:p>
          <w:p w:rsidR="00B03BE2" w:rsidRPr="00B03BE2" w:rsidRDefault="00B03BE2" w:rsidP="00B03BE2">
            <w:pPr>
              <w:numPr>
                <w:ilvl w:val="0"/>
                <w:numId w:val="42"/>
              </w:numPr>
            </w:pPr>
            <w:r w:rsidRPr="00B03BE2">
              <w:t>Service: Implement the best practice through process improvement and occurrence management activities and nonconformance follow up.</w:t>
            </w:r>
          </w:p>
          <w:p w:rsidR="00B03BE2" w:rsidRPr="00B03BE2" w:rsidRDefault="00B03BE2" w:rsidP="00B03BE2">
            <w:pPr>
              <w:numPr>
                <w:ilvl w:val="0"/>
                <w:numId w:val="42"/>
              </w:numPr>
            </w:pPr>
            <w:r w:rsidRPr="00B03BE2">
              <w:t>Financial Sustainability:  Providing safe laboratory facilities that encourage an environment for adequate inventory management and appropriate instrumentation.</w:t>
            </w:r>
          </w:p>
          <w:p w:rsidR="00B03BE2" w:rsidRPr="00B03BE2" w:rsidRDefault="00B03BE2" w:rsidP="00B03BE2">
            <w:pPr>
              <w:numPr>
                <w:ilvl w:val="0"/>
                <w:numId w:val="42"/>
              </w:numPr>
            </w:pPr>
            <w:r w:rsidRPr="00B03BE2">
              <w:t>Information Integration:  Allow for the utilization of laboratory generated information that supports the interest of the patient and providers within the guidelines of accreditation agencies.</w:t>
            </w:r>
          </w:p>
          <w:p w:rsidR="00B03BE2" w:rsidRPr="00B03BE2" w:rsidRDefault="00B03BE2" w:rsidP="00B03BE2">
            <w:pPr>
              <w:numPr>
                <w:ilvl w:val="0"/>
                <w:numId w:val="42"/>
              </w:numPr>
            </w:pPr>
            <w:r w:rsidRPr="00B03BE2">
              <w:t>Growth:  Support the growth of the organization within the community it supports.</w:t>
            </w:r>
          </w:p>
          <w:p w:rsidR="00B03BE2" w:rsidRPr="00B03BE2" w:rsidRDefault="00B03BE2" w:rsidP="00B03BE2">
            <w:pPr>
              <w:rPr>
                <w:bCs/>
              </w:rPr>
            </w:pPr>
            <w:r w:rsidRPr="00B03BE2">
              <w:rPr>
                <w:bCs/>
              </w:rPr>
              <w:lastRenderedPageBreak/>
              <w:t xml:space="preserve">The Laboratory’s key Quality System Essentials are tied to the Multicare Strategic Framework pillars. </w:t>
            </w:r>
          </w:p>
          <w:p w:rsidR="00B03BE2" w:rsidRPr="00B03BE2" w:rsidRDefault="00B03BE2" w:rsidP="00B03BE2"/>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1800"/>
              <w:gridCol w:w="2155"/>
              <w:gridCol w:w="1710"/>
              <w:gridCol w:w="1715"/>
              <w:gridCol w:w="1800"/>
            </w:tblGrid>
            <w:tr w:rsidR="00B03BE2" w:rsidRPr="00B03BE2" w:rsidTr="00B03BE2">
              <w:tc>
                <w:tcPr>
                  <w:tcW w:w="1800" w:type="dxa"/>
                </w:tcPr>
                <w:p w:rsidR="00B03BE2" w:rsidRPr="00B03BE2" w:rsidRDefault="00B03BE2" w:rsidP="00DA6728">
                  <w:pPr>
                    <w:rPr>
                      <w:i/>
                      <w:sz w:val="22"/>
                      <w:szCs w:val="22"/>
                    </w:rPr>
                  </w:pPr>
                  <w:r w:rsidRPr="00B03BE2">
                    <w:rPr>
                      <w:i/>
                      <w:sz w:val="22"/>
                      <w:szCs w:val="22"/>
                    </w:rPr>
                    <w:t>How can I support culture and people?</w:t>
                  </w:r>
                </w:p>
              </w:tc>
              <w:tc>
                <w:tcPr>
                  <w:tcW w:w="1800" w:type="dxa"/>
                </w:tcPr>
                <w:p w:rsidR="00B03BE2" w:rsidRPr="00B03BE2" w:rsidRDefault="00B03BE2" w:rsidP="00DA6728">
                  <w:pPr>
                    <w:rPr>
                      <w:i/>
                      <w:sz w:val="22"/>
                      <w:szCs w:val="22"/>
                    </w:rPr>
                  </w:pPr>
                  <w:r w:rsidRPr="00B03BE2">
                    <w:rPr>
                      <w:i/>
                      <w:sz w:val="22"/>
                      <w:szCs w:val="22"/>
                    </w:rPr>
                    <w:t>How can I support Clinical Quality?</w:t>
                  </w:r>
                </w:p>
              </w:tc>
              <w:tc>
                <w:tcPr>
                  <w:tcW w:w="2155" w:type="dxa"/>
                </w:tcPr>
                <w:p w:rsidR="00B03BE2" w:rsidRPr="00B03BE2" w:rsidRDefault="00B03BE2" w:rsidP="00DA6728">
                  <w:pPr>
                    <w:rPr>
                      <w:i/>
                      <w:sz w:val="22"/>
                      <w:szCs w:val="22"/>
                    </w:rPr>
                  </w:pPr>
                  <w:r w:rsidRPr="00B03BE2">
                    <w:rPr>
                      <w:i/>
                      <w:sz w:val="22"/>
                      <w:szCs w:val="22"/>
                    </w:rPr>
                    <w:t>How can I support service?</w:t>
                  </w:r>
                </w:p>
              </w:tc>
              <w:tc>
                <w:tcPr>
                  <w:tcW w:w="1710" w:type="dxa"/>
                </w:tcPr>
                <w:p w:rsidR="00B03BE2" w:rsidRPr="00B03BE2" w:rsidRDefault="00B03BE2" w:rsidP="00DA6728">
                  <w:pPr>
                    <w:rPr>
                      <w:i/>
                      <w:sz w:val="22"/>
                      <w:szCs w:val="22"/>
                    </w:rPr>
                  </w:pPr>
                  <w:r w:rsidRPr="00B03BE2">
                    <w:rPr>
                      <w:i/>
                      <w:sz w:val="22"/>
                      <w:szCs w:val="22"/>
                    </w:rPr>
                    <w:t>How can I support Financial Sustainability</w:t>
                  </w:r>
                </w:p>
              </w:tc>
              <w:tc>
                <w:tcPr>
                  <w:tcW w:w="1715" w:type="dxa"/>
                </w:tcPr>
                <w:p w:rsidR="00B03BE2" w:rsidRPr="00B03BE2" w:rsidRDefault="00B03BE2" w:rsidP="00DA6728">
                  <w:pPr>
                    <w:rPr>
                      <w:i/>
                      <w:sz w:val="22"/>
                      <w:szCs w:val="22"/>
                    </w:rPr>
                  </w:pPr>
                  <w:r w:rsidRPr="00B03BE2">
                    <w:rPr>
                      <w:i/>
                      <w:sz w:val="22"/>
                      <w:szCs w:val="22"/>
                    </w:rPr>
                    <w:t>How can I support Information Integration?</w:t>
                  </w:r>
                </w:p>
              </w:tc>
              <w:tc>
                <w:tcPr>
                  <w:tcW w:w="1800" w:type="dxa"/>
                </w:tcPr>
                <w:p w:rsidR="00B03BE2" w:rsidRPr="00B03BE2" w:rsidRDefault="00B03BE2" w:rsidP="00DA6728">
                  <w:pPr>
                    <w:rPr>
                      <w:i/>
                      <w:sz w:val="22"/>
                      <w:szCs w:val="22"/>
                    </w:rPr>
                  </w:pPr>
                  <w:r w:rsidRPr="00B03BE2">
                    <w:rPr>
                      <w:i/>
                      <w:sz w:val="22"/>
                      <w:szCs w:val="22"/>
                    </w:rPr>
                    <w:t>How can I support growth?</w:t>
                  </w:r>
                </w:p>
              </w:tc>
            </w:tr>
            <w:tr w:rsidR="00B03BE2" w:rsidRPr="00B03BE2" w:rsidTr="00B03BE2">
              <w:tc>
                <w:tcPr>
                  <w:tcW w:w="1800" w:type="dxa"/>
                </w:tcPr>
                <w:p w:rsidR="00B03BE2" w:rsidRPr="00B03BE2" w:rsidRDefault="00B03BE2" w:rsidP="00DA6728">
                  <w:pPr>
                    <w:rPr>
                      <w:sz w:val="22"/>
                      <w:szCs w:val="22"/>
                    </w:rPr>
                  </w:pPr>
                  <w:r w:rsidRPr="00B03BE2">
                    <w:rPr>
                      <w:sz w:val="22"/>
                      <w:szCs w:val="22"/>
                    </w:rPr>
                    <w:t>Customer Service</w:t>
                  </w:r>
                </w:p>
              </w:tc>
              <w:tc>
                <w:tcPr>
                  <w:tcW w:w="1800" w:type="dxa"/>
                </w:tcPr>
                <w:p w:rsidR="00B03BE2" w:rsidRPr="00B03BE2" w:rsidRDefault="00B03BE2" w:rsidP="00DA6728">
                  <w:pPr>
                    <w:rPr>
                      <w:sz w:val="22"/>
                      <w:szCs w:val="22"/>
                    </w:rPr>
                  </w:pPr>
                  <w:r w:rsidRPr="00B03BE2">
                    <w:rPr>
                      <w:sz w:val="22"/>
                      <w:szCs w:val="22"/>
                    </w:rPr>
                    <w:t>Process Control</w:t>
                  </w:r>
                </w:p>
              </w:tc>
              <w:tc>
                <w:tcPr>
                  <w:tcW w:w="2155" w:type="dxa"/>
                </w:tcPr>
                <w:p w:rsidR="00B03BE2" w:rsidRPr="00B03BE2" w:rsidRDefault="00B03BE2" w:rsidP="00DA6728">
                  <w:pPr>
                    <w:rPr>
                      <w:sz w:val="22"/>
                      <w:szCs w:val="22"/>
                    </w:rPr>
                  </w:pPr>
                  <w:r w:rsidRPr="00B03BE2">
                    <w:rPr>
                      <w:sz w:val="22"/>
                      <w:szCs w:val="22"/>
                    </w:rPr>
                    <w:t>Occurrence Management</w:t>
                  </w:r>
                </w:p>
              </w:tc>
              <w:tc>
                <w:tcPr>
                  <w:tcW w:w="1710" w:type="dxa"/>
                </w:tcPr>
                <w:p w:rsidR="00B03BE2" w:rsidRPr="00B03BE2" w:rsidRDefault="00B03BE2" w:rsidP="00DA6728">
                  <w:pPr>
                    <w:rPr>
                      <w:sz w:val="22"/>
                      <w:szCs w:val="22"/>
                    </w:rPr>
                  </w:pPr>
                  <w:r w:rsidRPr="00B03BE2">
                    <w:rPr>
                      <w:sz w:val="22"/>
                      <w:szCs w:val="22"/>
                    </w:rPr>
                    <w:t>Laboratory Facility and Employee Safety</w:t>
                  </w:r>
                </w:p>
              </w:tc>
              <w:tc>
                <w:tcPr>
                  <w:tcW w:w="1715" w:type="dxa"/>
                </w:tcPr>
                <w:p w:rsidR="00B03BE2" w:rsidRPr="00B03BE2" w:rsidRDefault="00B03BE2" w:rsidP="00DA6728">
                  <w:pPr>
                    <w:rPr>
                      <w:sz w:val="22"/>
                      <w:szCs w:val="22"/>
                    </w:rPr>
                  </w:pPr>
                  <w:r w:rsidRPr="00B03BE2">
                    <w:rPr>
                      <w:sz w:val="22"/>
                      <w:szCs w:val="22"/>
                    </w:rPr>
                    <w:t>Control of information, documents and records</w:t>
                  </w:r>
                </w:p>
              </w:tc>
              <w:tc>
                <w:tcPr>
                  <w:tcW w:w="1800" w:type="dxa"/>
                </w:tcPr>
                <w:p w:rsidR="00B03BE2" w:rsidRPr="00B03BE2" w:rsidRDefault="00B03BE2" w:rsidP="00DA6728">
                  <w:pPr>
                    <w:rPr>
                      <w:sz w:val="22"/>
                      <w:szCs w:val="22"/>
                    </w:rPr>
                  </w:pPr>
                  <w:r w:rsidRPr="00B03BE2">
                    <w:rPr>
                      <w:sz w:val="22"/>
                      <w:szCs w:val="22"/>
                    </w:rPr>
                    <w:t>Organization</w:t>
                  </w:r>
                </w:p>
              </w:tc>
            </w:tr>
            <w:tr w:rsidR="00B03BE2" w:rsidRPr="00B03BE2" w:rsidTr="00B03BE2">
              <w:tc>
                <w:tcPr>
                  <w:tcW w:w="1800" w:type="dxa"/>
                </w:tcPr>
                <w:p w:rsidR="00B03BE2" w:rsidRPr="00B03BE2" w:rsidRDefault="00B03BE2" w:rsidP="00DA6728">
                  <w:pPr>
                    <w:rPr>
                      <w:sz w:val="22"/>
                      <w:szCs w:val="22"/>
                    </w:rPr>
                  </w:pPr>
                  <w:r w:rsidRPr="00B03BE2">
                    <w:rPr>
                      <w:sz w:val="22"/>
                      <w:szCs w:val="22"/>
                    </w:rPr>
                    <w:t>Patient Satisfaction</w:t>
                  </w:r>
                </w:p>
              </w:tc>
              <w:tc>
                <w:tcPr>
                  <w:tcW w:w="1800" w:type="dxa"/>
                </w:tcPr>
                <w:p w:rsidR="00B03BE2" w:rsidRPr="00B03BE2" w:rsidRDefault="00B03BE2" w:rsidP="00DA6728">
                  <w:pPr>
                    <w:rPr>
                      <w:sz w:val="22"/>
                      <w:szCs w:val="22"/>
                    </w:rPr>
                  </w:pPr>
                  <w:r w:rsidRPr="00B03BE2">
                    <w:rPr>
                      <w:sz w:val="22"/>
                      <w:szCs w:val="22"/>
                    </w:rPr>
                    <w:t>Assessments</w:t>
                  </w:r>
                </w:p>
              </w:tc>
              <w:tc>
                <w:tcPr>
                  <w:tcW w:w="2155" w:type="dxa"/>
                </w:tcPr>
                <w:p w:rsidR="00B03BE2" w:rsidRPr="00B03BE2" w:rsidRDefault="00B03BE2" w:rsidP="00DA6728">
                  <w:pPr>
                    <w:rPr>
                      <w:sz w:val="22"/>
                      <w:szCs w:val="22"/>
                    </w:rPr>
                  </w:pPr>
                  <w:r w:rsidRPr="00B03BE2">
                    <w:rPr>
                      <w:sz w:val="22"/>
                      <w:szCs w:val="22"/>
                    </w:rPr>
                    <w:t>Nonconformance and follow up</w:t>
                  </w:r>
                </w:p>
              </w:tc>
              <w:tc>
                <w:tcPr>
                  <w:tcW w:w="1710" w:type="dxa"/>
                </w:tcPr>
                <w:p w:rsidR="00B03BE2" w:rsidRPr="00B03BE2" w:rsidRDefault="00B03BE2" w:rsidP="00DA6728">
                  <w:pPr>
                    <w:rPr>
                      <w:sz w:val="22"/>
                      <w:szCs w:val="22"/>
                    </w:rPr>
                  </w:pPr>
                  <w:r w:rsidRPr="00B03BE2">
                    <w:rPr>
                      <w:sz w:val="22"/>
                      <w:szCs w:val="22"/>
                    </w:rPr>
                    <w:t>Purchasing and Inventory</w:t>
                  </w:r>
                </w:p>
              </w:tc>
              <w:tc>
                <w:tcPr>
                  <w:tcW w:w="1715" w:type="dxa"/>
                </w:tcPr>
                <w:p w:rsidR="00B03BE2" w:rsidRPr="00B03BE2" w:rsidRDefault="00B03BE2" w:rsidP="00DA6728">
                  <w:pPr>
                    <w:rPr>
                      <w:sz w:val="22"/>
                      <w:szCs w:val="22"/>
                    </w:rPr>
                  </w:pPr>
                  <w:r w:rsidRPr="00B03BE2">
                    <w:rPr>
                      <w:sz w:val="22"/>
                      <w:szCs w:val="22"/>
                    </w:rPr>
                    <w:t>Pre-analytic, analytic and post analytic processes and procedures</w:t>
                  </w:r>
                </w:p>
              </w:tc>
              <w:tc>
                <w:tcPr>
                  <w:tcW w:w="1800" w:type="dxa"/>
                </w:tcPr>
                <w:p w:rsidR="00B03BE2" w:rsidRPr="00B03BE2" w:rsidRDefault="00B03BE2" w:rsidP="00DA6728">
                  <w:pPr>
                    <w:rPr>
                      <w:sz w:val="22"/>
                      <w:szCs w:val="22"/>
                    </w:rPr>
                  </w:pPr>
                  <w:r w:rsidRPr="00B03BE2">
                    <w:rPr>
                      <w:sz w:val="22"/>
                      <w:szCs w:val="22"/>
                    </w:rPr>
                    <w:t>Community Integration</w:t>
                  </w:r>
                </w:p>
              </w:tc>
            </w:tr>
            <w:tr w:rsidR="00B03BE2" w:rsidRPr="00B03BE2" w:rsidTr="00B03BE2">
              <w:tc>
                <w:tcPr>
                  <w:tcW w:w="1800" w:type="dxa"/>
                </w:tcPr>
                <w:p w:rsidR="00B03BE2" w:rsidRPr="00B03BE2" w:rsidRDefault="00B03BE2" w:rsidP="00DA6728">
                  <w:pPr>
                    <w:rPr>
                      <w:sz w:val="22"/>
                      <w:szCs w:val="22"/>
                    </w:rPr>
                  </w:pPr>
                  <w:r w:rsidRPr="00B03BE2">
                    <w:rPr>
                      <w:sz w:val="22"/>
                      <w:szCs w:val="22"/>
                    </w:rPr>
                    <w:t>Employee Satisfaction</w:t>
                  </w:r>
                </w:p>
              </w:tc>
              <w:tc>
                <w:tcPr>
                  <w:tcW w:w="1800" w:type="dxa"/>
                </w:tcPr>
                <w:p w:rsidR="00B03BE2" w:rsidRPr="00B03BE2" w:rsidRDefault="00B03BE2" w:rsidP="00DA6728">
                  <w:pPr>
                    <w:rPr>
                      <w:sz w:val="22"/>
                      <w:szCs w:val="22"/>
                    </w:rPr>
                  </w:pPr>
                  <w:r w:rsidRPr="00B03BE2">
                    <w:rPr>
                      <w:sz w:val="22"/>
                      <w:szCs w:val="22"/>
                    </w:rPr>
                    <w:t>Analytic Processes</w:t>
                  </w:r>
                </w:p>
              </w:tc>
              <w:tc>
                <w:tcPr>
                  <w:tcW w:w="2155" w:type="dxa"/>
                </w:tcPr>
                <w:p w:rsidR="00B03BE2" w:rsidRPr="00B03BE2" w:rsidRDefault="00B03BE2" w:rsidP="00DA6728">
                  <w:pPr>
                    <w:rPr>
                      <w:sz w:val="22"/>
                      <w:szCs w:val="22"/>
                    </w:rPr>
                  </w:pPr>
                  <w:r w:rsidRPr="00B03BE2">
                    <w:rPr>
                      <w:sz w:val="22"/>
                      <w:szCs w:val="22"/>
                    </w:rPr>
                    <w:t>Process Improvement</w:t>
                  </w:r>
                </w:p>
              </w:tc>
              <w:tc>
                <w:tcPr>
                  <w:tcW w:w="1710" w:type="dxa"/>
                </w:tcPr>
                <w:p w:rsidR="00B03BE2" w:rsidRPr="00B03BE2" w:rsidRDefault="00B03BE2" w:rsidP="00DA6728">
                  <w:pPr>
                    <w:rPr>
                      <w:sz w:val="22"/>
                      <w:szCs w:val="22"/>
                    </w:rPr>
                  </w:pPr>
                  <w:r w:rsidRPr="00B03BE2">
                    <w:rPr>
                      <w:sz w:val="22"/>
                      <w:szCs w:val="22"/>
                    </w:rPr>
                    <w:t>Equipment</w:t>
                  </w:r>
                </w:p>
              </w:tc>
              <w:tc>
                <w:tcPr>
                  <w:tcW w:w="1715" w:type="dxa"/>
                </w:tcPr>
                <w:p w:rsidR="00B03BE2" w:rsidRPr="00B03BE2" w:rsidRDefault="00B03BE2" w:rsidP="00DA6728">
                  <w:pPr>
                    <w:rPr>
                      <w:sz w:val="22"/>
                      <w:szCs w:val="22"/>
                    </w:rPr>
                  </w:pPr>
                  <w:r w:rsidRPr="00B03BE2">
                    <w:rPr>
                      <w:sz w:val="22"/>
                      <w:szCs w:val="22"/>
                    </w:rPr>
                    <w:t>Test Order Processes</w:t>
                  </w:r>
                </w:p>
              </w:tc>
              <w:tc>
                <w:tcPr>
                  <w:tcW w:w="1800" w:type="dxa"/>
                </w:tcPr>
                <w:p w:rsidR="00B03BE2" w:rsidRPr="00B03BE2" w:rsidRDefault="00B03BE2" w:rsidP="00DA6728">
                  <w:pPr>
                    <w:rPr>
                      <w:sz w:val="22"/>
                      <w:szCs w:val="22"/>
                    </w:rPr>
                  </w:pPr>
                  <w:r w:rsidRPr="00B03BE2">
                    <w:rPr>
                      <w:sz w:val="22"/>
                      <w:szCs w:val="22"/>
                    </w:rPr>
                    <w:t>Marketing</w:t>
                  </w:r>
                </w:p>
              </w:tc>
            </w:tr>
            <w:tr w:rsidR="00B03BE2" w:rsidRPr="00B03BE2" w:rsidTr="00B03BE2">
              <w:tc>
                <w:tcPr>
                  <w:tcW w:w="1800" w:type="dxa"/>
                </w:tcPr>
                <w:p w:rsidR="00B03BE2" w:rsidRPr="00B03BE2" w:rsidRDefault="00B03BE2" w:rsidP="00DA6728">
                  <w:pPr>
                    <w:rPr>
                      <w:sz w:val="22"/>
                      <w:szCs w:val="22"/>
                    </w:rPr>
                  </w:pPr>
                  <w:r w:rsidRPr="00B03BE2">
                    <w:rPr>
                      <w:sz w:val="22"/>
                      <w:szCs w:val="22"/>
                    </w:rPr>
                    <w:t>Personnel</w:t>
                  </w:r>
                </w:p>
              </w:tc>
              <w:tc>
                <w:tcPr>
                  <w:tcW w:w="1800" w:type="dxa"/>
                </w:tcPr>
                <w:p w:rsidR="00B03BE2" w:rsidRPr="00B03BE2" w:rsidRDefault="00B03BE2" w:rsidP="00DA6728">
                  <w:pPr>
                    <w:rPr>
                      <w:sz w:val="22"/>
                      <w:szCs w:val="22"/>
                    </w:rPr>
                  </w:pPr>
                  <w:r w:rsidRPr="00B03BE2">
                    <w:rPr>
                      <w:sz w:val="22"/>
                      <w:szCs w:val="22"/>
                    </w:rPr>
                    <w:t>Specimen Handling</w:t>
                  </w:r>
                </w:p>
              </w:tc>
              <w:tc>
                <w:tcPr>
                  <w:tcW w:w="2155" w:type="dxa"/>
                </w:tcPr>
                <w:p w:rsidR="00B03BE2" w:rsidRPr="00B03BE2" w:rsidRDefault="00B03BE2" w:rsidP="00DA6728">
                  <w:pPr>
                    <w:rPr>
                      <w:sz w:val="22"/>
                      <w:szCs w:val="22"/>
                    </w:rPr>
                  </w:pPr>
                </w:p>
              </w:tc>
              <w:tc>
                <w:tcPr>
                  <w:tcW w:w="1710" w:type="dxa"/>
                </w:tcPr>
                <w:p w:rsidR="00B03BE2" w:rsidRPr="00B03BE2" w:rsidRDefault="00B03BE2" w:rsidP="00DA6728">
                  <w:pPr>
                    <w:rPr>
                      <w:sz w:val="22"/>
                      <w:szCs w:val="22"/>
                    </w:rPr>
                  </w:pPr>
                  <w:r w:rsidRPr="00B03BE2">
                    <w:rPr>
                      <w:sz w:val="22"/>
                      <w:szCs w:val="22"/>
                    </w:rPr>
                    <w:t>Billing</w:t>
                  </w:r>
                </w:p>
              </w:tc>
              <w:tc>
                <w:tcPr>
                  <w:tcW w:w="1715" w:type="dxa"/>
                </w:tcPr>
                <w:p w:rsidR="00B03BE2" w:rsidRPr="00B03BE2" w:rsidRDefault="00B03BE2" w:rsidP="00DA6728">
                  <w:pPr>
                    <w:rPr>
                      <w:sz w:val="22"/>
                      <w:szCs w:val="22"/>
                    </w:rPr>
                  </w:pPr>
                </w:p>
              </w:tc>
              <w:tc>
                <w:tcPr>
                  <w:tcW w:w="1800" w:type="dxa"/>
                </w:tcPr>
                <w:p w:rsidR="00B03BE2" w:rsidRPr="00B03BE2" w:rsidRDefault="00B03BE2" w:rsidP="00DA6728">
                  <w:pPr>
                    <w:rPr>
                      <w:sz w:val="22"/>
                      <w:szCs w:val="22"/>
                    </w:rPr>
                  </w:pPr>
                  <w:r w:rsidRPr="00B03BE2">
                    <w:rPr>
                      <w:sz w:val="22"/>
                      <w:szCs w:val="22"/>
                    </w:rPr>
                    <w:t>Test Menu</w:t>
                  </w:r>
                </w:p>
              </w:tc>
            </w:tr>
          </w:tbl>
          <w:p w:rsidR="00B03BE2" w:rsidRPr="00B03BE2" w:rsidRDefault="00B03BE2" w:rsidP="00B03BE2"/>
          <w:p w:rsidR="00E22198" w:rsidRPr="0059191D" w:rsidRDefault="00B03BE2" w:rsidP="00B03BE2">
            <w:pPr>
              <w:spacing w:after="120"/>
            </w:pPr>
            <w:r w:rsidRPr="00B03BE2">
              <w:t>An annual Balanced Scorecard is created to focus on the Quality System Essentials being monitored for that year.</w:t>
            </w:r>
          </w:p>
        </w:tc>
      </w:tr>
      <w:tr w:rsidR="00E22198" w:rsidRPr="00FB1490" w:rsidTr="005E763D">
        <w:tc>
          <w:tcPr>
            <w:tcW w:w="11016" w:type="dxa"/>
            <w:gridSpan w:val="3"/>
          </w:tcPr>
          <w:p w:rsidR="00DA6728" w:rsidRPr="00DA6728" w:rsidRDefault="00DA6728" w:rsidP="00DA6728">
            <w:r w:rsidRPr="00DA6728">
              <w:rPr>
                <w:b/>
                <w:bCs/>
              </w:rPr>
              <w:lastRenderedPageBreak/>
              <w:t xml:space="preserve">SERVICE QUALITY:  </w:t>
            </w:r>
            <w:r w:rsidRPr="00DA6728">
              <w:t>The Laboratory Quality Plan actively supports the Quality Patient Care initiatives of MultiCare Health Systems.  The Laboratory focus is on satisfaction of staff</w:t>
            </w:r>
            <w:smartTag w:uri="urn:schemas-microsoft-com:office:smarttags" w:element="PersonName">
              <w:r w:rsidRPr="00DA6728">
                <w:t>,</w:t>
              </w:r>
            </w:smartTag>
            <w:r w:rsidRPr="00DA6728">
              <w:t xml:space="preserve"> physicians</w:t>
            </w:r>
            <w:smartTag w:uri="urn:schemas-microsoft-com:office:smarttags" w:element="PersonName">
              <w:r w:rsidRPr="00DA6728">
                <w:t>,</w:t>
              </w:r>
            </w:smartTag>
            <w:r w:rsidRPr="00DA6728">
              <w:t xml:space="preserve"> patients and the community. This is achieved by adhering to the following:</w:t>
            </w:r>
          </w:p>
          <w:p w:rsidR="00DA6728" w:rsidRPr="00DA6728" w:rsidRDefault="00DA6728" w:rsidP="00DA6728">
            <w:pPr>
              <w:numPr>
                <w:ilvl w:val="0"/>
                <w:numId w:val="43"/>
              </w:numPr>
            </w:pPr>
            <w:r w:rsidRPr="00DA6728">
              <w:t>Work as a team within the hospital in order to understand the integration of all departments and how information, patients and results flow through the system.</w:t>
            </w:r>
          </w:p>
          <w:p w:rsidR="00DA6728" w:rsidRPr="00DA6728" w:rsidRDefault="00DA6728" w:rsidP="00DA6728">
            <w:pPr>
              <w:numPr>
                <w:ilvl w:val="0"/>
                <w:numId w:val="43"/>
              </w:numPr>
            </w:pPr>
            <w:r w:rsidRPr="00DA6728">
              <w:t>Communicate problems and improvement with staff.</w:t>
            </w:r>
          </w:p>
          <w:p w:rsidR="00DA6728" w:rsidRPr="00DA6728" w:rsidRDefault="00DA6728" w:rsidP="00DA6728">
            <w:pPr>
              <w:numPr>
                <w:ilvl w:val="0"/>
                <w:numId w:val="43"/>
              </w:numPr>
            </w:pPr>
            <w:r w:rsidRPr="00DA6728">
              <w:t>Define quality indicators that are measurable.</w:t>
            </w:r>
          </w:p>
          <w:p w:rsidR="00DA6728" w:rsidRPr="00DA6728" w:rsidRDefault="00DA6728" w:rsidP="00DA6728">
            <w:pPr>
              <w:numPr>
                <w:ilvl w:val="0"/>
                <w:numId w:val="43"/>
              </w:numPr>
            </w:pPr>
            <w:r w:rsidRPr="00DA6728">
              <w:t>Utilize data to identify barriers to performance and service quality.</w:t>
            </w:r>
          </w:p>
          <w:p w:rsidR="00DA6728" w:rsidRPr="00DA6728" w:rsidRDefault="00DA6728" w:rsidP="00DA6728">
            <w:pPr>
              <w:numPr>
                <w:ilvl w:val="0"/>
                <w:numId w:val="43"/>
              </w:numPr>
            </w:pPr>
            <w:r w:rsidRPr="00DA6728">
              <w:t>Create an environment where mistakes are not considered failures but learning opportunities.</w:t>
            </w:r>
          </w:p>
          <w:p w:rsidR="00DA6728" w:rsidRPr="00DA6728" w:rsidRDefault="00DA6728" w:rsidP="00DA6728">
            <w:pPr>
              <w:numPr>
                <w:ilvl w:val="0"/>
                <w:numId w:val="43"/>
              </w:numPr>
            </w:pPr>
            <w:r w:rsidRPr="00DA6728">
              <w:t>Provide the highest quality medical technology to all patients.</w:t>
            </w:r>
          </w:p>
          <w:p w:rsidR="00DA6728" w:rsidRPr="00DA6728" w:rsidRDefault="00DA6728" w:rsidP="00DA6728">
            <w:pPr>
              <w:numPr>
                <w:ilvl w:val="0"/>
                <w:numId w:val="43"/>
              </w:numPr>
            </w:pPr>
            <w:r w:rsidRPr="00DA6728">
              <w:t>To accurately perform all tests necessary for diagnosis</w:t>
            </w:r>
            <w:smartTag w:uri="urn:schemas-microsoft-com:office:smarttags" w:element="PersonName">
              <w:r w:rsidRPr="00DA6728">
                <w:t>,</w:t>
              </w:r>
            </w:smartTag>
            <w:r w:rsidRPr="00DA6728">
              <w:t xml:space="preserve"> treatment and prevention of disease.</w:t>
            </w:r>
          </w:p>
          <w:p w:rsidR="00E22198" w:rsidRPr="005E763D" w:rsidRDefault="00DA6728" w:rsidP="005E763D">
            <w:pPr>
              <w:numPr>
                <w:ilvl w:val="0"/>
                <w:numId w:val="43"/>
              </w:numPr>
              <w:spacing w:after="120"/>
              <w:rPr>
                <w:rFonts w:ascii="Times New Roman" w:hAnsi="Times New Roman"/>
              </w:rPr>
            </w:pPr>
            <w:r w:rsidRPr="00DA6728">
              <w:t>To provide quality services to newborns</w:t>
            </w:r>
            <w:smartTag w:uri="urn:schemas-microsoft-com:office:smarttags" w:element="PersonName">
              <w:r w:rsidRPr="00DA6728">
                <w:t>,</w:t>
              </w:r>
            </w:smartTag>
            <w:r w:rsidRPr="00DA6728">
              <w:t xml:space="preserve"> children</w:t>
            </w:r>
            <w:smartTag w:uri="urn:schemas-microsoft-com:office:smarttags" w:element="PersonName">
              <w:r w:rsidRPr="00DA6728">
                <w:t>,</w:t>
              </w:r>
            </w:smartTag>
            <w:r w:rsidRPr="00DA6728">
              <w:t xml:space="preserve"> adolescents</w:t>
            </w:r>
            <w:smartTag w:uri="urn:schemas-microsoft-com:office:smarttags" w:element="PersonName">
              <w:r w:rsidRPr="00DA6728">
                <w:t>,</w:t>
              </w:r>
            </w:smartTag>
            <w:r w:rsidRPr="00DA6728">
              <w:t xml:space="preserve"> adults and the geriatric population.  </w:t>
            </w:r>
          </w:p>
        </w:tc>
      </w:tr>
      <w:tr w:rsidR="005E763D" w:rsidRPr="00FB1490" w:rsidTr="005E763D">
        <w:tc>
          <w:tcPr>
            <w:tcW w:w="11016" w:type="dxa"/>
            <w:gridSpan w:val="3"/>
          </w:tcPr>
          <w:p w:rsidR="005E763D" w:rsidRPr="005E763D" w:rsidRDefault="005E763D" w:rsidP="005E763D">
            <w:pPr>
              <w:spacing w:after="120"/>
              <w:rPr>
                <w:b/>
              </w:rPr>
            </w:pPr>
            <w:r w:rsidRPr="005E763D">
              <w:rPr>
                <w:b/>
              </w:rPr>
              <w:t>RESPONSIBILITIES:</w:t>
            </w:r>
          </w:p>
          <w:p w:rsidR="005E763D" w:rsidRPr="005E763D" w:rsidRDefault="005E763D" w:rsidP="005E763D">
            <w:pPr>
              <w:spacing w:after="120"/>
              <w:rPr>
                <w:bCs/>
              </w:rPr>
            </w:pPr>
            <w:r w:rsidRPr="005E763D">
              <w:rPr>
                <w:bCs/>
              </w:rPr>
              <w:t xml:space="preserve">Medical Director (CLIA designation laboratory director) is responsible for the technical and scientific oversight of the laboratory including the review and initial approval of policies and procedures and additional changes that are made. The Medical Director of LABORATORIES Northwest may delegate qualified personnel the responsibility of specific duties. It is the responsibility of the Medical Directors to ensure the delegated functions </w:t>
            </w:r>
            <w:r w:rsidRPr="005E763D">
              <w:rPr>
                <w:bCs/>
              </w:rPr>
              <w:lastRenderedPageBreak/>
              <w:t>are properly completed.</w:t>
            </w:r>
          </w:p>
          <w:p w:rsidR="005E763D" w:rsidRDefault="005E763D" w:rsidP="00AB5644">
            <w:pPr>
              <w:tabs>
                <w:tab w:val="left" w:pos="-720"/>
              </w:tabs>
              <w:suppressAutoHyphens/>
              <w:spacing w:after="60"/>
              <w:jc w:val="both"/>
              <w:rPr>
                <w:spacing w:val="-3"/>
              </w:rPr>
            </w:pPr>
            <w:r w:rsidRPr="005E763D">
              <w:rPr>
                <w:bCs/>
              </w:rPr>
              <w:t xml:space="preserve">The Administrative Director </w:t>
            </w:r>
            <w:r w:rsidRPr="005E763D">
              <w:rPr>
                <w:spacing w:val="-3"/>
              </w:rPr>
              <w:t>directs and manages all aspects of Laboratory Services operations and leadership team. Responsible for contributing to the enhancement of the organizational culture/environment, transmitting core values, developing and implementing standards and programs, as well as achieving the organizational operating and financial goals. This position partners with the health system’s</w:t>
            </w:r>
            <w:r w:rsidRPr="005E763D">
              <w:rPr>
                <w:color w:val="FF9900"/>
                <w:spacing w:val="-3"/>
              </w:rPr>
              <w:t xml:space="preserve"> </w:t>
            </w:r>
            <w:r w:rsidRPr="005E763D">
              <w:rPr>
                <w:spacing w:val="-3"/>
              </w:rPr>
              <w:t>executive leadership team at each of the system’s institutions, Pathologists and community physicians in order to provide administrative and clinical direction for a broad range of MultiCare Laboratory Services.</w:t>
            </w:r>
          </w:p>
          <w:p w:rsidR="005E763D" w:rsidRPr="005E763D" w:rsidRDefault="005E763D" w:rsidP="005E763D">
            <w:pPr>
              <w:spacing w:after="120"/>
              <w:ind w:right="-115"/>
              <w:rPr>
                <w:bCs/>
              </w:rPr>
            </w:pPr>
            <w:r w:rsidRPr="005E763D">
              <w:rPr>
                <w:bCs/>
              </w:rPr>
              <w:t>The Pathologists (CLIA Designation Clinical Consultant) perform anatomic and/or clinical pathology evaluations and are available to provide consultation regarding the appropriateness of testing ordered and the interpretation of the results.</w:t>
            </w:r>
          </w:p>
          <w:p w:rsidR="005E763D" w:rsidRPr="005E763D" w:rsidRDefault="005E763D" w:rsidP="005E763D">
            <w:pPr>
              <w:spacing w:after="120"/>
              <w:ind w:right="-115"/>
              <w:rPr>
                <w:bCs/>
              </w:rPr>
            </w:pPr>
            <w:r w:rsidRPr="005E763D">
              <w:rPr>
                <w:bCs/>
              </w:rPr>
              <w:t>Managers and Supervisors (CLIA designation of General Supervisor) are qualified testing personnel responsible for the day to day supervision or oversight of laboratory operation including budgetary responsibility</w:t>
            </w:r>
            <w:smartTag w:uri="urn:schemas-microsoft-com:office:smarttags" w:element="PersonName">
              <w:r w:rsidRPr="005E763D">
                <w:rPr>
                  <w:bCs/>
                </w:rPr>
                <w:t>,</w:t>
              </w:r>
            </w:smartTag>
            <w:r w:rsidRPr="005E763D">
              <w:rPr>
                <w:bCs/>
              </w:rPr>
              <w:t xml:space="preserve"> staff competency and technical performance within their section.</w:t>
            </w:r>
          </w:p>
          <w:p w:rsidR="003C58BF" w:rsidRDefault="005E763D" w:rsidP="003C58BF">
            <w:pPr>
              <w:ind w:right="-115"/>
              <w:rPr>
                <w:bCs/>
              </w:rPr>
            </w:pPr>
            <w:r w:rsidRPr="005E763D">
              <w:rPr>
                <w:bCs/>
              </w:rPr>
              <w:t xml:space="preserve">Testing personnel for moderate and high complexity testing have a minimum of an associate degree in a laboratory science or medical technology program and have maintained their certification of MT (ASCP), MLS </w:t>
            </w:r>
            <w:r w:rsidRPr="00AB5644">
              <w:rPr>
                <w:bCs/>
                <w:sz w:val="16"/>
                <w:szCs w:val="16"/>
              </w:rPr>
              <w:t>CM</w:t>
            </w:r>
            <w:r w:rsidRPr="005E763D">
              <w:rPr>
                <w:bCs/>
              </w:rPr>
              <w:t xml:space="preserve"> (ASCP), </w:t>
            </w:r>
            <w:r w:rsidR="00AB5644">
              <w:rPr>
                <w:bCs/>
              </w:rPr>
              <w:t xml:space="preserve">MT (AMT), </w:t>
            </w:r>
            <w:r w:rsidRPr="005E763D">
              <w:rPr>
                <w:bCs/>
              </w:rPr>
              <w:t>MLT (ASCP),</w:t>
            </w:r>
          </w:p>
          <w:p w:rsidR="005E763D" w:rsidRPr="005E763D" w:rsidRDefault="005E763D" w:rsidP="005E763D">
            <w:pPr>
              <w:spacing w:after="120"/>
              <w:ind w:right="-115"/>
              <w:rPr>
                <w:bCs/>
              </w:rPr>
            </w:pPr>
            <w:r w:rsidRPr="005E763D">
              <w:rPr>
                <w:bCs/>
              </w:rPr>
              <w:t xml:space="preserve">MLT </w:t>
            </w:r>
            <w:r w:rsidRPr="00AB5644">
              <w:rPr>
                <w:bCs/>
                <w:sz w:val="16"/>
                <w:szCs w:val="16"/>
              </w:rPr>
              <w:t>CM</w:t>
            </w:r>
            <w:r w:rsidRPr="005E763D">
              <w:rPr>
                <w:bCs/>
              </w:rPr>
              <w:t xml:space="preserve"> (ASCP), </w:t>
            </w:r>
            <w:r w:rsidRPr="00533034">
              <w:rPr>
                <w:bCs/>
              </w:rPr>
              <w:t>M(ASCP/RCM)</w:t>
            </w:r>
            <w:r w:rsidRPr="005E763D">
              <w:rPr>
                <w:bCs/>
              </w:rPr>
              <w:t>, HT (ASCP) or CT (ASCP).</w:t>
            </w:r>
          </w:p>
          <w:p w:rsidR="005E763D" w:rsidRPr="005E763D" w:rsidRDefault="005E763D" w:rsidP="005E763D">
            <w:pPr>
              <w:spacing w:after="120"/>
              <w:ind w:right="-115"/>
              <w:rPr>
                <w:bCs/>
              </w:rPr>
            </w:pPr>
            <w:r w:rsidRPr="005E763D">
              <w:rPr>
                <w:bCs/>
              </w:rPr>
              <w:t>Support staff includes processors</w:t>
            </w:r>
            <w:smartTag w:uri="urn:schemas-microsoft-com:office:smarttags" w:element="PersonName">
              <w:r w:rsidRPr="005E763D">
                <w:rPr>
                  <w:bCs/>
                </w:rPr>
                <w:t>,</w:t>
              </w:r>
            </w:smartTag>
            <w:r w:rsidRPr="005E763D">
              <w:rPr>
                <w:bCs/>
              </w:rPr>
              <w:t xml:space="preserve"> phlebotomists</w:t>
            </w:r>
            <w:smartTag w:uri="urn:schemas-microsoft-com:office:smarttags" w:element="PersonName">
              <w:r w:rsidRPr="005E763D">
                <w:rPr>
                  <w:bCs/>
                </w:rPr>
                <w:t>,</w:t>
              </w:r>
            </w:smartTag>
            <w:r w:rsidRPr="005E763D">
              <w:rPr>
                <w:bCs/>
              </w:rPr>
              <w:t xml:space="preserve"> Client Service Representatives</w:t>
            </w:r>
            <w:smartTag w:uri="urn:schemas-microsoft-com:office:smarttags" w:element="PersonName">
              <w:r w:rsidRPr="005E763D">
                <w:rPr>
                  <w:bCs/>
                </w:rPr>
                <w:t>,</w:t>
              </w:r>
            </w:smartTag>
            <w:r w:rsidRPr="005E763D">
              <w:rPr>
                <w:bCs/>
              </w:rPr>
              <w:t xml:space="preserve"> couriers</w:t>
            </w:r>
            <w:smartTag w:uri="urn:schemas-microsoft-com:office:smarttags" w:element="PersonName">
              <w:r w:rsidRPr="005E763D">
                <w:rPr>
                  <w:bCs/>
                </w:rPr>
                <w:t>,</w:t>
              </w:r>
            </w:smartTag>
            <w:r w:rsidRPr="005E763D">
              <w:rPr>
                <w:bCs/>
              </w:rPr>
              <w:t xml:space="preserve"> registration</w:t>
            </w:r>
            <w:smartTag w:uri="urn:schemas-microsoft-com:office:smarttags" w:element="PersonName">
              <w:r w:rsidRPr="005E763D">
                <w:rPr>
                  <w:bCs/>
                </w:rPr>
                <w:t>,</w:t>
              </w:r>
            </w:smartTag>
            <w:r w:rsidRPr="005E763D">
              <w:rPr>
                <w:bCs/>
              </w:rPr>
              <w:t xml:space="preserve"> coding staff</w:t>
            </w:r>
            <w:smartTag w:uri="urn:schemas-microsoft-com:office:smarttags" w:element="PersonName">
              <w:r w:rsidRPr="005E763D">
                <w:rPr>
                  <w:bCs/>
                </w:rPr>
                <w:t>,</w:t>
              </w:r>
            </w:smartTag>
            <w:r w:rsidRPr="005E763D">
              <w:rPr>
                <w:bCs/>
              </w:rPr>
              <w:t xml:space="preserve"> transcriptionists</w:t>
            </w:r>
            <w:smartTag w:uri="urn:schemas-microsoft-com:office:smarttags" w:element="PersonName">
              <w:r w:rsidRPr="005E763D">
                <w:rPr>
                  <w:bCs/>
                </w:rPr>
                <w:t>,</w:t>
              </w:r>
            </w:smartTag>
            <w:r w:rsidRPr="005E763D">
              <w:rPr>
                <w:bCs/>
              </w:rPr>
              <w:t xml:space="preserve"> receptionists</w:t>
            </w:r>
            <w:smartTag w:uri="urn:schemas-microsoft-com:office:smarttags" w:element="PersonName">
              <w:r w:rsidRPr="005E763D">
                <w:rPr>
                  <w:bCs/>
                </w:rPr>
                <w:t>,</w:t>
              </w:r>
            </w:smartTag>
            <w:r w:rsidRPr="005E763D">
              <w:rPr>
                <w:bCs/>
              </w:rPr>
              <w:t xml:space="preserve"> laboratory Information staff and others who are primarily responsible for the pre-analytic and post analytical and non-laboratory functions. </w:t>
            </w:r>
          </w:p>
          <w:p w:rsidR="005E763D" w:rsidRPr="005E763D" w:rsidRDefault="005E763D" w:rsidP="005E763D">
            <w:pPr>
              <w:spacing w:after="120"/>
              <w:ind w:right="-115"/>
              <w:rPr>
                <w:bCs/>
              </w:rPr>
            </w:pPr>
            <w:r w:rsidRPr="005E763D">
              <w:rPr>
                <w:bCs/>
              </w:rPr>
              <w:t>POCT (moderately complex and waived) are accredited through the Washington State Department of Health and related policies are located in the Ancillary testing department.</w:t>
            </w:r>
          </w:p>
        </w:tc>
      </w:tr>
      <w:tr w:rsidR="005E763D" w:rsidRPr="00FB1490" w:rsidTr="001C41CE">
        <w:trPr>
          <w:trHeight w:val="4040"/>
        </w:trPr>
        <w:tc>
          <w:tcPr>
            <w:tcW w:w="11016" w:type="dxa"/>
            <w:gridSpan w:val="3"/>
          </w:tcPr>
          <w:p w:rsidR="005E763D" w:rsidRPr="005E763D" w:rsidRDefault="005E763D" w:rsidP="005E763D">
            <w:pPr>
              <w:spacing w:after="120"/>
              <w:ind w:right="-115"/>
              <w:rPr>
                <w:bCs/>
                <w:color w:val="000000"/>
              </w:rPr>
            </w:pPr>
            <w:r w:rsidRPr="005E763D">
              <w:rPr>
                <w:b/>
                <w:bCs/>
                <w:color w:val="000000"/>
              </w:rPr>
              <w:lastRenderedPageBreak/>
              <w:t xml:space="preserve">QUALITY SYSTEM ESSENTIAL PROCESS INDICATORS:  </w:t>
            </w:r>
            <w:r w:rsidRPr="005E763D">
              <w:rPr>
                <w:bCs/>
                <w:color w:val="000000"/>
              </w:rPr>
              <w:t xml:space="preserve">Process indicators identified by laboratory management and staff monitor daily operations that are critical for maintaining quality daily operations.  A balanced scorecard is used to measure basic performance indicators.  Variations from standard internal operating procedures are monitored using the </w:t>
            </w:r>
            <w:r w:rsidR="00DA1EA8">
              <w:rPr>
                <w:bCs/>
                <w:color w:val="000000"/>
              </w:rPr>
              <w:t>on line Midas Electronic Quality Improvement Manager (MeQim) and the events are classified as “Laboratory Internal Events” or QERN. (</w:t>
            </w:r>
            <w:r w:rsidRPr="005E763D">
              <w:rPr>
                <w:bCs/>
                <w:color w:val="000000"/>
              </w:rPr>
              <w:t>electronic Quality Event Report Notification</w:t>
            </w:r>
            <w:r w:rsidR="00DA1EA8">
              <w:rPr>
                <w:bCs/>
                <w:color w:val="000000"/>
              </w:rPr>
              <w:t>)</w:t>
            </w:r>
            <w:r w:rsidRPr="005E763D">
              <w:rPr>
                <w:bCs/>
                <w:color w:val="000000"/>
              </w:rPr>
              <w:t xml:space="preserve">  The reporting format categorizes processes into pre-analytical, analytical and post-analytic systems.  </w:t>
            </w:r>
          </w:p>
          <w:p w:rsidR="005E763D" w:rsidRPr="005E763D" w:rsidRDefault="005E763D" w:rsidP="005E763D">
            <w:pPr>
              <w:spacing w:after="120"/>
              <w:ind w:right="-115"/>
              <w:rPr>
                <w:bCs/>
                <w:color w:val="000000"/>
              </w:rPr>
            </w:pPr>
            <w:r w:rsidRPr="005E763D">
              <w:rPr>
                <w:bCs/>
                <w:color w:val="000000"/>
              </w:rPr>
              <w:t>Additional internal reports and worksheets are generated daily and monitored for operational integrity.  These include, but are not limited to pending reports, critical value notification and corrected reports.</w:t>
            </w:r>
          </w:p>
          <w:p w:rsidR="005E763D" w:rsidRDefault="005E763D" w:rsidP="005E763D">
            <w:pPr>
              <w:spacing w:after="120"/>
              <w:ind w:right="-115"/>
              <w:rPr>
                <w:bCs/>
                <w:color w:val="000000"/>
              </w:rPr>
            </w:pPr>
            <w:r w:rsidRPr="005E763D">
              <w:rPr>
                <w:bCs/>
                <w:color w:val="000000"/>
              </w:rPr>
              <w:t xml:space="preserve">External incidents are reported through the on line program Midas Electronic Quality Improvement Manager (MeQIM). </w:t>
            </w:r>
          </w:p>
          <w:p w:rsidR="00C429F2" w:rsidRPr="005E763D" w:rsidRDefault="00C429F2" w:rsidP="005E763D">
            <w:pPr>
              <w:spacing w:after="120"/>
              <w:ind w:right="-115"/>
              <w:rPr>
                <w:bCs/>
                <w:color w:val="000000"/>
              </w:rPr>
            </w:pPr>
            <w:proofErr w:type="spellStart"/>
            <w:r>
              <w:rPr>
                <w:bCs/>
                <w:color w:val="000000"/>
              </w:rPr>
              <w:t>MeQIM</w:t>
            </w:r>
            <w:proofErr w:type="spellEnd"/>
            <w:r>
              <w:rPr>
                <w:bCs/>
                <w:color w:val="000000"/>
              </w:rPr>
              <w:t xml:space="preserve"> events are reviewed individually and collectively.  Specific issues may be assigned to the appropriate supervisory or management staff for process improvement, staff counseling, or work flow change.  Key event types are aggregated and reflected on the BSC for monthly review.</w:t>
            </w:r>
          </w:p>
          <w:p w:rsidR="005E763D" w:rsidRPr="005E763D" w:rsidRDefault="005E763D" w:rsidP="005E763D">
            <w:pPr>
              <w:spacing w:after="120"/>
              <w:ind w:right="-115"/>
            </w:pPr>
            <w:r w:rsidRPr="005E763D">
              <w:rPr>
                <w:bCs/>
              </w:rPr>
              <w:lastRenderedPageBreak/>
              <w:t xml:space="preserve">The monthly reports will be reviewed by laboratory leadership </w:t>
            </w:r>
            <w:r w:rsidR="00C429F2">
              <w:rPr>
                <w:bCs/>
              </w:rPr>
              <w:t xml:space="preserve">and </w:t>
            </w:r>
            <w:r w:rsidRPr="005E763D">
              <w:rPr>
                <w:bCs/>
              </w:rPr>
              <w:t>any trends or potential process issues</w:t>
            </w:r>
            <w:r w:rsidR="00DA1EA8">
              <w:rPr>
                <w:bCs/>
              </w:rPr>
              <w:t xml:space="preserve"> are identified</w:t>
            </w:r>
            <w:r w:rsidRPr="005E763D">
              <w:rPr>
                <w:bCs/>
              </w:rPr>
              <w:t xml:space="preserve">. The Laboratory Management and impacted departments within MultiCare Health System will determine the appropriate action plans and the effectiveness of the action plan will be evaluated.  </w:t>
            </w:r>
            <w:r w:rsidRPr="005E763D">
              <w:t>The Plan-Do-Study-Act worksheet is a tool that has been adopted and may be used to document any test of change and provides a means to report the development of a plan for improvement, the execution, evaluation and the resulting process change.</w:t>
            </w:r>
          </w:p>
          <w:p w:rsidR="005E763D" w:rsidRDefault="005E763D" w:rsidP="005E763D">
            <w:pPr>
              <w:spacing w:after="120"/>
              <w:ind w:right="-115"/>
              <w:rPr>
                <w:bCs/>
                <w:color w:val="000000"/>
              </w:rPr>
            </w:pPr>
            <w:r w:rsidRPr="005E763D">
              <w:rPr>
                <w:bCs/>
                <w:color w:val="000000"/>
              </w:rPr>
              <w:t>These reports are reviewed by the Medical Directors.</w:t>
            </w:r>
          </w:p>
          <w:tbl>
            <w:tblPr>
              <w:tblW w:w="0" w:type="auto"/>
              <w:jc w:val="center"/>
              <w:tblLayout w:type="fixed"/>
              <w:tblLook w:val="04A0"/>
            </w:tblPr>
            <w:tblGrid>
              <w:gridCol w:w="5392"/>
              <w:gridCol w:w="5393"/>
            </w:tblGrid>
            <w:tr w:rsidR="005E763D" w:rsidRPr="005554AE" w:rsidTr="005554AE">
              <w:trPr>
                <w:jc w:val="center"/>
              </w:trPr>
              <w:tc>
                <w:tcPr>
                  <w:tcW w:w="5392" w:type="dxa"/>
                </w:tcPr>
                <w:p w:rsidR="005E763D" w:rsidRPr="005554AE" w:rsidRDefault="005E763D" w:rsidP="005554AE">
                  <w:pPr>
                    <w:spacing w:after="120"/>
                    <w:ind w:right="-115"/>
                    <w:rPr>
                      <w:bCs/>
                      <w:color w:val="000000"/>
                    </w:rPr>
                  </w:pPr>
                  <w:r w:rsidRPr="005E763D">
                    <w:t>Introduction and process review</w:t>
                  </w:r>
                </w:p>
              </w:tc>
              <w:tc>
                <w:tcPr>
                  <w:tcW w:w="5393" w:type="dxa"/>
                </w:tcPr>
                <w:p w:rsidR="005E763D" w:rsidRPr="005554AE" w:rsidRDefault="005E763D" w:rsidP="005554AE">
                  <w:pPr>
                    <w:spacing w:after="120"/>
                    <w:ind w:right="-115"/>
                    <w:rPr>
                      <w:bCs/>
                      <w:color w:val="000000"/>
                    </w:rPr>
                  </w:pPr>
                  <w:r w:rsidRPr="005E763D">
                    <w:t>Data analysis</w:t>
                  </w:r>
                </w:p>
              </w:tc>
            </w:tr>
            <w:tr w:rsidR="005E763D" w:rsidRPr="005554AE" w:rsidTr="005554AE">
              <w:trPr>
                <w:jc w:val="center"/>
              </w:trPr>
              <w:tc>
                <w:tcPr>
                  <w:tcW w:w="5392" w:type="dxa"/>
                </w:tcPr>
                <w:p w:rsidR="005E763D" w:rsidRPr="005554AE" w:rsidRDefault="005E763D" w:rsidP="005554AE">
                  <w:pPr>
                    <w:spacing w:after="120"/>
                    <w:ind w:right="-115"/>
                    <w:rPr>
                      <w:bCs/>
                      <w:color w:val="000000"/>
                    </w:rPr>
                  </w:pPr>
                  <w:r w:rsidRPr="005E763D">
                    <w:t>Flowcharting</w:t>
                  </w:r>
                </w:p>
              </w:tc>
              <w:tc>
                <w:tcPr>
                  <w:tcW w:w="5393" w:type="dxa"/>
                </w:tcPr>
                <w:p w:rsidR="005E763D" w:rsidRPr="005E763D" w:rsidRDefault="005E763D" w:rsidP="005E763D">
                  <w:r w:rsidRPr="005E763D">
                    <w:t>Data confirmation</w:t>
                  </w:r>
                </w:p>
              </w:tc>
            </w:tr>
            <w:tr w:rsidR="005E763D" w:rsidRPr="005554AE" w:rsidTr="005554AE">
              <w:trPr>
                <w:jc w:val="center"/>
              </w:trPr>
              <w:tc>
                <w:tcPr>
                  <w:tcW w:w="5392" w:type="dxa"/>
                </w:tcPr>
                <w:p w:rsidR="005E763D" w:rsidRPr="005554AE" w:rsidRDefault="005E763D" w:rsidP="005554AE">
                  <w:pPr>
                    <w:spacing w:after="120"/>
                    <w:ind w:right="-115"/>
                    <w:rPr>
                      <w:bCs/>
                      <w:color w:val="000000"/>
                    </w:rPr>
                  </w:pPr>
                  <w:r w:rsidRPr="005E763D">
                    <w:t>Customer Identification</w:t>
                  </w:r>
                </w:p>
              </w:tc>
              <w:tc>
                <w:tcPr>
                  <w:tcW w:w="5393" w:type="dxa"/>
                </w:tcPr>
                <w:p w:rsidR="005E763D" w:rsidRPr="005E763D" w:rsidRDefault="005E763D" w:rsidP="005E763D">
                  <w:r w:rsidRPr="005E763D">
                    <w:t>Root Cause Analysis</w:t>
                  </w:r>
                </w:p>
              </w:tc>
            </w:tr>
            <w:tr w:rsidR="005E763D" w:rsidRPr="005554AE" w:rsidTr="005554AE">
              <w:trPr>
                <w:jc w:val="center"/>
              </w:trPr>
              <w:tc>
                <w:tcPr>
                  <w:tcW w:w="5392" w:type="dxa"/>
                </w:tcPr>
                <w:p w:rsidR="005E763D" w:rsidRPr="005554AE" w:rsidRDefault="005E763D" w:rsidP="005554AE">
                  <w:pPr>
                    <w:spacing w:after="120"/>
                    <w:ind w:right="-115"/>
                    <w:rPr>
                      <w:bCs/>
                      <w:color w:val="000000"/>
                    </w:rPr>
                  </w:pPr>
                  <w:r w:rsidRPr="005E763D">
                    <w:t>Customer Interviews</w:t>
                  </w:r>
                </w:p>
              </w:tc>
              <w:tc>
                <w:tcPr>
                  <w:tcW w:w="5393" w:type="dxa"/>
                </w:tcPr>
                <w:p w:rsidR="005E763D" w:rsidRPr="005E763D" w:rsidRDefault="005E763D" w:rsidP="005E763D">
                  <w:r w:rsidRPr="005E763D">
                    <w:t>Brain Storming</w:t>
                  </w:r>
                </w:p>
              </w:tc>
            </w:tr>
            <w:tr w:rsidR="005E763D" w:rsidRPr="005554AE" w:rsidTr="005554AE">
              <w:trPr>
                <w:jc w:val="center"/>
              </w:trPr>
              <w:tc>
                <w:tcPr>
                  <w:tcW w:w="5392" w:type="dxa"/>
                </w:tcPr>
                <w:p w:rsidR="005E763D" w:rsidRPr="005554AE" w:rsidRDefault="005E763D" w:rsidP="005554AE">
                  <w:pPr>
                    <w:spacing w:after="120"/>
                    <w:ind w:right="-115"/>
                    <w:rPr>
                      <w:bCs/>
                      <w:color w:val="000000"/>
                    </w:rPr>
                  </w:pPr>
                  <w:r w:rsidRPr="005E763D">
                    <w:t>Interview Analysis</w:t>
                  </w:r>
                </w:p>
              </w:tc>
              <w:tc>
                <w:tcPr>
                  <w:tcW w:w="5393" w:type="dxa"/>
                </w:tcPr>
                <w:p w:rsidR="005E763D" w:rsidRPr="005E763D" w:rsidRDefault="005E763D" w:rsidP="005E763D">
                  <w:r w:rsidRPr="005E763D">
                    <w:t>Reporting</w:t>
                  </w:r>
                </w:p>
              </w:tc>
            </w:tr>
            <w:tr w:rsidR="005E763D" w:rsidRPr="005554AE" w:rsidTr="005554AE">
              <w:trPr>
                <w:jc w:val="center"/>
              </w:trPr>
              <w:tc>
                <w:tcPr>
                  <w:tcW w:w="5392" w:type="dxa"/>
                </w:tcPr>
                <w:p w:rsidR="005E763D" w:rsidRPr="005554AE" w:rsidRDefault="005E763D" w:rsidP="005554AE">
                  <w:pPr>
                    <w:spacing w:after="120"/>
                    <w:ind w:right="-115"/>
                    <w:rPr>
                      <w:bCs/>
                      <w:color w:val="000000"/>
                    </w:rPr>
                  </w:pPr>
                  <w:r w:rsidRPr="005E763D">
                    <w:t>Data Collection</w:t>
                  </w:r>
                </w:p>
              </w:tc>
              <w:tc>
                <w:tcPr>
                  <w:tcW w:w="5393" w:type="dxa"/>
                </w:tcPr>
                <w:p w:rsidR="005E763D" w:rsidRPr="005E763D" w:rsidRDefault="005E763D" w:rsidP="005E763D">
                  <w:r w:rsidRPr="005E763D">
                    <w:t>Implementation of recommendation</w:t>
                  </w:r>
                </w:p>
              </w:tc>
            </w:tr>
          </w:tbl>
          <w:p w:rsidR="005E763D" w:rsidRPr="001C41CE" w:rsidRDefault="001C41CE" w:rsidP="001C41CE">
            <w:r w:rsidRPr="001C41CE">
              <w:t>Communication and frequent updates with management are critical throughout this pro</w:t>
            </w:r>
            <w:r>
              <w:t>cess.</w:t>
            </w:r>
          </w:p>
        </w:tc>
      </w:tr>
      <w:tr w:rsidR="001C41CE" w:rsidRPr="00FB1490" w:rsidTr="00673126">
        <w:trPr>
          <w:trHeight w:val="3456"/>
        </w:trPr>
        <w:tc>
          <w:tcPr>
            <w:tcW w:w="11016" w:type="dxa"/>
            <w:gridSpan w:val="3"/>
          </w:tcPr>
          <w:p w:rsidR="001C41CE" w:rsidRPr="001C41CE" w:rsidRDefault="001C41CE" w:rsidP="001C41CE">
            <w:r w:rsidRPr="001C41CE">
              <w:rPr>
                <w:b/>
                <w:bCs/>
              </w:rPr>
              <w:lastRenderedPageBreak/>
              <w:t xml:space="preserve">QUALITY CONTROL:  </w:t>
            </w:r>
            <w:r w:rsidRPr="001C41CE">
              <w:t>The frequency and content of the quality control run for the procedures in the laboratory is determined by a combination of instrument manufactures’ guidelines and regulatory agency requirements (CAP, CLIA, JCAHO, CLSI and the State of Washington).  Standard Operating Procedures delineate specific details, such as which control materials to run and the frequency required.  These procedures are department specific and are located in the department procedure manuals.</w:t>
            </w:r>
          </w:p>
          <w:p w:rsidR="001C41CE" w:rsidRPr="001C41CE" w:rsidRDefault="001C41CE" w:rsidP="001C41CE">
            <w:pPr>
              <w:spacing w:after="120"/>
            </w:pPr>
            <w:r w:rsidRPr="001C41CE">
              <w:t>All quality control results that deviate from acceptable limits and the actions taken following those deviations are documented and reviewed by the manager of that department.</w:t>
            </w:r>
          </w:p>
          <w:p w:rsidR="001C41CE" w:rsidRPr="001C41CE" w:rsidRDefault="001C41CE" w:rsidP="001C41CE">
            <w:pPr>
              <w:spacing w:after="120"/>
            </w:pPr>
            <w:r w:rsidRPr="001C41CE">
              <w:t>Corrective actions and preventative maintenance activities for all instrumentation are documented on daily logs located near each instrument.</w:t>
            </w:r>
          </w:p>
        </w:tc>
      </w:tr>
      <w:tr w:rsidR="001C41CE" w:rsidRPr="00FB1490" w:rsidTr="00673126">
        <w:trPr>
          <w:trHeight w:val="1008"/>
        </w:trPr>
        <w:tc>
          <w:tcPr>
            <w:tcW w:w="11016" w:type="dxa"/>
            <w:gridSpan w:val="3"/>
          </w:tcPr>
          <w:p w:rsidR="001C41CE" w:rsidRPr="001C41CE" w:rsidRDefault="001C41CE" w:rsidP="001C41CE">
            <w:pPr>
              <w:spacing w:after="120"/>
              <w:rPr>
                <w:color w:val="CC3300"/>
              </w:rPr>
            </w:pPr>
            <w:r w:rsidRPr="001C41CE">
              <w:rPr>
                <w:b/>
                <w:bCs/>
              </w:rPr>
              <w:t>RECOGNIZED STANDARDS AND PRACTICE GUIDELINES:</w:t>
            </w:r>
            <w:r w:rsidRPr="001C41CE">
              <w:t xml:space="preserve">  LABORATORIES Northwest subscribes to the College of American Pathologists proficiency testing program and is surveyed on-site by the College of American Pathologis</w:t>
            </w:r>
            <w:r>
              <w:t>t</w:t>
            </w:r>
            <w:r w:rsidR="00DA1EA8">
              <w:t>s</w:t>
            </w:r>
            <w:r>
              <w:t>.</w:t>
            </w:r>
          </w:p>
        </w:tc>
      </w:tr>
      <w:tr w:rsidR="00F26035" w:rsidRPr="00FB1490" w:rsidTr="001C41CE">
        <w:trPr>
          <w:trHeight w:val="1358"/>
        </w:trPr>
        <w:tc>
          <w:tcPr>
            <w:tcW w:w="11016" w:type="dxa"/>
            <w:gridSpan w:val="3"/>
          </w:tcPr>
          <w:p w:rsidR="00F26035" w:rsidRPr="001C41CE" w:rsidRDefault="00F26035" w:rsidP="00F26035">
            <w:pPr>
              <w:spacing w:after="120"/>
            </w:pPr>
            <w:r w:rsidRPr="001C41CE">
              <w:rPr>
                <w:b/>
                <w:bCs/>
              </w:rPr>
              <w:t>ACCOUNTABILITY:</w:t>
            </w:r>
            <w:r w:rsidRPr="001C41CE">
              <w:t xml:space="preserve">  Laboratory Management is responsible for the coordination of a systematic laboratory quality plan to achieve desired levels of quality and customer service within all its locations and as it pertains to </w:t>
            </w:r>
            <w:proofErr w:type="spellStart"/>
            <w:r w:rsidR="00DA1EA8" w:rsidRPr="001C41CE">
              <w:t>MultiCare</w:t>
            </w:r>
            <w:r w:rsidR="00DA1EA8">
              <w:t>s</w:t>
            </w:r>
            <w:proofErr w:type="spellEnd"/>
            <w:r w:rsidRPr="001C41CE">
              <w:t xml:space="preserve">’ strategic framework and objectives.   </w:t>
            </w:r>
          </w:p>
          <w:p w:rsidR="00F26035" w:rsidRPr="001C41CE" w:rsidRDefault="00F26035" w:rsidP="00F26035">
            <w:pPr>
              <w:spacing w:after="120"/>
            </w:pPr>
            <w:r w:rsidRPr="001C41CE">
              <w:t>The Medical Directors and the Administrative Director of the Laboratory have the overall responsibility for LABORATORIES Northwest operations and quality management.</w:t>
            </w:r>
          </w:p>
          <w:p w:rsidR="00673126" w:rsidRPr="00F26035" w:rsidRDefault="00F26035" w:rsidP="00F26035">
            <w:pPr>
              <w:spacing w:after="120"/>
            </w:pPr>
            <w:r w:rsidRPr="001C41CE">
              <w:t>Each person in the laboratory is responsible for quality.  Each testing technologist/technician is responsible to ensure that all testing methodologies include the required quality controls and that all quality controls fall within the established parameters prior to testing patient samples.</w:t>
            </w:r>
          </w:p>
        </w:tc>
      </w:tr>
      <w:tr w:rsidR="004E007A" w:rsidRPr="00FB1490" w:rsidTr="00673126">
        <w:trPr>
          <w:trHeight w:val="377"/>
        </w:trPr>
        <w:tc>
          <w:tcPr>
            <w:tcW w:w="11016" w:type="dxa"/>
            <w:gridSpan w:val="3"/>
          </w:tcPr>
          <w:p w:rsidR="004E007A" w:rsidRPr="004E007A" w:rsidRDefault="004E007A" w:rsidP="00454F59">
            <w:pPr>
              <w:spacing w:before="120" w:after="120"/>
              <w:rPr>
                <w:bCs/>
              </w:rPr>
            </w:pPr>
            <w:r>
              <w:rPr>
                <w:b/>
                <w:bCs/>
              </w:rPr>
              <w:t xml:space="preserve">Related Policies:  </w:t>
            </w:r>
            <w:r>
              <w:rPr>
                <w:bCs/>
              </w:rPr>
              <w:t>LABORATORIES Northwest Scope of Services</w:t>
            </w:r>
          </w:p>
        </w:tc>
      </w:tr>
      <w:tr w:rsidR="00673126" w:rsidRPr="00FB1490" w:rsidTr="00673126">
        <w:trPr>
          <w:trHeight w:val="377"/>
        </w:trPr>
        <w:tc>
          <w:tcPr>
            <w:tcW w:w="11016" w:type="dxa"/>
            <w:gridSpan w:val="3"/>
          </w:tcPr>
          <w:p w:rsidR="008C727B" w:rsidRDefault="00673126" w:rsidP="00454F59">
            <w:pPr>
              <w:spacing w:after="60"/>
              <w:rPr>
                <w:b/>
                <w:bCs/>
              </w:rPr>
            </w:pPr>
            <w:r>
              <w:rPr>
                <w:b/>
                <w:bCs/>
              </w:rPr>
              <w:lastRenderedPageBreak/>
              <w:t>Summary of Edits:</w:t>
            </w:r>
          </w:p>
          <w:p w:rsidR="00E05A3D" w:rsidRDefault="00E05A3D" w:rsidP="00454F59">
            <w:pPr>
              <w:rPr>
                <w:bCs/>
              </w:rPr>
            </w:pPr>
            <w:r>
              <w:rPr>
                <w:bCs/>
              </w:rPr>
              <w:t>Replaces retired procedure “Quality and Performance Improvement”</w:t>
            </w:r>
          </w:p>
          <w:p w:rsidR="00673126" w:rsidRDefault="00673126" w:rsidP="00454F59">
            <w:pPr>
              <w:rPr>
                <w:bCs/>
              </w:rPr>
            </w:pPr>
            <w:r w:rsidRPr="00673126">
              <w:rPr>
                <w:bCs/>
              </w:rPr>
              <w:t xml:space="preserve">1/18/2012 Revised formatting and updated </w:t>
            </w:r>
            <w:r w:rsidR="008C727B">
              <w:rPr>
                <w:bCs/>
              </w:rPr>
              <w:t xml:space="preserve">CAP </w:t>
            </w:r>
            <w:r w:rsidRPr="00673126">
              <w:rPr>
                <w:bCs/>
              </w:rPr>
              <w:t>referenc</w:t>
            </w:r>
            <w:r>
              <w:rPr>
                <w:bCs/>
              </w:rPr>
              <w:t>es.</w:t>
            </w:r>
          </w:p>
          <w:p w:rsidR="008C727B" w:rsidRDefault="008C727B" w:rsidP="00DA1EA8">
            <w:pPr>
              <w:rPr>
                <w:bCs/>
              </w:rPr>
            </w:pPr>
            <w:r>
              <w:rPr>
                <w:bCs/>
              </w:rPr>
              <w:t xml:space="preserve">3/13/2012 </w:t>
            </w:r>
            <w:r w:rsidR="00AB5644">
              <w:rPr>
                <w:bCs/>
              </w:rPr>
              <w:t>Expanded Medical Director Review</w:t>
            </w:r>
            <w:r>
              <w:rPr>
                <w:bCs/>
              </w:rPr>
              <w:t>.</w:t>
            </w:r>
          </w:p>
          <w:p w:rsidR="00DA1EA8" w:rsidRPr="00673126" w:rsidRDefault="00DA1EA8" w:rsidP="00DA1EA8">
            <w:pPr>
              <w:rPr>
                <w:bCs/>
              </w:rPr>
            </w:pPr>
            <w:r>
              <w:rPr>
                <w:bCs/>
              </w:rPr>
              <w:t>3/2014 Enhanced description of Laboratory Internal Events</w:t>
            </w:r>
            <w:r w:rsidR="00734971">
              <w:rPr>
                <w:bCs/>
              </w:rPr>
              <w:t xml:space="preserve">, updated </w:t>
            </w:r>
            <w:r w:rsidR="00EB1EC8">
              <w:rPr>
                <w:bCs/>
              </w:rPr>
              <w:t>references and</w:t>
            </w:r>
            <w:r>
              <w:rPr>
                <w:bCs/>
              </w:rPr>
              <w:t xml:space="preserve"> expanded Medical Director review.</w:t>
            </w:r>
          </w:p>
        </w:tc>
      </w:tr>
      <w:tr w:rsidR="00673126" w:rsidRPr="00FB1490" w:rsidTr="00673126">
        <w:trPr>
          <w:trHeight w:val="377"/>
        </w:trPr>
        <w:tc>
          <w:tcPr>
            <w:tcW w:w="11016" w:type="dxa"/>
            <w:gridSpan w:val="3"/>
          </w:tcPr>
          <w:p w:rsidR="00673126" w:rsidRDefault="0079069D" w:rsidP="00673126">
            <w:pPr>
              <w:ind w:right="-108"/>
              <w:rPr>
                <w:b/>
                <w:bCs/>
              </w:rPr>
            </w:pPr>
            <w:r>
              <w:br w:type="page"/>
            </w:r>
            <w:r w:rsidR="00AB5644" w:rsidRPr="00AB5644">
              <w:rPr>
                <w:b/>
              </w:rPr>
              <w:t>R</w:t>
            </w:r>
            <w:r w:rsidR="00673126">
              <w:rPr>
                <w:b/>
                <w:bCs/>
              </w:rPr>
              <w:t>eferences:</w:t>
            </w:r>
          </w:p>
          <w:p w:rsidR="00673126" w:rsidRPr="00673126" w:rsidRDefault="00673126" w:rsidP="00673126">
            <w:pPr>
              <w:ind w:right="-108"/>
              <w:rPr>
                <w:bCs/>
                <w:color w:val="000000"/>
              </w:rPr>
            </w:pPr>
            <w:r w:rsidRPr="00673126">
              <w:rPr>
                <w:bCs/>
                <w:color w:val="000000"/>
              </w:rPr>
              <w:t xml:space="preserve">Clinical Laboratory Standards Institute </w:t>
            </w:r>
            <w:r w:rsidR="00734971">
              <w:rPr>
                <w:bCs/>
                <w:color w:val="000000"/>
              </w:rPr>
              <w:t>QMS01 (GP26-A4) 2011</w:t>
            </w:r>
          </w:p>
          <w:p w:rsidR="00673126" w:rsidRDefault="00673126" w:rsidP="00673126">
            <w:pPr>
              <w:ind w:right="-108"/>
              <w:rPr>
                <w:bCs/>
                <w:color w:val="000000"/>
              </w:rPr>
            </w:pPr>
            <w:r w:rsidRPr="00673126">
              <w:rPr>
                <w:bCs/>
                <w:color w:val="000000"/>
              </w:rPr>
              <w:t xml:space="preserve">Clinical Laboratory Standards Institute </w:t>
            </w:r>
            <w:r w:rsidR="00734971">
              <w:rPr>
                <w:bCs/>
                <w:color w:val="000000"/>
              </w:rPr>
              <w:t>QMS02-A6 (GP02-A5) 2013</w:t>
            </w:r>
          </w:p>
          <w:p w:rsidR="00734971" w:rsidRPr="00673126" w:rsidRDefault="00734971" w:rsidP="00673126">
            <w:pPr>
              <w:ind w:right="-108"/>
              <w:rPr>
                <w:bCs/>
                <w:color w:val="000000"/>
              </w:rPr>
            </w:pPr>
            <w:r w:rsidRPr="00673126">
              <w:rPr>
                <w:bCs/>
                <w:color w:val="000000"/>
              </w:rPr>
              <w:t>Clinical Laboratory Standards Institute</w:t>
            </w:r>
            <w:r>
              <w:rPr>
                <w:bCs/>
                <w:color w:val="000000"/>
              </w:rPr>
              <w:t xml:space="preserve"> QMS06-A3 (GP22-A3) 2011</w:t>
            </w:r>
          </w:p>
          <w:p w:rsidR="00673126" w:rsidRPr="00673126" w:rsidRDefault="00673126" w:rsidP="00673126">
            <w:pPr>
              <w:ind w:right="-108"/>
            </w:pPr>
            <w:r w:rsidRPr="00673126">
              <w:t>CLIA ’88; 493.1449b and 493.1449q</w:t>
            </w:r>
          </w:p>
          <w:p w:rsidR="00673126" w:rsidRDefault="00673126" w:rsidP="00673126">
            <w:pPr>
              <w:ind w:right="-108"/>
            </w:pPr>
            <w:r w:rsidRPr="00673126">
              <w:t>College of American Pathologists GEN.13806</w:t>
            </w:r>
          </w:p>
          <w:p w:rsidR="000A1431" w:rsidRDefault="000A1431" w:rsidP="000A1431">
            <w:pPr>
              <w:ind w:right="-108"/>
            </w:pPr>
            <w:r w:rsidRPr="00673126">
              <w:t>College of American Pathologists GEN.</w:t>
            </w:r>
            <w:r>
              <w:t>20208</w:t>
            </w:r>
          </w:p>
          <w:p w:rsidR="000A1431" w:rsidRDefault="000A1431" w:rsidP="000A1431">
            <w:pPr>
              <w:ind w:right="-108"/>
            </w:pPr>
            <w:r w:rsidRPr="00673126">
              <w:t>College of American Pathologists GEN.</w:t>
            </w:r>
            <w:r>
              <w:t>20316</w:t>
            </w:r>
          </w:p>
          <w:p w:rsidR="000A1431" w:rsidRDefault="000A1431" w:rsidP="00673126">
            <w:pPr>
              <w:ind w:right="-108"/>
            </w:pPr>
            <w:r w:rsidRPr="00673126">
              <w:t>College of American Pathologists GEN.</w:t>
            </w:r>
            <w:r>
              <w:t>20325</w:t>
            </w:r>
          </w:p>
          <w:p w:rsidR="00AF762B" w:rsidRPr="00673126" w:rsidRDefault="00AF762B" w:rsidP="00673126">
            <w:pPr>
              <w:ind w:right="-108"/>
            </w:pPr>
            <w:r w:rsidRPr="00673126">
              <w:t>College of American Pathologists GEN.</w:t>
            </w:r>
            <w:r>
              <w:t>40505</w:t>
            </w:r>
          </w:p>
        </w:tc>
      </w:tr>
      <w:tr w:rsidR="00673126" w:rsidRPr="00FB1490" w:rsidTr="00673126">
        <w:trPr>
          <w:trHeight w:val="144"/>
        </w:trPr>
        <w:tc>
          <w:tcPr>
            <w:tcW w:w="11016" w:type="dxa"/>
            <w:gridSpan w:val="3"/>
          </w:tcPr>
          <w:p w:rsidR="00673126" w:rsidRPr="00673126" w:rsidRDefault="00673126" w:rsidP="000A1431">
            <w:pPr>
              <w:spacing w:before="120" w:after="120"/>
              <w:rPr>
                <w:bCs/>
              </w:rPr>
            </w:pPr>
            <w:r>
              <w:rPr>
                <w:b/>
                <w:bCs/>
              </w:rPr>
              <w:t xml:space="preserve">Point of Contact:  </w:t>
            </w:r>
            <w:r>
              <w:rPr>
                <w:bCs/>
              </w:rPr>
              <w:t>Laboratory Regulatory Compliance Consultant</w:t>
            </w:r>
          </w:p>
        </w:tc>
      </w:tr>
      <w:tr w:rsidR="005E763D" w:rsidRPr="00FB1490" w:rsidTr="005E763D">
        <w:tc>
          <w:tcPr>
            <w:tcW w:w="5508" w:type="dxa"/>
          </w:tcPr>
          <w:p w:rsidR="005E763D" w:rsidRPr="0059191D" w:rsidRDefault="005E763D" w:rsidP="009E6642">
            <w:pPr>
              <w:rPr>
                <w:b/>
                <w:i/>
              </w:rPr>
            </w:pPr>
            <w:r w:rsidRPr="0059191D">
              <w:rPr>
                <w:b/>
                <w:i/>
              </w:rPr>
              <w:t>Approval By:</w:t>
            </w:r>
          </w:p>
          <w:p w:rsidR="005E763D" w:rsidRPr="009A635A" w:rsidRDefault="005E763D" w:rsidP="000A24E6">
            <w:pPr>
              <w:rPr>
                <w:sz w:val="22"/>
                <w:szCs w:val="22"/>
              </w:rPr>
            </w:pPr>
            <w:r w:rsidRPr="009A635A">
              <w:rPr>
                <w:sz w:val="22"/>
                <w:szCs w:val="22"/>
              </w:rPr>
              <w:t>LABORATORIES Northwest Medical Directors</w:t>
            </w:r>
          </w:p>
          <w:p w:rsidR="005E763D" w:rsidRDefault="005E763D" w:rsidP="000A24E6">
            <w:r>
              <w:t>David Austin, M.D.</w:t>
            </w:r>
          </w:p>
          <w:p w:rsidR="00AB5644" w:rsidRDefault="005E763D" w:rsidP="000A24E6">
            <w:r>
              <w:t>Eric Arntson, M.D.</w:t>
            </w:r>
          </w:p>
          <w:p w:rsidR="00DA1EA8" w:rsidRDefault="00AB5644" w:rsidP="000A24E6">
            <w:r>
              <w:t>George Hodges M.D.</w:t>
            </w:r>
            <w:r w:rsidR="005E763D" w:rsidRPr="0059191D">
              <w:t xml:space="preserve">   </w:t>
            </w:r>
          </w:p>
          <w:p w:rsidR="005E763D" w:rsidRPr="0059191D" w:rsidRDefault="00DA1EA8" w:rsidP="000A24E6">
            <w:r>
              <w:t>Larry O’Bryant M.D.</w:t>
            </w:r>
            <w:r w:rsidR="005E763D" w:rsidRPr="0059191D">
              <w:t xml:space="preserve">                        </w:t>
            </w:r>
          </w:p>
        </w:tc>
        <w:tc>
          <w:tcPr>
            <w:tcW w:w="5508" w:type="dxa"/>
            <w:gridSpan w:val="2"/>
          </w:tcPr>
          <w:p w:rsidR="005E763D" w:rsidRDefault="005E763D">
            <w:pPr>
              <w:rPr>
                <w:b/>
                <w:i/>
              </w:rPr>
            </w:pPr>
            <w:r w:rsidRPr="0059191D">
              <w:rPr>
                <w:b/>
                <w:i/>
              </w:rPr>
              <w:t>Date of Approval:</w:t>
            </w:r>
          </w:p>
          <w:p w:rsidR="009A635A" w:rsidRDefault="009A635A">
            <w:pPr>
              <w:rPr>
                <w:b/>
                <w:i/>
              </w:rPr>
            </w:pPr>
          </w:p>
          <w:p w:rsidR="009A635A" w:rsidRDefault="009A635A" w:rsidP="009B6801">
            <w:pPr>
              <w:spacing w:after="40"/>
              <w:rPr>
                <w:i/>
                <w:sz w:val="20"/>
                <w:szCs w:val="20"/>
              </w:rPr>
            </w:pPr>
            <w:r w:rsidRPr="009A635A">
              <w:rPr>
                <w:i/>
                <w:sz w:val="20"/>
                <w:szCs w:val="20"/>
              </w:rPr>
              <w:t>3/15/2012</w:t>
            </w:r>
          </w:p>
          <w:p w:rsidR="009B6801" w:rsidRDefault="009B6801" w:rsidP="009B6801">
            <w:pPr>
              <w:spacing w:after="40"/>
              <w:rPr>
                <w:i/>
                <w:sz w:val="20"/>
                <w:szCs w:val="20"/>
              </w:rPr>
            </w:pPr>
            <w:r>
              <w:rPr>
                <w:i/>
                <w:sz w:val="20"/>
                <w:szCs w:val="20"/>
              </w:rPr>
              <w:t>1/28/2013</w:t>
            </w:r>
          </w:p>
          <w:p w:rsidR="009B6801" w:rsidRDefault="009B6801">
            <w:pPr>
              <w:rPr>
                <w:i/>
                <w:sz w:val="20"/>
                <w:szCs w:val="20"/>
              </w:rPr>
            </w:pPr>
            <w:r>
              <w:rPr>
                <w:i/>
                <w:sz w:val="20"/>
                <w:szCs w:val="20"/>
              </w:rPr>
              <w:t>1/28/2013</w:t>
            </w:r>
          </w:p>
          <w:p w:rsidR="00E660E4" w:rsidRPr="009A635A" w:rsidRDefault="00E660E4">
            <w:pPr>
              <w:rPr>
                <w:i/>
                <w:sz w:val="20"/>
                <w:szCs w:val="20"/>
              </w:rPr>
            </w:pPr>
            <w:r>
              <w:rPr>
                <w:i/>
                <w:sz w:val="20"/>
                <w:szCs w:val="20"/>
              </w:rPr>
              <w:t>3/14/2014</w:t>
            </w:r>
          </w:p>
        </w:tc>
      </w:tr>
      <w:tr w:rsidR="005E763D" w:rsidRPr="00FB1490" w:rsidTr="005E763D">
        <w:tc>
          <w:tcPr>
            <w:tcW w:w="5508" w:type="dxa"/>
          </w:tcPr>
          <w:p w:rsidR="005E763D" w:rsidRPr="0059191D" w:rsidRDefault="005E763D">
            <w:r w:rsidRPr="0059191D">
              <w:t>Original Date:</w:t>
            </w:r>
          </w:p>
          <w:p w:rsidR="005E763D" w:rsidRPr="0059191D" w:rsidRDefault="005E763D">
            <w:r w:rsidRPr="0059191D">
              <w:t>Revision Dates:</w:t>
            </w:r>
          </w:p>
          <w:p w:rsidR="005E763D" w:rsidRPr="0059191D" w:rsidRDefault="005E763D">
            <w:r w:rsidRPr="0059191D">
              <w:t>Reviewed with no Changes Dates:</w:t>
            </w:r>
          </w:p>
        </w:tc>
        <w:tc>
          <w:tcPr>
            <w:tcW w:w="5508" w:type="dxa"/>
            <w:gridSpan w:val="2"/>
          </w:tcPr>
          <w:p w:rsidR="005E763D" w:rsidRPr="0059191D" w:rsidRDefault="0079069D">
            <w:pPr>
              <w:rPr>
                <w:i/>
              </w:rPr>
            </w:pPr>
            <w:r>
              <w:rPr>
                <w:i/>
              </w:rPr>
              <w:t>1994</w:t>
            </w:r>
          </w:p>
          <w:p w:rsidR="005E763D" w:rsidRPr="0059191D" w:rsidRDefault="0079069D" w:rsidP="009E6642">
            <w:pPr>
              <w:rPr>
                <w:i/>
              </w:rPr>
            </w:pPr>
            <w:r>
              <w:rPr>
                <w:i/>
              </w:rPr>
              <w:t>12/2007</w:t>
            </w:r>
            <w:r w:rsidR="005E763D" w:rsidRPr="0059191D">
              <w:rPr>
                <w:i/>
              </w:rPr>
              <w:t xml:space="preserve">; </w:t>
            </w:r>
            <w:r>
              <w:rPr>
                <w:i/>
              </w:rPr>
              <w:t>3/13/12</w:t>
            </w:r>
            <w:r w:rsidR="00AB5644">
              <w:rPr>
                <w:i/>
              </w:rPr>
              <w:t>/1/28/13</w:t>
            </w:r>
            <w:r w:rsidR="00DA1EA8">
              <w:rPr>
                <w:i/>
              </w:rPr>
              <w:t>;3/2014</w:t>
            </w:r>
          </w:p>
          <w:p w:rsidR="005E763D" w:rsidRPr="0059191D" w:rsidRDefault="0079069D" w:rsidP="009E6642">
            <w:r>
              <w:rPr>
                <w:i/>
              </w:rPr>
              <w:t>12/2008;12/2009;12/16/2010</w:t>
            </w:r>
          </w:p>
        </w:tc>
      </w:tr>
    </w:tbl>
    <w:p w:rsidR="002B34E5" w:rsidRPr="00FB1490" w:rsidRDefault="002B34E5">
      <w:pPr>
        <w:pStyle w:val="Header"/>
        <w:tabs>
          <w:tab w:val="clear" w:pos="4320"/>
          <w:tab w:val="clear" w:pos="8640"/>
        </w:tabs>
      </w:pPr>
    </w:p>
    <w:sectPr w:rsidR="002B34E5" w:rsidRPr="00FB1490" w:rsidSect="00A579CA">
      <w:footerReference w:type="default" r:id="rId10"/>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759" w:rsidRDefault="00283759">
      <w:r>
        <w:separator/>
      </w:r>
    </w:p>
  </w:endnote>
  <w:endnote w:type="continuationSeparator" w:id="0">
    <w:p w:rsidR="00283759" w:rsidRDefault="002837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07A" w:rsidRDefault="004E007A">
    <w:pPr>
      <w:pStyle w:val="Footer"/>
      <w:jc w:val="center"/>
      <w:rPr>
        <w:b/>
        <w:i/>
        <w:sz w:val="16"/>
      </w:rPr>
    </w:pPr>
    <w:r>
      <w:rPr>
        <w:b/>
        <w:i/>
        <w:sz w:val="16"/>
      </w:rPr>
      <w:t>Quality Management Plan</w:t>
    </w:r>
  </w:p>
  <w:p w:rsidR="004E007A" w:rsidRDefault="004E007A" w:rsidP="000F7045">
    <w:pPr>
      <w:pStyle w:val="Footer"/>
      <w:tabs>
        <w:tab w:val="left" w:pos="8550"/>
        <w:tab w:val="left" w:pos="8730"/>
      </w:tabs>
      <w:rPr>
        <w:i/>
        <w:sz w:val="20"/>
      </w:rPr>
    </w:pPr>
    <w:r>
      <w:rPr>
        <w:i/>
        <w:snapToGrid w:val="0"/>
        <w:sz w:val="16"/>
      </w:rPr>
      <w:t xml:space="preserve">Page </w:t>
    </w:r>
    <w:r w:rsidR="009803F7">
      <w:rPr>
        <w:i/>
        <w:snapToGrid w:val="0"/>
        <w:sz w:val="16"/>
      </w:rPr>
      <w:fldChar w:fldCharType="begin"/>
    </w:r>
    <w:r>
      <w:rPr>
        <w:i/>
        <w:snapToGrid w:val="0"/>
        <w:sz w:val="16"/>
      </w:rPr>
      <w:instrText xml:space="preserve"> PAGE </w:instrText>
    </w:r>
    <w:r w:rsidR="009803F7">
      <w:rPr>
        <w:i/>
        <w:snapToGrid w:val="0"/>
        <w:sz w:val="16"/>
      </w:rPr>
      <w:fldChar w:fldCharType="separate"/>
    </w:r>
    <w:r w:rsidR="00AF762B">
      <w:rPr>
        <w:i/>
        <w:noProof/>
        <w:snapToGrid w:val="0"/>
        <w:sz w:val="16"/>
      </w:rPr>
      <w:t>5</w:t>
    </w:r>
    <w:r w:rsidR="009803F7">
      <w:rPr>
        <w:i/>
        <w:snapToGrid w:val="0"/>
        <w:sz w:val="16"/>
      </w:rPr>
      <w:fldChar w:fldCharType="end"/>
    </w:r>
    <w:r>
      <w:rPr>
        <w:i/>
        <w:snapToGrid w:val="0"/>
        <w:sz w:val="16"/>
      </w:rPr>
      <w:t xml:space="preserve"> of </w:t>
    </w:r>
    <w:r w:rsidR="009803F7">
      <w:rPr>
        <w:i/>
        <w:snapToGrid w:val="0"/>
        <w:sz w:val="16"/>
      </w:rPr>
      <w:fldChar w:fldCharType="begin"/>
    </w:r>
    <w:r>
      <w:rPr>
        <w:i/>
        <w:snapToGrid w:val="0"/>
        <w:sz w:val="16"/>
      </w:rPr>
      <w:instrText xml:space="preserve"> NUMPAGES </w:instrText>
    </w:r>
    <w:r w:rsidR="009803F7">
      <w:rPr>
        <w:i/>
        <w:snapToGrid w:val="0"/>
        <w:sz w:val="16"/>
      </w:rPr>
      <w:fldChar w:fldCharType="separate"/>
    </w:r>
    <w:r w:rsidR="00AF762B">
      <w:rPr>
        <w:i/>
        <w:noProof/>
        <w:snapToGrid w:val="0"/>
        <w:sz w:val="16"/>
      </w:rPr>
      <w:t>5</w:t>
    </w:r>
    <w:r w:rsidR="009803F7">
      <w:rPr>
        <w:i/>
        <w:snapToGrid w:val="0"/>
        <w:sz w:val="16"/>
      </w:rPr>
      <w:fldChar w:fldCharType="end"/>
    </w:r>
    <w:r>
      <w:rPr>
        <w:i/>
        <w:snapToGrid w:val="0"/>
        <w:sz w:val="16"/>
      </w:rPr>
      <w:tab/>
      <w:t xml:space="preserve">                                                                                                                                    </w:t>
    </w:r>
    <w:r>
      <w:rPr>
        <w:b/>
        <w:i/>
        <w:sz w:val="16"/>
      </w:rPr>
      <w:t>LABORATORIES Northwest</w:t>
    </w:r>
    <w:r>
      <w:rPr>
        <w:i/>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759" w:rsidRDefault="00283759">
      <w:r>
        <w:separator/>
      </w:r>
    </w:p>
  </w:footnote>
  <w:footnote w:type="continuationSeparator" w:id="0">
    <w:p w:rsidR="00283759" w:rsidRDefault="002837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E66A6"/>
    <w:multiLevelType w:val="singleLevel"/>
    <w:tmpl w:val="00228A30"/>
    <w:lvl w:ilvl="0">
      <w:start w:val="1"/>
      <w:numFmt w:val="decimal"/>
      <w:lvlText w:val="%1."/>
      <w:lvlJc w:val="left"/>
      <w:pPr>
        <w:tabs>
          <w:tab w:val="num" w:pos="360"/>
        </w:tabs>
        <w:ind w:left="360" w:hanging="360"/>
      </w:pPr>
    </w:lvl>
  </w:abstractNum>
  <w:abstractNum w:abstractNumId="1">
    <w:nsid w:val="12980797"/>
    <w:multiLevelType w:val="multilevel"/>
    <w:tmpl w:val="B5BC7930"/>
    <w:lvl w:ilvl="0">
      <w:start w:val="1"/>
      <w:numFmt w:val="upperRoman"/>
      <w:lvlText w:val="%1."/>
      <w:lvlJc w:val="center"/>
      <w:pPr>
        <w:tabs>
          <w:tab w:val="num" w:pos="432"/>
        </w:tabs>
        <w:ind w:left="0" w:firstLine="72"/>
      </w:pPr>
      <w:rPr>
        <w:rFonts w:hint="default"/>
      </w:rPr>
    </w:lvl>
    <w:lvl w:ilvl="1">
      <w:start w:val="1"/>
      <w:numFmt w:val="upperLetter"/>
      <w:lvlText w:val="%2."/>
      <w:lvlJc w:val="left"/>
      <w:pPr>
        <w:tabs>
          <w:tab w:val="num" w:pos="792"/>
        </w:tabs>
        <w:ind w:left="792" w:hanging="504"/>
      </w:pPr>
      <w:rPr>
        <w:rFonts w:hint="default"/>
      </w:rPr>
    </w:lvl>
    <w:lvl w:ilvl="2">
      <w:start w:val="1"/>
      <w:numFmt w:val="decimal"/>
      <w:lvlText w:val="%3."/>
      <w:lvlJc w:val="left"/>
      <w:pPr>
        <w:tabs>
          <w:tab w:val="num" w:pos="1080"/>
        </w:tabs>
        <w:ind w:left="1080" w:hanging="360"/>
      </w:pPr>
      <w:rPr>
        <w:rFonts w:ascii="Verdana" w:hAnsi="Verdana" w:hint="default"/>
      </w:rPr>
    </w:lvl>
    <w:lvl w:ilvl="3">
      <w:start w:val="1"/>
      <w:numFmt w:val="lowerLetter"/>
      <w:lvlText w:val="%4."/>
      <w:lvlJc w:val="left"/>
      <w:pPr>
        <w:tabs>
          <w:tab w:val="num" w:pos="1440"/>
        </w:tabs>
        <w:ind w:left="1440" w:hanging="360"/>
      </w:pPr>
      <w:rPr>
        <w:rFonts w:ascii="Verdana" w:hAnsi="Verdana" w:hint="default"/>
        <w:b w:val="0"/>
        <w:i w:val="0"/>
        <w:sz w:val="24"/>
        <w:szCs w:val="24"/>
      </w:rPr>
    </w:lvl>
    <w:lvl w:ilvl="4">
      <w:start w:val="1"/>
      <w:numFmt w:val="decimal"/>
      <w:lvlText w:val="%5.)"/>
      <w:lvlJc w:val="left"/>
      <w:pPr>
        <w:tabs>
          <w:tab w:val="num" w:pos="1800"/>
        </w:tabs>
        <w:ind w:left="1800" w:hanging="360"/>
      </w:pPr>
      <w:rPr>
        <w:rFonts w:ascii="Verdana" w:hAnsi="Verdana" w:hint="default"/>
        <w:b w:val="0"/>
        <w:i w:val="0"/>
        <w:sz w:val="20"/>
        <w:szCs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nsid w:val="13321CA0"/>
    <w:multiLevelType w:val="singleLevel"/>
    <w:tmpl w:val="0409000F"/>
    <w:lvl w:ilvl="0">
      <w:start w:val="1"/>
      <w:numFmt w:val="decimal"/>
      <w:lvlText w:val="%1."/>
      <w:lvlJc w:val="left"/>
      <w:pPr>
        <w:tabs>
          <w:tab w:val="num" w:pos="360"/>
        </w:tabs>
        <w:ind w:left="360" w:hanging="360"/>
      </w:pPr>
    </w:lvl>
  </w:abstractNum>
  <w:abstractNum w:abstractNumId="3">
    <w:nsid w:val="143A3C01"/>
    <w:multiLevelType w:val="singleLevel"/>
    <w:tmpl w:val="0409000F"/>
    <w:lvl w:ilvl="0">
      <w:start w:val="1"/>
      <w:numFmt w:val="decimal"/>
      <w:lvlText w:val="%1."/>
      <w:lvlJc w:val="left"/>
      <w:pPr>
        <w:tabs>
          <w:tab w:val="num" w:pos="360"/>
        </w:tabs>
        <w:ind w:left="360" w:hanging="360"/>
      </w:pPr>
    </w:lvl>
  </w:abstractNum>
  <w:abstractNum w:abstractNumId="4">
    <w:nsid w:val="15B913A8"/>
    <w:multiLevelType w:val="multilevel"/>
    <w:tmpl w:val="91F4B85E"/>
    <w:lvl w:ilvl="0">
      <w:start w:val="1"/>
      <w:numFmt w:val="upperRoman"/>
      <w:lvlText w:val="%1."/>
      <w:lvlJc w:val="left"/>
      <w:pPr>
        <w:tabs>
          <w:tab w:val="num" w:pos="360"/>
        </w:tabs>
        <w:ind w:left="360" w:hanging="360"/>
      </w:pPr>
      <w:rPr>
        <w:rFonts w:ascii="Verdana" w:hAnsi="Verdana" w:hint="default"/>
        <w:b/>
        <w:i w:val="0"/>
        <w:strike w:val="0"/>
        <w:dstrike w:val="0"/>
        <w:sz w:val="24"/>
        <w:szCs w:val="24"/>
      </w:rPr>
    </w:lvl>
    <w:lvl w:ilvl="1">
      <w:start w:val="1"/>
      <w:numFmt w:val="upperLetter"/>
      <w:lvlText w:val="%2."/>
      <w:lvlJc w:val="left"/>
      <w:pPr>
        <w:tabs>
          <w:tab w:val="num" w:pos="720"/>
        </w:tabs>
        <w:ind w:left="720" w:hanging="360"/>
      </w:pPr>
      <w:rPr>
        <w:rFonts w:ascii="Verdana" w:hAnsi="Verdana" w:hint="default"/>
        <w:b w:val="0"/>
        <w:i w:val="0"/>
        <w:strike w:val="0"/>
        <w:dstrike w:val="0"/>
        <w:sz w:val="24"/>
        <w:szCs w:val="24"/>
      </w:rPr>
    </w:lvl>
    <w:lvl w:ilvl="2">
      <w:start w:val="1"/>
      <w:numFmt w:val="decimal"/>
      <w:lvlText w:val="%3."/>
      <w:lvlJc w:val="left"/>
      <w:pPr>
        <w:tabs>
          <w:tab w:val="num" w:pos="1080"/>
        </w:tabs>
        <w:ind w:left="1080" w:hanging="360"/>
      </w:pPr>
      <w:rPr>
        <w:rFonts w:ascii="Verdana" w:hAnsi="Verdana" w:hint="default"/>
        <w:b w:val="0"/>
        <w:i w:val="0"/>
        <w:strike w:val="0"/>
        <w:dstrike w:val="0"/>
        <w:sz w:val="24"/>
        <w:szCs w:val="24"/>
      </w:rPr>
    </w:lvl>
    <w:lvl w:ilvl="3">
      <w:start w:val="1"/>
      <w:numFmt w:val="lowerLetter"/>
      <w:lvlText w:val="%4."/>
      <w:lvlJc w:val="left"/>
      <w:pPr>
        <w:tabs>
          <w:tab w:val="num" w:pos="1440"/>
        </w:tabs>
        <w:ind w:left="1440" w:hanging="360"/>
      </w:pPr>
      <w:rPr>
        <w:rFonts w:ascii="Verdana" w:hAnsi="Verdana" w:hint="default"/>
        <w:b w:val="0"/>
        <w:i w:val="0"/>
        <w:sz w:val="24"/>
        <w:szCs w:val="24"/>
      </w:rPr>
    </w:lvl>
    <w:lvl w:ilvl="4">
      <w:start w:val="1"/>
      <w:numFmt w:val="decimal"/>
      <w:lvlText w:val="%5.)"/>
      <w:lvlJc w:val="left"/>
      <w:pPr>
        <w:tabs>
          <w:tab w:val="num" w:pos="1800"/>
        </w:tabs>
        <w:ind w:left="1800" w:hanging="360"/>
      </w:pPr>
      <w:rPr>
        <w:rFonts w:ascii="Verdana" w:hAnsi="Verdana" w:hint="default"/>
        <w:b w:val="0"/>
        <w:i w:val="0"/>
        <w:sz w:val="24"/>
        <w:szCs w:val="24"/>
      </w:rPr>
    </w:lvl>
    <w:lvl w:ilvl="5">
      <w:start w:val="1"/>
      <w:numFmt w:val="lowerLetter"/>
      <w:lvlText w:val="%6.)"/>
      <w:lvlJc w:val="left"/>
      <w:pPr>
        <w:tabs>
          <w:tab w:val="num" w:pos="2160"/>
        </w:tabs>
        <w:ind w:left="2160" w:hanging="360"/>
      </w:pPr>
      <w:rPr>
        <w:rFonts w:ascii="Verdana" w:hAnsi="Verdana" w:hint="default"/>
        <w:b w:val="0"/>
        <w:i w:val="0"/>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B3F0253"/>
    <w:multiLevelType w:val="multilevel"/>
    <w:tmpl w:val="3B16302A"/>
    <w:lvl w:ilvl="0">
      <w:start w:val="1"/>
      <w:numFmt w:val="upperRoman"/>
      <w:lvlText w:val="%1."/>
      <w:lvlJc w:val="center"/>
      <w:pPr>
        <w:tabs>
          <w:tab w:val="num" w:pos="432"/>
        </w:tabs>
        <w:ind w:left="0" w:firstLine="72"/>
      </w:pPr>
    </w:lvl>
    <w:lvl w:ilvl="1">
      <w:start w:val="1"/>
      <w:numFmt w:val="upperLetter"/>
      <w:lvlText w:val="%2."/>
      <w:lvlJc w:val="left"/>
      <w:pPr>
        <w:tabs>
          <w:tab w:val="num" w:pos="792"/>
        </w:tabs>
        <w:ind w:left="792" w:hanging="504"/>
      </w:pPr>
      <w:rPr>
        <w:rFonts w:hint="default"/>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nsid w:val="22BA75A7"/>
    <w:multiLevelType w:val="singleLevel"/>
    <w:tmpl w:val="2E1C6A8C"/>
    <w:lvl w:ilvl="0">
      <w:start w:val="10"/>
      <w:numFmt w:val="bullet"/>
      <w:lvlText w:val="☺"/>
      <w:lvlJc w:val="left"/>
      <w:pPr>
        <w:tabs>
          <w:tab w:val="num" w:pos="720"/>
        </w:tabs>
        <w:ind w:left="216" w:hanging="216"/>
      </w:pPr>
      <w:rPr>
        <w:rFonts w:ascii="Times New Roman" w:hAnsi="Times New Roman" w:hint="default"/>
        <w:sz w:val="40"/>
      </w:rPr>
    </w:lvl>
  </w:abstractNum>
  <w:abstractNum w:abstractNumId="7">
    <w:nsid w:val="238609B4"/>
    <w:multiLevelType w:val="multilevel"/>
    <w:tmpl w:val="FB2EA968"/>
    <w:lvl w:ilvl="0">
      <w:start w:val="1"/>
      <w:numFmt w:val="upperRoman"/>
      <w:pStyle w:val="Heading1"/>
      <w:lvlText w:val="%1."/>
      <w:lvlJc w:val="center"/>
      <w:pPr>
        <w:tabs>
          <w:tab w:val="num" w:pos="630"/>
        </w:tabs>
        <w:ind w:left="198" w:firstLine="72"/>
      </w:pPr>
      <w:rPr>
        <w:rFonts w:ascii="Verdana" w:hAnsi="Verdana" w:hint="default"/>
      </w:rPr>
    </w:lvl>
    <w:lvl w:ilvl="1">
      <w:start w:val="1"/>
      <w:numFmt w:val="upperLetter"/>
      <w:pStyle w:val="Heading2"/>
      <w:lvlText w:val="%2."/>
      <w:lvlJc w:val="left"/>
      <w:pPr>
        <w:tabs>
          <w:tab w:val="num" w:pos="990"/>
        </w:tabs>
        <w:ind w:left="990" w:hanging="504"/>
      </w:pPr>
      <w:rPr>
        <w:rFonts w:hint="default"/>
      </w:rPr>
    </w:lvl>
    <w:lvl w:ilvl="2">
      <w:start w:val="1"/>
      <w:numFmt w:val="decimal"/>
      <w:lvlText w:val="%3."/>
      <w:lvlJc w:val="left"/>
      <w:pPr>
        <w:tabs>
          <w:tab w:val="num" w:pos="1278"/>
        </w:tabs>
        <w:ind w:left="1278" w:hanging="360"/>
      </w:pPr>
      <w:rPr>
        <w:rFonts w:ascii="Verdana" w:hAnsi="Verdana" w:hint="default"/>
      </w:rPr>
    </w:lvl>
    <w:lvl w:ilvl="3">
      <w:start w:val="1"/>
      <w:numFmt w:val="lowerLetter"/>
      <w:lvlText w:val="%4."/>
      <w:lvlJc w:val="left"/>
      <w:pPr>
        <w:tabs>
          <w:tab w:val="num" w:pos="1638"/>
        </w:tabs>
        <w:ind w:left="1638" w:hanging="360"/>
      </w:pPr>
      <w:rPr>
        <w:rFonts w:ascii="Verdana" w:hAnsi="Verdana" w:hint="default"/>
        <w:b w:val="0"/>
        <w:i w:val="0"/>
        <w:sz w:val="24"/>
        <w:szCs w:val="24"/>
      </w:rPr>
    </w:lvl>
    <w:lvl w:ilvl="4">
      <w:start w:val="1"/>
      <w:numFmt w:val="decimal"/>
      <w:lvlText w:val="%5.)"/>
      <w:lvlJc w:val="left"/>
      <w:pPr>
        <w:tabs>
          <w:tab w:val="num" w:pos="1998"/>
        </w:tabs>
        <w:ind w:left="1998" w:hanging="360"/>
      </w:pPr>
      <w:rPr>
        <w:rFonts w:ascii="Verdana" w:hAnsi="Verdana" w:hint="default"/>
        <w:b w:val="0"/>
        <w:i w:val="0"/>
        <w:sz w:val="24"/>
        <w:szCs w:val="24"/>
      </w:rPr>
    </w:lvl>
    <w:lvl w:ilvl="5">
      <w:start w:val="1"/>
      <w:numFmt w:val="lowerLetter"/>
      <w:lvlText w:val="%6.)"/>
      <w:lvlJc w:val="left"/>
      <w:pPr>
        <w:tabs>
          <w:tab w:val="num" w:pos="2358"/>
        </w:tabs>
        <w:ind w:left="2358" w:hanging="360"/>
      </w:pPr>
      <w:rPr>
        <w:rFonts w:ascii="Verdana" w:hAnsi="Verdana" w:hint="default"/>
        <w:b w:val="0"/>
        <w:i w:val="0"/>
        <w:sz w:val="24"/>
        <w:szCs w:val="24"/>
      </w:rPr>
    </w:lvl>
    <w:lvl w:ilvl="6">
      <w:start w:val="1"/>
      <w:numFmt w:val="decimal"/>
      <w:lvlText w:val="(%7.)"/>
      <w:lvlJc w:val="left"/>
      <w:pPr>
        <w:tabs>
          <w:tab w:val="num" w:pos="2718"/>
        </w:tabs>
        <w:ind w:left="2718" w:hanging="360"/>
      </w:pPr>
      <w:rPr>
        <w:rFonts w:ascii="Verdana" w:hAnsi="Verdana" w:hint="default"/>
        <w:b w:val="0"/>
        <w:i w:val="0"/>
        <w:sz w:val="24"/>
        <w:szCs w:val="24"/>
      </w:rPr>
    </w:lvl>
    <w:lvl w:ilvl="7">
      <w:start w:val="1"/>
      <w:numFmt w:val="lowerLetter"/>
      <w:lvlText w:val="(%8.)"/>
      <w:lvlJc w:val="left"/>
      <w:pPr>
        <w:tabs>
          <w:tab w:val="num" w:pos="3078"/>
        </w:tabs>
        <w:ind w:left="3078" w:hanging="360"/>
      </w:pPr>
      <w:rPr>
        <w:rFonts w:ascii="Verdana" w:hAnsi="Verdana" w:hint="default"/>
        <w:b w:val="0"/>
        <w:i w:val="0"/>
        <w:sz w:val="24"/>
        <w:szCs w:val="24"/>
      </w:rPr>
    </w:lvl>
    <w:lvl w:ilvl="8">
      <w:start w:val="1"/>
      <w:numFmt w:val="lowerRoman"/>
      <w:lvlText w:val="%9."/>
      <w:lvlJc w:val="left"/>
      <w:pPr>
        <w:tabs>
          <w:tab w:val="num" w:pos="3798"/>
        </w:tabs>
        <w:ind w:left="3438" w:hanging="360"/>
      </w:pPr>
      <w:rPr>
        <w:rFonts w:hint="default"/>
      </w:rPr>
    </w:lvl>
  </w:abstractNum>
  <w:abstractNum w:abstractNumId="8">
    <w:nsid w:val="27035A1A"/>
    <w:multiLevelType w:val="singleLevel"/>
    <w:tmpl w:val="0409000F"/>
    <w:lvl w:ilvl="0">
      <w:start w:val="1"/>
      <w:numFmt w:val="decimal"/>
      <w:lvlText w:val="%1."/>
      <w:lvlJc w:val="left"/>
      <w:pPr>
        <w:tabs>
          <w:tab w:val="num" w:pos="360"/>
        </w:tabs>
        <w:ind w:left="360" w:hanging="360"/>
      </w:pPr>
    </w:lvl>
  </w:abstractNum>
  <w:abstractNum w:abstractNumId="9">
    <w:nsid w:val="2E6641E2"/>
    <w:multiLevelType w:val="multilevel"/>
    <w:tmpl w:val="7DE07FD6"/>
    <w:lvl w:ilvl="0">
      <w:start w:val="1"/>
      <w:numFmt w:val="upperRoman"/>
      <w:lvlText w:val="%1."/>
      <w:lvlJc w:val="center"/>
      <w:pPr>
        <w:tabs>
          <w:tab w:val="num" w:pos="432"/>
        </w:tabs>
        <w:ind w:left="0" w:firstLine="72"/>
      </w:pPr>
    </w:lvl>
    <w:lvl w:ilvl="1">
      <w:start w:val="1"/>
      <w:numFmt w:val="upperLetter"/>
      <w:lvlText w:val="%2."/>
      <w:lvlJc w:val="left"/>
      <w:pPr>
        <w:tabs>
          <w:tab w:val="num" w:pos="792"/>
        </w:tabs>
        <w:ind w:left="792" w:hanging="504"/>
      </w:pPr>
      <w:rPr>
        <w:rFonts w:hint="default"/>
      </w:rPr>
    </w:lvl>
    <w:lvl w:ilvl="2">
      <w:start w:val="1"/>
      <w:numFmt w:val="decimal"/>
      <w:lvlText w:val="%3."/>
      <w:lvlJc w:val="left"/>
      <w:pPr>
        <w:tabs>
          <w:tab w:val="num" w:pos="1080"/>
        </w:tabs>
        <w:ind w:left="1080" w:hanging="360"/>
      </w:pPr>
      <w:rPr>
        <w:rFonts w:ascii="Verdana" w:hAnsi="Verdana" w:hint="default"/>
      </w:r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nsid w:val="314F70F8"/>
    <w:multiLevelType w:val="singleLevel"/>
    <w:tmpl w:val="0409000F"/>
    <w:lvl w:ilvl="0">
      <w:start w:val="1"/>
      <w:numFmt w:val="decimal"/>
      <w:lvlText w:val="%1."/>
      <w:lvlJc w:val="left"/>
      <w:pPr>
        <w:tabs>
          <w:tab w:val="num" w:pos="360"/>
        </w:tabs>
        <w:ind w:left="360" w:hanging="360"/>
      </w:pPr>
    </w:lvl>
  </w:abstractNum>
  <w:abstractNum w:abstractNumId="11">
    <w:nsid w:val="385F5A27"/>
    <w:multiLevelType w:val="multilevel"/>
    <w:tmpl w:val="54E2BE46"/>
    <w:lvl w:ilvl="0">
      <w:start w:val="1"/>
      <w:numFmt w:val="upperRoman"/>
      <w:lvlText w:val="%1."/>
      <w:lvlJc w:val="left"/>
      <w:pPr>
        <w:tabs>
          <w:tab w:val="num" w:pos="792"/>
        </w:tabs>
        <w:ind w:left="792" w:hanging="792"/>
      </w:p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95A7FD0"/>
    <w:multiLevelType w:val="multilevel"/>
    <w:tmpl w:val="D9EAA8C4"/>
    <w:lvl w:ilvl="0">
      <w:start w:val="1"/>
      <w:numFmt w:val="upperRoman"/>
      <w:lvlText w:val="%1."/>
      <w:lvlJc w:val="center"/>
      <w:pPr>
        <w:tabs>
          <w:tab w:val="num" w:pos="432"/>
        </w:tabs>
        <w:ind w:left="0" w:firstLine="72"/>
      </w:p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B100CCD"/>
    <w:multiLevelType w:val="multilevel"/>
    <w:tmpl w:val="A7BA150E"/>
    <w:lvl w:ilvl="0">
      <w:start w:val="1"/>
      <w:numFmt w:val="upperRoman"/>
      <w:lvlText w:val="%1."/>
      <w:lvlJc w:val="right"/>
      <w:pPr>
        <w:tabs>
          <w:tab w:val="num" w:pos="432"/>
        </w:tabs>
        <w:ind w:left="432" w:hanging="144"/>
      </w:p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1F46D05"/>
    <w:multiLevelType w:val="multilevel"/>
    <w:tmpl w:val="7E5AD226"/>
    <w:lvl w:ilvl="0">
      <w:start w:val="1"/>
      <w:numFmt w:val="upperRoman"/>
      <w:lvlText w:val="%1."/>
      <w:lvlJc w:val="center"/>
      <w:pPr>
        <w:tabs>
          <w:tab w:val="num" w:pos="432"/>
        </w:tabs>
        <w:ind w:left="0" w:firstLine="72"/>
      </w:p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5">
    <w:nsid w:val="43414BC2"/>
    <w:multiLevelType w:val="multilevel"/>
    <w:tmpl w:val="18748A12"/>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nsid w:val="51520575"/>
    <w:multiLevelType w:val="multilevel"/>
    <w:tmpl w:val="21C4D32E"/>
    <w:lvl w:ilvl="0">
      <w:start w:val="1"/>
      <w:numFmt w:val="upperRoman"/>
      <w:lvlText w:val="%1."/>
      <w:lvlJc w:val="center"/>
      <w:pPr>
        <w:tabs>
          <w:tab w:val="num" w:pos="432"/>
        </w:tabs>
        <w:ind w:left="0" w:firstLine="72"/>
      </w:pPr>
      <w:rPr>
        <w:rFonts w:hint="default"/>
      </w:rPr>
    </w:lvl>
    <w:lvl w:ilvl="1">
      <w:start w:val="1"/>
      <w:numFmt w:val="upperLetter"/>
      <w:lvlText w:val="%2."/>
      <w:lvlJc w:val="left"/>
      <w:pPr>
        <w:tabs>
          <w:tab w:val="num" w:pos="792"/>
        </w:tabs>
        <w:ind w:left="792" w:hanging="504"/>
      </w:pPr>
      <w:rPr>
        <w:rFonts w:hint="default"/>
      </w:rPr>
    </w:lvl>
    <w:lvl w:ilvl="2">
      <w:start w:val="1"/>
      <w:numFmt w:val="decimal"/>
      <w:lvlText w:val="%3."/>
      <w:lvlJc w:val="left"/>
      <w:pPr>
        <w:tabs>
          <w:tab w:val="num" w:pos="1080"/>
        </w:tabs>
        <w:ind w:left="1080" w:hanging="360"/>
      </w:pPr>
      <w:rPr>
        <w:rFonts w:ascii="Verdana" w:hAnsi="Verdana" w:hint="default"/>
      </w:rPr>
    </w:lvl>
    <w:lvl w:ilvl="3">
      <w:start w:val="1"/>
      <w:numFmt w:val="lowerLetter"/>
      <w:lvlText w:val="%4."/>
      <w:lvlJc w:val="left"/>
      <w:pPr>
        <w:tabs>
          <w:tab w:val="num" w:pos="1440"/>
        </w:tabs>
        <w:ind w:left="1440" w:hanging="360"/>
      </w:pPr>
      <w:rPr>
        <w:rFonts w:ascii="Verdana" w:hAnsi="Verdana" w:hint="default"/>
        <w:b w:val="0"/>
        <w:i w:val="0"/>
        <w:sz w:val="24"/>
        <w:szCs w:val="24"/>
      </w:rPr>
    </w:lvl>
    <w:lvl w:ilvl="4">
      <w:start w:val="1"/>
      <w:numFmt w:val="decimal"/>
      <w:lvlText w:val="%5.)"/>
      <w:lvlJc w:val="left"/>
      <w:pPr>
        <w:tabs>
          <w:tab w:val="num" w:pos="1800"/>
        </w:tabs>
        <w:ind w:left="1800" w:hanging="360"/>
      </w:pPr>
      <w:rPr>
        <w:rFonts w:ascii="Verdana" w:hAnsi="Verdana" w:hint="default"/>
        <w:b w:val="0"/>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nsid w:val="5414565C"/>
    <w:multiLevelType w:val="multilevel"/>
    <w:tmpl w:val="924A998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nsid w:val="58B56090"/>
    <w:multiLevelType w:val="hybridMultilevel"/>
    <w:tmpl w:val="5ECC13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A4438AC"/>
    <w:multiLevelType w:val="hybridMultilevel"/>
    <w:tmpl w:val="C4487E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BBB6AF9"/>
    <w:multiLevelType w:val="multilevel"/>
    <w:tmpl w:val="824AF44A"/>
    <w:lvl w:ilvl="0">
      <w:start w:val="1"/>
      <w:numFmt w:val="upperRoman"/>
      <w:lvlText w:val="%1."/>
      <w:lvlJc w:val="center"/>
      <w:pPr>
        <w:tabs>
          <w:tab w:val="num" w:pos="432"/>
        </w:tabs>
        <w:ind w:left="0" w:firstLine="72"/>
      </w:pPr>
      <w:rPr>
        <w:rFonts w:hint="default"/>
      </w:rPr>
    </w:lvl>
    <w:lvl w:ilvl="1">
      <w:start w:val="1"/>
      <w:numFmt w:val="upperLetter"/>
      <w:lvlText w:val="%2."/>
      <w:lvlJc w:val="left"/>
      <w:pPr>
        <w:tabs>
          <w:tab w:val="num" w:pos="792"/>
        </w:tabs>
        <w:ind w:left="792" w:hanging="504"/>
      </w:pPr>
      <w:rPr>
        <w:rFonts w:hint="default"/>
      </w:rPr>
    </w:lvl>
    <w:lvl w:ilvl="2">
      <w:start w:val="1"/>
      <w:numFmt w:val="decimal"/>
      <w:lvlText w:val="%3."/>
      <w:lvlJc w:val="left"/>
      <w:pPr>
        <w:tabs>
          <w:tab w:val="num" w:pos="1080"/>
        </w:tabs>
        <w:ind w:left="1080" w:hanging="360"/>
      </w:pPr>
      <w:rPr>
        <w:rFonts w:ascii="Verdana" w:hAnsi="Verdana" w:hint="default"/>
      </w:rPr>
    </w:lvl>
    <w:lvl w:ilvl="3">
      <w:start w:val="1"/>
      <w:numFmt w:val="lowerLetter"/>
      <w:lvlText w:val="%4."/>
      <w:lvlJc w:val="left"/>
      <w:pPr>
        <w:tabs>
          <w:tab w:val="num" w:pos="1440"/>
        </w:tabs>
        <w:ind w:left="1440" w:hanging="360"/>
      </w:pPr>
      <w:rPr>
        <w:rFonts w:ascii="Verdana" w:hAnsi="Verdana" w:hint="default"/>
        <w:b w:val="0"/>
        <w:i w:val="0"/>
        <w:sz w:val="24"/>
        <w:szCs w:val="24"/>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7D637CD"/>
    <w:multiLevelType w:val="singleLevel"/>
    <w:tmpl w:val="0409000F"/>
    <w:lvl w:ilvl="0">
      <w:start w:val="1"/>
      <w:numFmt w:val="decimal"/>
      <w:lvlText w:val="%1."/>
      <w:lvlJc w:val="left"/>
      <w:pPr>
        <w:tabs>
          <w:tab w:val="num" w:pos="360"/>
        </w:tabs>
        <w:ind w:left="360" w:hanging="360"/>
      </w:pPr>
    </w:lvl>
  </w:abstractNum>
  <w:abstractNum w:abstractNumId="22">
    <w:nsid w:val="688621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E5F7C2B"/>
    <w:multiLevelType w:val="multilevel"/>
    <w:tmpl w:val="513CC28E"/>
    <w:lvl w:ilvl="0">
      <w:start w:val="1"/>
      <w:numFmt w:val="upperRoman"/>
      <w:lvlText w:val="%1."/>
      <w:lvlJc w:val="left"/>
      <w:pPr>
        <w:tabs>
          <w:tab w:val="num" w:pos="792"/>
        </w:tabs>
        <w:ind w:left="792" w:hanging="792"/>
      </w:p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06771AF"/>
    <w:multiLevelType w:val="singleLevel"/>
    <w:tmpl w:val="00228A30"/>
    <w:lvl w:ilvl="0">
      <w:start w:val="1"/>
      <w:numFmt w:val="decimal"/>
      <w:lvlText w:val="%1."/>
      <w:lvlJc w:val="left"/>
      <w:pPr>
        <w:tabs>
          <w:tab w:val="num" w:pos="360"/>
        </w:tabs>
        <w:ind w:left="360" w:hanging="360"/>
      </w:pPr>
    </w:lvl>
  </w:abstractNum>
  <w:abstractNum w:abstractNumId="25">
    <w:nsid w:val="70BA59D4"/>
    <w:multiLevelType w:val="multilevel"/>
    <w:tmpl w:val="5ECC139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nsid w:val="74D01339"/>
    <w:multiLevelType w:val="multilevel"/>
    <w:tmpl w:val="5BD8D68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6C81EA8"/>
    <w:multiLevelType w:val="hybridMultilevel"/>
    <w:tmpl w:val="924A998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76F42D5B"/>
    <w:multiLevelType w:val="multilevel"/>
    <w:tmpl w:val="18748A12"/>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9">
    <w:nsid w:val="7909184B"/>
    <w:multiLevelType w:val="singleLevel"/>
    <w:tmpl w:val="0409000F"/>
    <w:lvl w:ilvl="0">
      <w:start w:val="1"/>
      <w:numFmt w:val="decimal"/>
      <w:lvlText w:val="%1."/>
      <w:lvlJc w:val="left"/>
      <w:pPr>
        <w:tabs>
          <w:tab w:val="num" w:pos="360"/>
        </w:tabs>
        <w:ind w:left="360" w:hanging="360"/>
      </w:pPr>
    </w:lvl>
  </w:abstractNum>
  <w:abstractNum w:abstractNumId="30">
    <w:nsid w:val="7E5B3ECD"/>
    <w:multiLevelType w:val="singleLevel"/>
    <w:tmpl w:val="0409000F"/>
    <w:lvl w:ilvl="0">
      <w:start w:val="1"/>
      <w:numFmt w:val="decimal"/>
      <w:lvlText w:val="%1."/>
      <w:lvlJc w:val="left"/>
      <w:pPr>
        <w:tabs>
          <w:tab w:val="num" w:pos="360"/>
        </w:tabs>
        <w:ind w:left="360" w:hanging="360"/>
      </w:pPr>
    </w:lvl>
  </w:abstractNum>
  <w:num w:numId="1">
    <w:abstractNumId w:val="11"/>
  </w:num>
  <w:num w:numId="2">
    <w:abstractNumId w:val="26"/>
  </w:num>
  <w:num w:numId="3">
    <w:abstractNumId w:val="8"/>
  </w:num>
  <w:num w:numId="4">
    <w:abstractNumId w:val="13"/>
  </w:num>
  <w:num w:numId="5">
    <w:abstractNumId w:val="13"/>
  </w:num>
  <w:num w:numId="6">
    <w:abstractNumId w:val="6"/>
  </w:num>
  <w:num w:numId="7">
    <w:abstractNumId w:val="22"/>
  </w:num>
  <w:num w:numId="8">
    <w:abstractNumId w:val="23"/>
  </w:num>
  <w:num w:numId="9">
    <w:abstractNumId w:val="24"/>
  </w:num>
  <w:num w:numId="10">
    <w:abstractNumId w:val="0"/>
  </w:num>
  <w:num w:numId="11">
    <w:abstractNumId w:val="23"/>
  </w:num>
  <w:num w:numId="12">
    <w:abstractNumId w:val="14"/>
  </w:num>
  <w:num w:numId="13">
    <w:abstractNumId w:val="21"/>
  </w:num>
  <w:num w:numId="14">
    <w:abstractNumId w:val="30"/>
  </w:num>
  <w:num w:numId="15">
    <w:abstractNumId w:val="29"/>
  </w:num>
  <w:num w:numId="16">
    <w:abstractNumId w:val="2"/>
  </w:num>
  <w:num w:numId="17">
    <w:abstractNumId w:val="5"/>
  </w:num>
  <w:num w:numId="18">
    <w:abstractNumId w:val="3"/>
  </w:num>
  <w:num w:numId="19">
    <w:abstractNumId w:val="10"/>
  </w:num>
  <w:num w:numId="20">
    <w:abstractNumId w:val="12"/>
  </w:num>
  <w:num w:numId="21">
    <w:abstractNumId w:val="7"/>
  </w:num>
  <w:num w:numId="22">
    <w:abstractNumId w:val="7"/>
  </w:num>
  <w:num w:numId="23">
    <w:abstractNumId w:val="7"/>
  </w:num>
  <w:num w:numId="24">
    <w:abstractNumId w:val="7"/>
  </w:num>
  <w:num w:numId="25">
    <w:abstractNumId w:val="7"/>
  </w:num>
  <w:num w:numId="26">
    <w:abstractNumId w:val="4"/>
  </w:num>
  <w:num w:numId="27">
    <w:abstractNumId w:val="7"/>
  </w:num>
  <w:num w:numId="28">
    <w:abstractNumId w:val="27"/>
  </w:num>
  <w:num w:numId="29">
    <w:abstractNumId w:val="17"/>
  </w:num>
  <w:num w:numId="30">
    <w:abstractNumId w:val="18"/>
  </w:num>
  <w:num w:numId="31">
    <w:abstractNumId w:val="25"/>
  </w:num>
  <w:num w:numId="32">
    <w:abstractNumId w:val="19"/>
  </w:num>
  <w:num w:numId="33">
    <w:abstractNumId w:val="9"/>
  </w:num>
  <w:num w:numId="34">
    <w:abstractNumId w:val="7"/>
  </w:num>
  <w:num w:numId="35">
    <w:abstractNumId w:val="20"/>
  </w:num>
  <w:num w:numId="36">
    <w:abstractNumId w:val="1"/>
  </w:num>
  <w:num w:numId="37">
    <w:abstractNumId w:val="16"/>
  </w:num>
  <w:num w:numId="38">
    <w:abstractNumId w:val="7"/>
  </w:num>
  <w:num w:numId="39">
    <w:abstractNumId w:val="7"/>
  </w:num>
  <w:num w:numId="40">
    <w:abstractNumId w:val="7"/>
  </w:num>
  <w:num w:numId="41">
    <w:abstractNumId w:val="7"/>
  </w:num>
  <w:num w:numId="42">
    <w:abstractNumId w:val="15"/>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06BA1"/>
    <w:rsid w:val="00003E4D"/>
    <w:rsid w:val="00056228"/>
    <w:rsid w:val="000A1431"/>
    <w:rsid w:val="000A24E6"/>
    <w:rsid w:val="000C7D30"/>
    <w:rsid w:val="000D63E9"/>
    <w:rsid w:val="000F7045"/>
    <w:rsid w:val="001162D7"/>
    <w:rsid w:val="001313CE"/>
    <w:rsid w:val="0013384D"/>
    <w:rsid w:val="001A79E7"/>
    <w:rsid w:val="001B5E38"/>
    <w:rsid w:val="001C41CE"/>
    <w:rsid w:val="001D628A"/>
    <w:rsid w:val="001E6680"/>
    <w:rsid w:val="00243726"/>
    <w:rsid w:val="002651AF"/>
    <w:rsid w:val="002744D7"/>
    <w:rsid w:val="00283759"/>
    <w:rsid w:val="002B34E5"/>
    <w:rsid w:val="002B6FBE"/>
    <w:rsid w:val="0031058A"/>
    <w:rsid w:val="00313E5B"/>
    <w:rsid w:val="0034177F"/>
    <w:rsid w:val="003423CB"/>
    <w:rsid w:val="003925AD"/>
    <w:rsid w:val="003C58BF"/>
    <w:rsid w:val="003C5EB8"/>
    <w:rsid w:val="00415B54"/>
    <w:rsid w:val="00422519"/>
    <w:rsid w:val="00437120"/>
    <w:rsid w:val="00454F59"/>
    <w:rsid w:val="004E007A"/>
    <w:rsid w:val="005050D8"/>
    <w:rsid w:val="00533034"/>
    <w:rsid w:val="005364AB"/>
    <w:rsid w:val="0055165E"/>
    <w:rsid w:val="005554AE"/>
    <w:rsid w:val="00590BD4"/>
    <w:rsid w:val="0059191D"/>
    <w:rsid w:val="005A07E7"/>
    <w:rsid w:val="005E763D"/>
    <w:rsid w:val="00624FFC"/>
    <w:rsid w:val="00673126"/>
    <w:rsid w:val="00691109"/>
    <w:rsid w:val="006C7D07"/>
    <w:rsid w:val="006F4E4D"/>
    <w:rsid w:val="00734971"/>
    <w:rsid w:val="00756E43"/>
    <w:rsid w:val="007633E9"/>
    <w:rsid w:val="00767638"/>
    <w:rsid w:val="00774D13"/>
    <w:rsid w:val="0079069D"/>
    <w:rsid w:val="007A7A90"/>
    <w:rsid w:val="007F2416"/>
    <w:rsid w:val="007F2AB9"/>
    <w:rsid w:val="007F77D0"/>
    <w:rsid w:val="00806BA1"/>
    <w:rsid w:val="00832267"/>
    <w:rsid w:val="0085083C"/>
    <w:rsid w:val="008631A5"/>
    <w:rsid w:val="00880CA0"/>
    <w:rsid w:val="008C727B"/>
    <w:rsid w:val="00904DB0"/>
    <w:rsid w:val="00906312"/>
    <w:rsid w:val="009330F0"/>
    <w:rsid w:val="00953362"/>
    <w:rsid w:val="009803F7"/>
    <w:rsid w:val="00981020"/>
    <w:rsid w:val="009A2049"/>
    <w:rsid w:val="009A635A"/>
    <w:rsid w:val="009B6801"/>
    <w:rsid w:val="009B77DB"/>
    <w:rsid w:val="009C0E31"/>
    <w:rsid w:val="009D5E0E"/>
    <w:rsid w:val="009E6642"/>
    <w:rsid w:val="009F1675"/>
    <w:rsid w:val="00A32483"/>
    <w:rsid w:val="00A41AB2"/>
    <w:rsid w:val="00A454AA"/>
    <w:rsid w:val="00A56FF7"/>
    <w:rsid w:val="00A579CA"/>
    <w:rsid w:val="00A94A2B"/>
    <w:rsid w:val="00AA22E2"/>
    <w:rsid w:val="00AB5644"/>
    <w:rsid w:val="00AB6757"/>
    <w:rsid w:val="00AF762B"/>
    <w:rsid w:val="00B03BE2"/>
    <w:rsid w:val="00BA40F7"/>
    <w:rsid w:val="00BC1812"/>
    <w:rsid w:val="00BF3BAE"/>
    <w:rsid w:val="00C42677"/>
    <w:rsid w:val="00C429F2"/>
    <w:rsid w:val="00C67F76"/>
    <w:rsid w:val="00CA0D32"/>
    <w:rsid w:val="00CA5A9F"/>
    <w:rsid w:val="00CF6FDF"/>
    <w:rsid w:val="00D25926"/>
    <w:rsid w:val="00D31B92"/>
    <w:rsid w:val="00D37C4A"/>
    <w:rsid w:val="00D60099"/>
    <w:rsid w:val="00D652A3"/>
    <w:rsid w:val="00D80F30"/>
    <w:rsid w:val="00D94D2B"/>
    <w:rsid w:val="00DA1EA8"/>
    <w:rsid w:val="00DA6728"/>
    <w:rsid w:val="00DB3E83"/>
    <w:rsid w:val="00E02B31"/>
    <w:rsid w:val="00E05A3D"/>
    <w:rsid w:val="00E15801"/>
    <w:rsid w:val="00E22198"/>
    <w:rsid w:val="00E41A6C"/>
    <w:rsid w:val="00E51F5A"/>
    <w:rsid w:val="00E660E4"/>
    <w:rsid w:val="00EB1EC8"/>
    <w:rsid w:val="00ED554F"/>
    <w:rsid w:val="00F26035"/>
    <w:rsid w:val="00F26531"/>
    <w:rsid w:val="00F27275"/>
    <w:rsid w:val="00FB1490"/>
    <w:rsid w:val="00FB27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79CA"/>
    <w:rPr>
      <w:rFonts w:ascii="Verdana" w:hAnsi="Verdana"/>
      <w:sz w:val="24"/>
      <w:szCs w:val="24"/>
    </w:rPr>
  </w:style>
  <w:style w:type="paragraph" w:styleId="Heading1">
    <w:name w:val="heading 1"/>
    <w:basedOn w:val="Normal"/>
    <w:next w:val="Normal"/>
    <w:qFormat/>
    <w:rsid w:val="00A579CA"/>
    <w:pPr>
      <w:keepNext/>
      <w:numPr>
        <w:numId w:val="21"/>
      </w:numPr>
      <w:spacing w:before="240" w:after="60"/>
      <w:outlineLvl w:val="0"/>
    </w:pPr>
    <w:rPr>
      <w:b/>
      <w:kern w:val="28"/>
    </w:rPr>
  </w:style>
  <w:style w:type="paragraph" w:styleId="Heading2">
    <w:name w:val="heading 2"/>
    <w:basedOn w:val="Normal"/>
    <w:next w:val="Normal"/>
    <w:qFormat/>
    <w:rsid w:val="00A579CA"/>
    <w:pPr>
      <w:keepNext/>
      <w:numPr>
        <w:ilvl w:val="1"/>
        <w:numId w:val="21"/>
      </w:numPr>
      <w:outlineLvl w:val="1"/>
    </w:pPr>
  </w:style>
  <w:style w:type="paragraph" w:styleId="Heading4">
    <w:name w:val="heading 4"/>
    <w:basedOn w:val="Normal"/>
    <w:next w:val="Normal"/>
    <w:qFormat/>
    <w:rsid w:val="00C42677"/>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79CA"/>
    <w:pPr>
      <w:tabs>
        <w:tab w:val="center" w:pos="4320"/>
        <w:tab w:val="right" w:pos="8640"/>
      </w:tabs>
    </w:pPr>
  </w:style>
  <w:style w:type="paragraph" w:styleId="Footer">
    <w:name w:val="footer"/>
    <w:basedOn w:val="Normal"/>
    <w:rsid w:val="00A579CA"/>
    <w:pPr>
      <w:tabs>
        <w:tab w:val="center" w:pos="4320"/>
        <w:tab w:val="right" w:pos="8640"/>
      </w:tabs>
    </w:pPr>
  </w:style>
  <w:style w:type="paragraph" w:styleId="BalloonText">
    <w:name w:val="Balloon Text"/>
    <w:basedOn w:val="Normal"/>
    <w:semiHidden/>
    <w:rsid w:val="00FB1490"/>
    <w:rPr>
      <w:rFonts w:ascii="Tahoma" w:hAnsi="Tahoma" w:cs="Tahoma"/>
      <w:sz w:val="16"/>
      <w:szCs w:val="16"/>
    </w:rPr>
  </w:style>
  <w:style w:type="table" w:styleId="TableGrid">
    <w:name w:val="Table Grid"/>
    <w:basedOn w:val="TableNormal"/>
    <w:rsid w:val="00B03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msoffice\template\PCS%20P&am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D3F40-3D7F-471D-8C9D-960CE46F3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PCS P&amp;P</Template>
  <TotalTime>10</TotalTime>
  <Pages>5</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MHS P&amp;P Template</vt:lpstr>
    </vt:vector>
  </TitlesOfParts>
  <Company>MultiCare Health System</Company>
  <LinksUpToDate>false</LinksUpToDate>
  <CharactersWithSpaces>11649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MHS P&amp;P Template</dc:title>
  <dc:creator>MHS P&amp;P COMMITTEE</dc:creator>
  <cp:lastModifiedBy>testuser</cp:lastModifiedBy>
  <cp:revision>4</cp:revision>
  <cp:lastPrinted>2013-03-14T19:12:00Z</cp:lastPrinted>
  <dcterms:created xsi:type="dcterms:W3CDTF">2014-03-17T19:14:00Z</dcterms:created>
  <dcterms:modified xsi:type="dcterms:W3CDTF">2014-04-04T21:46:00Z</dcterms:modified>
</cp:coreProperties>
</file>