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1620"/>
        <w:gridCol w:w="3870"/>
        <w:gridCol w:w="18"/>
      </w:tblGrid>
      <w:tr w:rsidR="00FB1490" w:rsidRPr="00FB1490" w:rsidTr="00A41AB2">
        <w:tc>
          <w:tcPr>
            <w:tcW w:w="7128" w:type="dxa"/>
            <w:gridSpan w:val="2"/>
          </w:tcPr>
          <w:p w:rsidR="00FB1490" w:rsidRPr="0059191D" w:rsidRDefault="00676471" w:rsidP="009A2049">
            <w:pPr>
              <w:spacing w:before="120" w:after="120"/>
            </w:pPr>
            <w:r>
              <w:rPr>
                <w:noProof/>
                <w:color w:val="0000FF"/>
                <w:sz w:val="10"/>
              </w:rPr>
              <w:drawing>
                <wp:inline distT="0" distB="0" distL="0" distR="0">
                  <wp:extent cx="1200150" cy="409575"/>
                  <wp:effectExtent l="19050" t="0" r="0" b="0"/>
                  <wp:docPr id="1" name="Picture 1" descr="MultiCare_b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Care_bc_black"/>
                          <pic:cNvPicPr>
                            <a:picLocks noChangeAspect="1" noChangeArrowheads="1"/>
                          </pic:cNvPicPr>
                        </pic:nvPicPr>
                        <pic:blipFill>
                          <a:blip r:embed="rId8" cstate="print"/>
                          <a:srcRect/>
                          <a:stretch>
                            <a:fillRect/>
                          </a:stretch>
                        </pic:blipFill>
                        <pic:spPr bwMode="auto">
                          <a:xfrm>
                            <a:off x="0" y="0"/>
                            <a:ext cx="1200150" cy="409575"/>
                          </a:xfrm>
                          <a:prstGeom prst="rect">
                            <a:avLst/>
                          </a:prstGeom>
                          <a:noFill/>
                          <a:ln w="9525">
                            <a:noFill/>
                            <a:miter lim="800000"/>
                            <a:headEnd/>
                            <a:tailEnd/>
                          </a:ln>
                        </pic:spPr>
                      </pic:pic>
                    </a:graphicData>
                  </a:graphic>
                </wp:inline>
              </w:drawing>
            </w:r>
          </w:p>
        </w:tc>
        <w:tc>
          <w:tcPr>
            <w:tcW w:w="3888" w:type="dxa"/>
            <w:gridSpan w:val="2"/>
            <w:vAlign w:val="center"/>
          </w:tcPr>
          <w:p w:rsidR="00FB1490" w:rsidRPr="0059191D" w:rsidRDefault="00676471" w:rsidP="00A41AB2">
            <w:pPr>
              <w:jc w:val="center"/>
              <w:rPr>
                <w:b/>
                <w:i/>
              </w:rPr>
            </w:pPr>
            <w:r>
              <w:rPr>
                <w:b/>
                <w:i/>
                <w:noProof/>
              </w:rPr>
              <w:drawing>
                <wp:anchor distT="0" distB="0" distL="114300" distR="114300" simplePos="0" relativeHeight="251657728" behindDoc="0" locked="0" layoutInCell="1" allowOverlap="1">
                  <wp:simplePos x="0" y="0"/>
                  <wp:positionH relativeFrom="column">
                    <wp:posOffset>125095</wp:posOffset>
                  </wp:positionH>
                  <wp:positionV relativeFrom="paragraph">
                    <wp:posOffset>16510</wp:posOffset>
                  </wp:positionV>
                  <wp:extent cx="2057400" cy="516255"/>
                  <wp:effectExtent l="19050" t="0" r="0" b="0"/>
                  <wp:wrapNone/>
                  <wp:docPr id="2" name="Picture 2" descr="labNW logo jpeg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NW logo jpeg version"/>
                          <pic:cNvPicPr>
                            <a:picLocks noChangeAspect="1" noChangeArrowheads="1"/>
                          </pic:cNvPicPr>
                        </pic:nvPicPr>
                        <pic:blipFill>
                          <a:blip r:embed="rId9" cstate="print"/>
                          <a:srcRect b="14285"/>
                          <a:stretch>
                            <a:fillRect/>
                          </a:stretch>
                        </pic:blipFill>
                        <pic:spPr bwMode="auto">
                          <a:xfrm>
                            <a:off x="0" y="0"/>
                            <a:ext cx="2057400" cy="516255"/>
                          </a:xfrm>
                          <a:prstGeom prst="rect">
                            <a:avLst/>
                          </a:prstGeom>
                          <a:noFill/>
                          <a:ln w="9525">
                            <a:noFill/>
                            <a:miter lim="800000"/>
                            <a:headEnd/>
                            <a:tailEnd/>
                          </a:ln>
                        </pic:spPr>
                      </pic:pic>
                    </a:graphicData>
                  </a:graphic>
                </wp:anchor>
              </w:drawing>
            </w:r>
            <w:r w:rsidR="00AB6757" w:rsidRPr="0059191D">
              <w:rPr>
                <w:b/>
                <w:i/>
              </w:rPr>
              <w:t>Category of the Policy</w:t>
            </w:r>
          </w:p>
          <w:p w:rsidR="009E6642" w:rsidRPr="0059191D" w:rsidRDefault="00AB6757" w:rsidP="00A41AB2">
            <w:pPr>
              <w:jc w:val="center"/>
              <w:rPr>
                <w:b/>
                <w:i/>
              </w:rPr>
            </w:pPr>
            <w:r w:rsidRPr="0059191D">
              <w:rPr>
                <w:b/>
                <w:i/>
              </w:rPr>
              <w:t>(i.e. Patient Care or Infection Control)</w:t>
            </w:r>
          </w:p>
        </w:tc>
      </w:tr>
      <w:tr w:rsidR="00E149CD" w:rsidRPr="00FB1490" w:rsidTr="00E149CD">
        <w:trPr>
          <w:gridAfter w:val="1"/>
          <w:wAfter w:w="18" w:type="dxa"/>
        </w:trPr>
        <w:tc>
          <w:tcPr>
            <w:tcW w:w="10998" w:type="dxa"/>
            <w:gridSpan w:val="3"/>
          </w:tcPr>
          <w:p w:rsidR="00E149CD" w:rsidRPr="0059191D" w:rsidRDefault="00E149CD">
            <w:pPr>
              <w:rPr>
                <w:b/>
                <w:sz w:val="28"/>
              </w:rPr>
            </w:pPr>
          </w:p>
          <w:p w:rsidR="00E149CD" w:rsidRPr="00767638" w:rsidRDefault="00E149CD" w:rsidP="00767638">
            <w:pPr>
              <w:spacing w:after="120"/>
              <w:rPr>
                <w:b/>
                <w:sz w:val="28"/>
              </w:rPr>
            </w:pPr>
            <w:r w:rsidRPr="0059191D">
              <w:rPr>
                <w:b/>
                <w:sz w:val="28"/>
              </w:rPr>
              <w:t xml:space="preserve">Title: </w:t>
            </w:r>
            <w:r w:rsidR="0012407B" w:rsidRPr="0012407B">
              <w:rPr>
                <w:b/>
                <w:sz w:val="28"/>
                <w:szCs w:val="28"/>
              </w:rPr>
              <w:t>REPORTING of EVENTS</w:t>
            </w:r>
          </w:p>
        </w:tc>
      </w:tr>
      <w:tr w:rsidR="00E149CD" w:rsidRPr="00FB1490" w:rsidTr="00E149CD">
        <w:trPr>
          <w:gridAfter w:val="1"/>
          <w:wAfter w:w="18" w:type="dxa"/>
        </w:trPr>
        <w:tc>
          <w:tcPr>
            <w:tcW w:w="10998" w:type="dxa"/>
            <w:gridSpan w:val="3"/>
          </w:tcPr>
          <w:p w:rsidR="00E149CD" w:rsidRPr="00DF33F5" w:rsidRDefault="00E149CD" w:rsidP="00767638">
            <w:pPr>
              <w:spacing w:after="120"/>
            </w:pPr>
            <w:r w:rsidRPr="0059191D">
              <w:rPr>
                <w:b/>
              </w:rPr>
              <w:t>Scope:</w:t>
            </w:r>
            <w:r w:rsidR="0012407B">
              <w:rPr>
                <w:b/>
              </w:rPr>
              <w:t xml:space="preserve"> </w:t>
            </w:r>
            <w:r w:rsidR="00DF33F5">
              <w:t>Event reporting is the responsibility of all employees of LABORATIES Northwest.</w:t>
            </w:r>
          </w:p>
        </w:tc>
      </w:tr>
      <w:tr w:rsidR="00E149CD" w:rsidRPr="00FB1490" w:rsidTr="00E149CD">
        <w:trPr>
          <w:gridAfter w:val="1"/>
          <w:wAfter w:w="18" w:type="dxa"/>
        </w:trPr>
        <w:tc>
          <w:tcPr>
            <w:tcW w:w="10998" w:type="dxa"/>
            <w:gridSpan w:val="3"/>
          </w:tcPr>
          <w:p w:rsidR="00E149CD" w:rsidRPr="00EA431D" w:rsidRDefault="00E149CD" w:rsidP="00EA431D">
            <w:pPr>
              <w:pStyle w:val="BodyText"/>
              <w:spacing w:before="120"/>
              <w:rPr>
                <w:rFonts w:ascii="Verdana" w:hAnsi="Verdana"/>
                <w:szCs w:val="24"/>
              </w:rPr>
            </w:pPr>
            <w:r w:rsidRPr="0012407B">
              <w:rPr>
                <w:rFonts w:ascii="Verdana" w:hAnsi="Verdana"/>
                <w:b/>
                <w:szCs w:val="24"/>
              </w:rPr>
              <w:t>Policy Statement:</w:t>
            </w:r>
            <w:r w:rsidR="0012407B" w:rsidRPr="0012407B">
              <w:rPr>
                <w:rFonts w:ascii="Verdana" w:hAnsi="Verdana"/>
                <w:b/>
                <w:szCs w:val="24"/>
              </w:rPr>
              <w:t xml:space="preserve"> </w:t>
            </w:r>
            <w:r w:rsidR="0012407B" w:rsidRPr="0012407B">
              <w:rPr>
                <w:rFonts w:ascii="Verdana" w:hAnsi="Verdana"/>
                <w:szCs w:val="24"/>
              </w:rPr>
              <w:t xml:space="preserve">LABORATORIES Northwest complies with the reporting requirements established by the Joint Commission and the Food and Drug Administration (FDA) for Sentinel Events, Adverse Occurrences and Medical Devices.  </w:t>
            </w:r>
          </w:p>
        </w:tc>
      </w:tr>
      <w:tr w:rsidR="00E149CD" w:rsidRPr="00FB1490" w:rsidTr="00E149CD">
        <w:trPr>
          <w:gridAfter w:val="1"/>
          <w:wAfter w:w="18" w:type="dxa"/>
        </w:trPr>
        <w:tc>
          <w:tcPr>
            <w:tcW w:w="10998" w:type="dxa"/>
            <w:gridSpan w:val="3"/>
          </w:tcPr>
          <w:p w:rsidR="00E149CD" w:rsidRPr="007D5668" w:rsidRDefault="00E149CD" w:rsidP="007D5668">
            <w:pPr>
              <w:pStyle w:val="BodyText"/>
              <w:spacing w:after="120"/>
              <w:rPr>
                <w:rFonts w:ascii="Verdana" w:hAnsi="Verdana"/>
              </w:rPr>
            </w:pPr>
            <w:r w:rsidRPr="007D5668">
              <w:rPr>
                <w:rFonts w:ascii="Verdana" w:hAnsi="Verdana"/>
                <w:b/>
              </w:rPr>
              <w:t>Special Instructions:</w:t>
            </w:r>
            <w:r w:rsidR="007D5668" w:rsidRPr="007D5668">
              <w:rPr>
                <w:rFonts w:ascii="Verdana" w:hAnsi="Verdana"/>
                <w:b/>
              </w:rPr>
              <w:t xml:space="preserve"> </w:t>
            </w:r>
            <w:r w:rsidR="007D5668" w:rsidRPr="007D5668">
              <w:rPr>
                <w:rFonts w:ascii="Verdana" w:hAnsi="Verdana"/>
              </w:rPr>
              <w:t xml:space="preserve"> All information is to be entered in a professional, objective manner based on facts of the investigation.  Use of abbreviations or slang is </w:t>
            </w:r>
            <w:r w:rsidR="007D5668">
              <w:rPr>
                <w:rFonts w:ascii="Verdana" w:hAnsi="Verdana"/>
              </w:rPr>
              <w:t>u</w:t>
            </w:r>
            <w:r w:rsidR="007D5668" w:rsidRPr="007D5668">
              <w:rPr>
                <w:rFonts w:ascii="Verdana" w:hAnsi="Verdana"/>
              </w:rPr>
              <w:t xml:space="preserve">nacceptable.  </w:t>
            </w:r>
          </w:p>
        </w:tc>
      </w:tr>
      <w:tr w:rsidR="00E149CD" w:rsidRPr="00FB1490" w:rsidTr="00E149CD">
        <w:trPr>
          <w:gridAfter w:val="1"/>
          <w:wAfter w:w="18" w:type="dxa"/>
        </w:trPr>
        <w:tc>
          <w:tcPr>
            <w:tcW w:w="10998" w:type="dxa"/>
            <w:gridSpan w:val="3"/>
          </w:tcPr>
          <w:p w:rsidR="00E149CD" w:rsidRDefault="007D5668" w:rsidP="003407B2">
            <w:r>
              <w:rPr>
                <w:b/>
              </w:rPr>
              <w:t>Definitions</w:t>
            </w:r>
            <w:r w:rsidR="00E149CD" w:rsidRPr="0059191D">
              <w:rPr>
                <w:b/>
              </w:rPr>
              <w:t>:</w:t>
            </w:r>
            <w:r w:rsidR="00E149CD" w:rsidRPr="0059191D">
              <w:t xml:space="preserve"> </w:t>
            </w:r>
          </w:p>
          <w:p w:rsidR="007D5668" w:rsidRPr="007D5668" w:rsidRDefault="007D5668" w:rsidP="007D5668">
            <w:pPr>
              <w:pStyle w:val="BodyText"/>
              <w:spacing w:before="120"/>
              <w:rPr>
                <w:rFonts w:ascii="Verdana" w:hAnsi="Verdana"/>
              </w:rPr>
            </w:pPr>
            <w:r w:rsidRPr="007D5668">
              <w:rPr>
                <w:rFonts w:ascii="Verdana" w:hAnsi="Verdana"/>
                <w:b/>
              </w:rPr>
              <w:t xml:space="preserve">ADVERSE OCCURENCE:  </w:t>
            </w:r>
            <w:r w:rsidRPr="007D5668">
              <w:rPr>
                <w:rFonts w:ascii="Verdana" w:hAnsi="Verdana"/>
              </w:rPr>
              <w:t>A “minor” unanticipated adverse or potentially adverse occurrence that has caused, or if repeated, could potentially cause harm to a patient. In the event the occurrence was a system wide issue, an electronic quality improvement memo (MeQIM) is completed for review.</w:t>
            </w:r>
            <w:r>
              <w:rPr>
                <w:rFonts w:ascii="Verdana" w:hAnsi="Verdana"/>
              </w:rPr>
              <w:t xml:space="preserve">  </w:t>
            </w:r>
            <w:r w:rsidRPr="007D5668">
              <w:rPr>
                <w:rFonts w:ascii="Verdana" w:hAnsi="Verdana"/>
              </w:rPr>
              <w:t>A</w:t>
            </w:r>
            <w:r>
              <w:rPr>
                <w:rFonts w:ascii="Verdana" w:hAnsi="Verdana"/>
              </w:rPr>
              <w:t xml:space="preserve">dditional </w:t>
            </w:r>
            <w:r w:rsidRPr="007D5668">
              <w:rPr>
                <w:rFonts w:ascii="Verdana" w:hAnsi="Verdana"/>
              </w:rPr>
              <w:t>adverse occurrence</w:t>
            </w:r>
            <w:r>
              <w:rPr>
                <w:rFonts w:ascii="Verdana" w:hAnsi="Verdana"/>
              </w:rPr>
              <w:t xml:space="preserve">s that are a result of interlaboratory processes </w:t>
            </w:r>
            <w:r w:rsidRPr="007D5668">
              <w:rPr>
                <w:rFonts w:ascii="Verdana" w:hAnsi="Verdana"/>
              </w:rPr>
              <w:t xml:space="preserve">must be documented using the internal </w:t>
            </w:r>
            <w:r>
              <w:rPr>
                <w:rFonts w:ascii="Verdana" w:hAnsi="Verdana"/>
              </w:rPr>
              <w:t xml:space="preserve">Laboratory MeQim, (also referred to as </w:t>
            </w:r>
            <w:r w:rsidRPr="007D5668">
              <w:rPr>
                <w:rFonts w:ascii="Verdana" w:hAnsi="Verdana"/>
              </w:rPr>
              <w:t>QERN)</w:t>
            </w:r>
            <w:r>
              <w:rPr>
                <w:rFonts w:ascii="Verdana" w:hAnsi="Verdana"/>
              </w:rPr>
              <w:t xml:space="preserve">.  This is </w:t>
            </w:r>
            <w:r w:rsidRPr="007D5668">
              <w:rPr>
                <w:rFonts w:ascii="Verdana" w:hAnsi="Verdana"/>
              </w:rPr>
              <w:t xml:space="preserve">forwarded to the department manager for review.  </w:t>
            </w:r>
          </w:p>
          <w:p w:rsidR="007D5668" w:rsidRPr="007D5668" w:rsidRDefault="007D5668" w:rsidP="007D5668">
            <w:pPr>
              <w:spacing w:before="120"/>
            </w:pPr>
            <w:r w:rsidRPr="007D5668">
              <w:rPr>
                <w:b/>
              </w:rPr>
              <w:t xml:space="preserve">SENTINEL EVENT:  </w:t>
            </w:r>
            <w:r w:rsidRPr="007D5668">
              <w:t xml:space="preserve">A sentinel event is an unanticipated occurrence that results in death or serious harm.  A hospital MeQim must be completed immediately following the incident. </w:t>
            </w:r>
            <w:r w:rsidR="00344D05">
              <w:t xml:space="preserve">An event is defined as a “Sentinel Event” by the MHS Quality Management department.  </w:t>
            </w:r>
            <w:r w:rsidRPr="007D5668">
              <w:t>All Sentinel Events requires the initiation of a Root Cause Analysis and a report to the FDA is submitted if a sentinel event is confirmed.</w:t>
            </w:r>
          </w:p>
          <w:p w:rsidR="007D5668" w:rsidRDefault="007D5668" w:rsidP="007D5668">
            <w:pPr>
              <w:pStyle w:val="BodyText"/>
              <w:spacing w:before="120"/>
              <w:rPr>
                <w:rFonts w:ascii="Verdana" w:hAnsi="Verdana"/>
              </w:rPr>
            </w:pPr>
            <w:r w:rsidRPr="007D5668">
              <w:rPr>
                <w:rFonts w:ascii="Verdana" w:hAnsi="Verdana"/>
                <w:b/>
              </w:rPr>
              <w:t>MEDICAL DEVICE REPORT</w:t>
            </w:r>
            <w:r w:rsidRPr="007D5668">
              <w:rPr>
                <w:rFonts w:ascii="Verdana" w:hAnsi="Verdana"/>
              </w:rPr>
              <w:t xml:space="preserve"> </w:t>
            </w:r>
            <w:r w:rsidRPr="007D5668">
              <w:rPr>
                <w:rFonts w:ascii="Verdana" w:hAnsi="Verdana"/>
                <w:b/>
              </w:rPr>
              <w:t xml:space="preserve">(MDR):  </w:t>
            </w:r>
            <w:r w:rsidRPr="007D5668">
              <w:rPr>
                <w:rFonts w:ascii="Verdana" w:hAnsi="Verdana"/>
              </w:rPr>
              <w:t>A report that is required by the (FDA) when an instrument, reagent, or other device is suspected of causing or contributing to a patient death or serious injury.  This report must be completed and filed within 10 days of the incident.</w:t>
            </w:r>
          </w:p>
          <w:p w:rsidR="007D5668" w:rsidRDefault="007D5668" w:rsidP="007D5668">
            <w:pPr>
              <w:pStyle w:val="BodyText"/>
              <w:spacing w:before="120"/>
              <w:rPr>
                <w:rFonts w:ascii="Verdana" w:hAnsi="Verdana"/>
              </w:rPr>
            </w:pPr>
            <w:r w:rsidRPr="007D5668">
              <w:rPr>
                <w:rFonts w:ascii="Verdana" w:hAnsi="Verdana"/>
                <w:b/>
              </w:rPr>
              <w:t>VENDOR NOTIFICATION</w:t>
            </w:r>
            <w:r>
              <w:rPr>
                <w:rFonts w:ascii="Verdana" w:hAnsi="Verdana"/>
                <w:b/>
              </w:rPr>
              <w:t xml:space="preserve">:  </w:t>
            </w:r>
            <w:r w:rsidR="0003473A" w:rsidRPr="0003473A">
              <w:rPr>
                <w:rFonts w:ascii="Verdana" w:hAnsi="Verdana"/>
              </w:rPr>
              <w:t xml:space="preserve">Notification from vendors </w:t>
            </w:r>
            <w:r w:rsidR="0003473A">
              <w:rPr>
                <w:rFonts w:ascii="Verdana" w:hAnsi="Verdana"/>
              </w:rPr>
              <w:t>regarding the integrity of reagents, supplies</w:t>
            </w:r>
            <w:r w:rsidR="00A7242F">
              <w:rPr>
                <w:rFonts w:ascii="Verdana" w:hAnsi="Verdana"/>
              </w:rPr>
              <w:t xml:space="preserve">, </w:t>
            </w:r>
            <w:r w:rsidR="0003473A">
              <w:rPr>
                <w:rFonts w:ascii="Verdana" w:hAnsi="Verdana"/>
              </w:rPr>
              <w:t>software</w:t>
            </w:r>
            <w:r w:rsidR="00A7242F">
              <w:rPr>
                <w:rFonts w:ascii="Verdana" w:hAnsi="Verdana"/>
              </w:rPr>
              <w:t xml:space="preserve"> or other </w:t>
            </w:r>
            <w:r w:rsidR="0003473A">
              <w:rPr>
                <w:rFonts w:ascii="Verdana" w:hAnsi="Verdana"/>
              </w:rPr>
              <w:t xml:space="preserve">defects </w:t>
            </w:r>
            <w:r w:rsidR="00A7242F">
              <w:rPr>
                <w:rFonts w:ascii="Verdana" w:hAnsi="Verdana"/>
              </w:rPr>
              <w:t>is managed by the individual; department and documentation is retained for future reference.</w:t>
            </w:r>
            <w:r w:rsidR="0003473A">
              <w:rPr>
                <w:rFonts w:ascii="Verdana" w:hAnsi="Verdana"/>
              </w:rPr>
              <w:t xml:space="preserve"> </w:t>
            </w:r>
          </w:p>
          <w:p w:rsidR="006A7975" w:rsidRDefault="006A7975" w:rsidP="007D5668">
            <w:pPr>
              <w:pStyle w:val="BodyText"/>
              <w:spacing w:before="120"/>
              <w:rPr>
                <w:rFonts w:ascii="Verdana" w:hAnsi="Verdana"/>
              </w:rPr>
            </w:pPr>
            <w:r w:rsidRPr="006A7975">
              <w:rPr>
                <w:rFonts w:ascii="Verdana" w:hAnsi="Verdana"/>
                <w:b/>
              </w:rPr>
              <w:t>ADDITIONAL REPORTING of EVENTS</w:t>
            </w:r>
            <w:r w:rsidRPr="006A7975">
              <w:rPr>
                <w:rFonts w:ascii="Verdana" w:hAnsi="Verdana"/>
              </w:rPr>
              <w:t>:</w:t>
            </w:r>
          </w:p>
          <w:p w:rsidR="006A7975" w:rsidRDefault="006A7975" w:rsidP="006A7975">
            <w:pPr>
              <w:pStyle w:val="BodyText"/>
              <w:spacing w:before="120"/>
              <w:rPr>
                <w:rFonts w:ascii="Verdana" w:hAnsi="Verdana"/>
              </w:rPr>
            </w:pPr>
            <w:r w:rsidRPr="006A7975">
              <w:rPr>
                <w:rFonts w:ascii="Verdana" w:hAnsi="Verdana"/>
              </w:rPr>
              <w:t>Transfusion Services is required to complete a “Problem Report Form” and the manager will identify if the event is FDA reportable.</w:t>
            </w:r>
            <w:r w:rsidR="00441F02">
              <w:rPr>
                <w:rFonts w:ascii="Verdana" w:hAnsi="Verdana"/>
              </w:rPr>
              <w:t xml:space="preserve">  </w:t>
            </w:r>
            <w:r w:rsidR="00441F02" w:rsidRPr="006A7975">
              <w:rPr>
                <w:rFonts w:ascii="Verdana" w:hAnsi="Verdana"/>
              </w:rPr>
              <w:t>If a concern is not addressed by laboratory management, or the Multi</w:t>
            </w:r>
            <w:r w:rsidR="00441F02">
              <w:rPr>
                <w:rFonts w:ascii="Verdana" w:hAnsi="Verdana"/>
              </w:rPr>
              <w:t>C</w:t>
            </w:r>
            <w:r w:rsidR="00441F02" w:rsidRPr="006A7975">
              <w:rPr>
                <w:rFonts w:ascii="Verdana" w:hAnsi="Verdana"/>
              </w:rPr>
              <w:t xml:space="preserve">are Quality Management department, employees must understand they may communicate directly with </w:t>
            </w:r>
            <w:r w:rsidR="00441F02">
              <w:rPr>
                <w:rFonts w:ascii="Verdana" w:hAnsi="Verdana"/>
              </w:rPr>
              <w:t>AABB regarding transfusion service issues.</w:t>
            </w:r>
          </w:p>
          <w:p w:rsidR="007D5668" w:rsidRPr="006A7975" w:rsidRDefault="006A7975" w:rsidP="006A7975">
            <w:pPr>
              <w:pStyle w:val="BodyText"/>
              <w:spacing w:before="120" w:after="120"/>
              <w:rPr>
                <w:rFonts w:ascii="Verdana" w:hAnsi="Verdana"/>
              </w:rPr>
            </w:pPr>
            <w:r w:rsidRPr="006A7975">
              <w:rPr>
                <w:rFonts w:ascii="Verdana" w:hAnsi="Verdana"/>
              </w:rPr>
              <w:t xml:space="preserve">If a concern is not addressed by laboratory management, or the Multicare Quality Management department, employees must understand they may communicate directly with the College of American Pathologists (CAP).  It is the policy of LABORATORIES Northwest to prohibit any harassment or punitive action against an employee who has </w:t>
            </w:r>
            <w:r w:rsidRPr="006A7975">
              <w:rPr>
                <w:rFonts w:ascii="Verdana" w:hAnsi="Verdana"/>
              </w:rPr>
              <w:lastRenderedPageBreak/>
              <w:t>voiced any concern regarding safety or quality.</w:t>
            </w:r>
          </w:p>
        </w:tc>
      </w:tr>
      <w:tr w:rsidR="00E149CD" w:rsidRPr="00FB1490" w:rsidTr="00E149CD">
        <w:trPr>
          <w:gridAfter w:val="1"/>
          <w:wAfter w:w="18" w:type="dxa"/>
        </w:trPr>
        <w:tc>
          <w:tcPr>
            <w:tcW w:w="10998" w:type="dxa"/>
            <w:gridSpan w:val="3"/>
          </w:tcPr>
          <w:p w:rsidR="00E149CD" w:rsidRDefault="00E149CD" w:rsidP="009E6642">
            <w:pPr>
              <w:rPr>
                <w:b/>
              </w:rPr>
            </w:pPr>
            <w:r w:rsidRPr="0059191D">
              <w:rPr>
                <w:b/>
              </w:rPr>
              <w:lastRenderedPageBreak/>
              <w:t>Related Policies:</w:t>
            </w:r>
          </w:p>
          <w:p w:rsidR="000B2BE6" w:rsidRDefault="000B2BE6" w:rsidP="009E6642">
            <w:pPr>
              <w:rPr>
                <w:sz w:val="26"/>
                <w:szCs w:val="26"/>
              </w:rPr>
            </w:pPr>
            <w:r w:rsidRPr="000B2BE6">
              <w:rPr>
                <w:sz w:val="26"/>
                <w:szCs w:val="26"/>
              </w:rPr>
              <w:t>Laboratories NW Internal Quality Event Reporting</w:t>
            </w:r>
          </w:p>
          <w:p w:rsidR="006A7975" w:rsidRDefault="006A7975" w:rsidP="009E6642">
            <w:pPr>
              <w:rPr>
                <w:color w:val="000000"/>
              </w:rPr>
            </w:pPr>
            <w:r>
              <w:rPr>
                <w:color w:val="000000"/>
              </w:rPr>
              <w:t xml:space="preserve">MHS </w:t>
            </w:r>
            <w:r w:rsidR="00433B0E">
              <w:rPr>
                <w:color w:val="000000"/>
              </w:rPr>
              <w:t>“</w:t>
            </w:r>
            <w:r w:rsidRPr="006A7975">
              <w:rPr>
                <w:color w:val="000000"/>
              </w:rPr>
              <w:t>MeQIM Process Guidelines (For Unusual Occurrences and Critical Events)</w:t>
            </w:r>
            <w:r w:rsidR="00433B0E">
              <w:rPr>
                <w:color w:val="000000"/>
              </w:rPr>
              <w:t>”</w:t>
            </w:r>
            <w:r w:rsidRPr="006A7975">
              <w:rPr>
                <w:color w:val="000000"/>
              </w:rPr>
              <w:t xml:space="preserve"> </w:t>
            </w:r>
          </w:p>
          <w:p w:rsidR="00433B0E" w:rsidRDefault="00433B0E" w:rsidP="009E6642">
            <w:pPr>
              <w:rPr>
                <w:color w:val="000000"/>
              </w:rPr>
            </w:pPr>
            <w:r>
              <w:rPr>
                <w:color w:val="000000"/>
              </w:rPr>
              <w:t>MHS “Critical Event Management and Disclosure”</w:t>
            </w:r>
          </w:p>
          <w:p w:rsidR="006A7975" w:rsidRPr="006A7975" w:rsidRDefault="006A7975" w:rsidP="006A7975">
            <w:pPr>
              <w:pStyle w:val="BodyText"/>
              <w:rPr>
                <w:rFonts w:ascii="Verdana" w:hAnsi="Verdana"/>
              </w:rPr>
            </w:pPr>
            <w:r w:rsidRPr="006A7975">
              <w:rPr>
                <w:color w:val="000000"/>
                <w:szCs w:val="24"/>
              </w:rPr>
              <w:t> </w:t>
            </w:r>
            <w:r w:rsidRPr="006A7975">
              <w:rPr>
                <w:rFonts w:ascii="Verdana" w:hAnsi="Verdana"/>
              </w:rPr>
              <w:t>“Safe Medical Devices Act of 1990 Reporting (Pub L101-629) and Amendments”</w:t>
            </w:r>
          </w:p>
          <w:p w:rsidR="006A7975" w:rsidRPr="00E349A7" w:rsidRDefault="006A7975" w:rsidP="00E349A7">
            <w:pPr>
              <w:pStyle w:val="BodyText"/>
              <w:rPr>
                <w:rFonts w:ascii="Verdana" w:hAnsi="Verdana"/>
              </w:rPr>
            </w:pPr>
            <w:r w:rsidRPr="006A7975">
              <w:rPr>
                <w:rFonts w:ascii="Verdana" w:hAnsi="Verdana"/>
              </w:rPr>
              <w:t>“Unusual Occurrence, Reporting, Management and Disclosure.”</w:t>
            </w:r>
          </w:p>
        </w:tc>
      </w:tr>
      <w:tr w:rsidR="00E149CD" w:rsidRPr="00FB1490" w:rsidTr="00E149CD">
        <w:trPr>
          <w:gridAfter w:val="1"/>
          <w:wAfter w:w="18" w:type="dxa"/>
        </w:trPr>
        <w:tc>
          <w:tcPr>
            <w:tcW w:w="10998" w:type="dxa"/>
            <w:gridSpan w:val="3"/>
          </w:tcPr>
          <w:p w:rsidR="00E149CD" w:rsidRPr="0059191D" w:rsidRDefault="00E149CD">
            <w:pPr>
              <w:rPr>
                <w:b/>
              </w:rPr>
            </w:pPr>
            <w:r w:rsidRPr="0059191D">
              <w:rPr>
                <w:b/>
              </w:rPr>
              <w:t>Related Forms:</w:t>
            </w:r>
          </w:p>
        </w:tc>
      </w:tr>
      <w:tr w:rsidR="008D4C5F" w:rsidRPr="00FB1490" w:rsidTr="00E149CD">
        <w:trPr>
          <w:gridAfter w:val="1"/>
          <w:wAfter w:w="18" w:type="dxa"/>
        </w:trPr>
        <w:tc>
          <w:tcPr>
            <w:tcW w:w="10998" w:type="dxa"/>
            <w:gridSpan w:val="3"/>
          </w:tcPr>
          <w:p w:rsidR="008D4C5F" w:rsidRDefault="008D4C5F">
            <w:r>
              <w:rPr>
                <w:b/>
              </w:rPr>
              <w:t>Summary of Edits:</w:t>
            </w:r>
            <w:r w:rsidR="009731B7">
              <w:rPr>
                <w:b/>
              </w:rPr>
              <w:t xml:space="preserve"> </w:t>
            </w:r>
            <w:r w:rsidR="00DF33F5" w:rsidRPr="00DF33F5">
              <w:t>3/16/12</w:t>
            </w:r>
            <w:r w:rsidR="004F11B0">
              <w:t xml:space="preserve"> </w:t>
            </w:r>
            <w:r w:rsidR="00DF33F5" w:rsidRPr="00DF33F5">
              <w:t>Retire</w:t>
            </w:r>
            <w:r w:rsidR="00DF33F5">
              <w:t xml:space="preserve"> “</w:t>
            </w:r>
            <w:r w:rsidR="009731B7" w:rsidRPr="00DF33F5">
              <w:t>Reporting Device-Related Adverse Patient Events</w:t>
            </w:r>
            <w:r w:rsidR="00DF33F5">
              <w:t>”</w:t>
            </w:r>
            <w:r w:rsidR="00AC7E89">
              <w:t xml:space="preserve"> (6/05)</w:t>
            </w:r>
          </w:p>
          <w:p w:rsidR="00433B0E" w:rsidRDefault="00433B0E" w:rsidP="00433B0E">
            <w:r>
              <w:t>1/2013 Expanded Medical Director review; additional MHS related policy</w:t>
            </w:r>
          </w:p>
          <w:p w:rsidR="00E362CD" w:rsidRDefault="00E362CD" w:rsidP="00433B0E">
            <w:r>
              <w:t>3/2014 Expanded Medical Director review</w:t>
            </w:r>
          </w:p>
          <w:p w:rsidR="00441F02" w:rsidRPr="0059191D" w:rsidRDefault="00441F02" w:rsidP="00CE3AAA">
            <w:pPr>
              <w:rPr>
                <w:b/>
              </w:rPr>
            </w:pPr>
            <w:r>
              <w:t xml:space="preserve">4/2014 Included AABB </w:t>
            </w:r>
            <w:r w:rsidR="00CE3AAA">
              <w:t>as an</w:t>
            </w:r>
            <w:r>
              <w:t xml:space="preserve"> additional reporting agency.</w:t>
            </w:r>
          </w:p>
        </w:tc>
      </w:tr>
      <w:tr w:rsidR="00E149CD" w:rsidRPr="00FB1490" w:rsidTr="00E149CD">
        <w:trPr>
          <w:gridAfter w:val="1"/>
          <w:wAfter w:w="18" w:type="dxa"/>
        </w:trPr>
        <w:tc>
          <w:tcPr>
            <w:tcW w:w="10998" w:type="dxa"/>
            <w:gridSpan w:val="3"/>
          </w:tcPr>
          <w:p w:rsidR="00E149CD" w:rsidRDefault="00E149CD">
            <w:pPr>
              <w:rPr>
                <w:b/>
              </w:rPr>
            </w:pPr>
            <w:r w:rsidRPr="0059191D">
              <w:rPr>
                <w:b/>
              </w:rPr>
              <w:t>References:</w:t>
            </w:r>
          </w:p>
          <w:p w:rsidR="006A7975" w:rsidRPr="006A7975" w:rsidRDefault="006A7975" w:rsidP="006A7975">
            <w:pPr>
              <w:pStyle w:val="BodyText"/>
              <w:rPr>
                <w:rFonts w:ascii="Verdana" w:hAnsi="Verdana"/>
              </w:rPr>
            </w:pPr>
            <w:r w:rsidRPr="006A7975">
              <w:rPr>
                <w:rFonts w:ascii="Verdana" w:hAnsi="Verdana"/>
              </w:rPr>
              <w:t>Joint Commission Reference Manual, 2008. Sentinel Events, pgs SE-1 through SE-8</w:t>
            </w:r>
          </w:p>
          <w:p w:rsidR="006A7975" w:rsidRPr="006A7975" w:rsidRDefault="006A7975" w:rsidP="006A7975">
            <w:pPr>
              <w:pStyle w:val="BodyText"/>
              <w:rPr>
                <w:rFonts w:ascii="Verdana" w:hAnsi="Verdana"/>
              </w:rPr>
            </w:pPr>
            <w:r w:rsidRPr="006A7975">
              <w:rPr>
                <w:rFonts w:ascii="Verdana" w:hAnsi="Verdana"/>
              </w:rPr>
              <w:t>21 CFR part 803 and 807</w:t>
            </w:r>
          </w:p>
          <w:p w:rsidR="006A7975" w:rsidRDefault="006A7975" w:rsidP="006A7975">
            <w:pPr>
              <w:pStyle w:val="BodyText"/>
              <w:rPr>
                <w:rFonts w:ascii="Verdana" w:hAnsi="Verdana"/>
              </w:rPr>
            </w:pPr>
            <w:r w:rsidRPr="006A7975">
              <w:rPr>
                <w:rFonts w:ascii="Verdana" w:hAnsi="Verdana"/>
              </w:rPr>
              <w:t>C</w:t>
            </w:r>
            <w:r>
              <w:rPr>
                <w:rFonts w:ascii="Verdana" w:hAnsi="Verdana"/>
              </w:rPr>
              <w:t xml:space="preserve">ollege of American Pathologists: </w:t>
            </w:r>
            <w:r w:rsidRPr="006A7975">
              <w:rPr>
                <w:rFonts w:ascii="Verdana" w:hAnsi="Verdana"/>
              </w:rPr>
              <w:t>GEN</w:t>
            </w:r>
            <w:r>
              <w:rPr>
                <w:rFonts w:ascii="Verdana" w:hAnsi="Verdana"/>
              </w:rPr>
              <w:t>.20330</w:t>
            </w:r>
          </w:p>
          <w:p w:rsidR="006A7975" w:rsidRDefault="006A7975" w:rsidP="006A7975">
            <w:pPr>
              <w:pStyle w:val="BodyText"/>
              <w:rPr>
                <w:rFonts w:ascii="Verdana" w:hAnsi="Verdana"/>
              </w:rPr>
            </w:pPr>
            <w:r w:rsidRPr="006A7975">
              <w:rPr>
                <w:rFonts w:ascii="Verdana" w:hAnsi="Verdana"/>
              </w:rPr>
              <w:t>C</w:t>
            </w:r>
            <w:r>
              <w:rPr>
                <w:rFonts w:ascii="Verdana" w:hAnsi="Verdana"/>
              </w:rPr>
              <w:t xml:space="preserve">ollege of American Pathologists: </w:t>
            </w:r>
            <w:r w:rsidRPr="006A7975">
              <w:rPr>
                <w:rFonts w:ascii="Verdana" w:hAnsi="Verdana"/>
              </w:rPr>
              <w:t>GEN</w:t>
            </w:r>
            <w:r>
              <w:rPr>
                <w:rFonts w:ascii="Verdana" w:hAnsi="Verdana"/>
              </w:rPr>
              <w:t>.20340</w:t>
            </w:r>
          </w:p>
          <w:p w:rsidR="006A7975" w:rsidRDefault="006A7975" w:rsidP="006A7975">
            <w:pPr>
              <w:pStyle w:val="BodyText"/>
              <w:rPr>
                <w:rFonts w:ascii="Verdana" w:hAnsi="Verdana"/>
              </w:rPr>
            </w:pPr>
            <w:r w:rsidRPr="006A7975">
              <w:rPr>
                <w:rFonts w:ascii="Verdana" w:hAnsi="Verdana"/>
              </w:rPr>
              <w:t>C</w:t>
            </w:r>
            <w:r>
              <w:rPr>
                <w:rFonts w:ascii="Verdana" w:hAnsi="Verdana"/>
              </w:rPr>
              <w:t xml:space="preserve">ollege of American Pathologists: </w:t>
            </w:r>
            <w:r w:rsidRPr="006A7975">
              <w:rPr>
                <w:rFonts w:ascii="Verdana" w:hAnsi="Verdana"/>
              </w:rPr>
              <w:t>GEN</w:t>
            </w:r>
            <w:r>
              <w:rPr>
                <w:rFonts w:ascii="Verdana" w:hAnsi="Verdana"/>
              </w:rPr>
              <w:t>.20371</w:t>
            </w:r>
          </w:p>
          <w:p w:rsidR="00441F02" w:rsidRPr="00DF33F5" w:rsidRDefault="00441F02" w:rsidP="006A7975">
            <w:pPr>
              <w:pStyle w:val="BodyText"/>
              <w:rPr>
                <w:rFonts w:ascii="Verdana" w:hAnsi="Verdana"/>
              </w:rPr>
            </w:pPr>
            <w:r>
              <w:rPr>
                <w:rFonts w:ascii="Verdana" w:hAnsi="Verdana"/>
              </w:rPr>
              <w:t>Standards for Blood Banks and Transfusion Services, 29</w:t>
            </w:r>
            <w:r w:rsidRPr="00441F02">
              <w:rPr>
                <w:rFonts w:ascii="Verdana" w:hAnsi="Verdana"/>
                <w:vertAlign w:val="superscript"/>
              </w:rPr>
              <w:t>th</w:t>
            </w:r>
            <w:r>
              <w:rPr>
                <w:rFonts w:ascii="Verdana" w:hAnsi="Verdana"/>
              </w:rPr>
              <w:t xml:space="preserve"> Edition: AABB 1.5</w:t>
            </w:r>
          </w:p>
        </w:tc>
      </w:tr>
      <w:tr w:rsidR="00E149CD" w:rsidRPr="00FB1490" w:rsidTr="006A2D0B">
        <w:trPr>
          <w:gridAfter w:val="1"/>
          <w:wAfter w:w="18" w:type="dxa"/>
          <w:trHeight w:val="422"/>
        </w:trPr>
        <w:tc>
          <w:tcPr>
            <w:tcW w:w="10998" w:type="dxa"/>
            <w:gridSpan w:val="3"/>
          </w:tcPr>
          <w:p w:rsidR="00E149CD" w:rsidRPr="0059191D" w:rsidRDefault="00E149CD">
            <w:pPr>
              <w:rPr>
                <w:b/>
              </w:rPr>
            </w:pPr>
            <w:r>
              <w:rPr>
                <w:b/>
              </w:rPr>
              <w:t>Point of Contact:</w:t>
            </w:r>
            <w:r w:rsidR="006A7975">
              <w:rPr>
                <w:b/>
              </w:rPr>
              <w:t xml:space="preserve"> </w:t>
            </w:r>
            <w:r w:rsidR="006A7975" w:rsidRPr="006A7975">
              <w:t>Laboratory Regulatory Consultant</w:t>
            </w:r>
          </w:p>
        </w:tc>
      </w:tr>
      <w:tr w:rsidR="009E6642" w:rsidRPr="00FB1490" w:rsidTr="003C5EB8">
        <w:tc>
          <w:tcPr>
            <w:tcW w:w="5508" w:type="dxa"/>
          </w:tcPr>
          <w:p w:rsidR="009E6642" w:rsidRPr="0059191D" w:rsidRDefault="009E6642" w:rsidP="009E6642">
            <w:pPr>
              <w:rPr>
                <w:b/>
                <w:i/>
              </w:rPr>
            </w:pPr>
            <w:r w:rsidRPr="0059191D">
              <w:rPr>
                <w:b/>
                <w:i/>
              </w:rPr>
              <w:t>Approval By:</w:t>
            </w:r>
          </w:p>
          <w:p w:rsidR="003D7B89" w:rsidRDefault="003D7B89" w:rsidP="009E6642">
            <w:pPr>
              <w:rPr>
                <w:sz w:val="22"/>
                <w:szCs w:val="22"/>
              </w:rPr>
            </w:pPr>
            <w:r w:rsidRPr="003D7B89">
              <w:rPr>
                <w:sz w:val="22"/>
                <w:szCs w:val="22"/>
              </w:rPr>
              <w:t>LABORATORIES Northwest Medical Directors</w:t>
            </w:r>
            <w:r w:rsidR="009E6642" w:rsidRPr="003D7B89">
              <w:rPr>
                <w:sz w:val="22"/>
                <w:szCs w:val="22"/>
              </w:rPr>
              <w:t xml:space="preserve"> </w:t>
            </w:r>
          </w:p>
          <w:p w:rsidR="003D7B89" w:rsidRDefault="003D7B89" w:rsidP="009E6642">
            <w:pPr>
              <w:rPr>
                <w:sz w:val="22"/>
                <w:szCs w:val="22"/>
              </w:rPr>
            </w:pPr>
            <w:r>
              <w:rPr>
                <w:sz w:val="22"/>
                <w:szCs w:val="22"/>
              </w:rPr>
              <w:t>G. David Austin M.D.</w:t>
            </w:r>
          </w:p>
          <w:p w:rsidR="00C454AD" w:rsidRDefault="003D7B89" w:rsidP="009E6642">
            <w:pPr>
              <w:rPr>
                <w:sz w:val="22"/>
                <w:szCs w:val="22"/>
              </w:rPr>
            </w:pPr>
            <w:r>
              <w:rPr>
                <w:sz w:val="22"/>
                <w:szCs w:val="22"/>
              </w:rPr>
              <w:t>Eric Arn</w:t>
            </w:r>
            <w:r w:rsidR="005432B5">
              <w:rPr>
                <w:sz w:val="22"/>
                <w:szCs w:val="22"/>
              </w:rPr>
              <w:t>ts</w:t>
            </w:r>
            <w:r>
              <w:rPr>
                <w:sz w:val="22"/>
                <w:szCs w:val="22"/>
              </w:rPr>
              <w:t>on M.D.</w:t>
            </w:r>
          </w:p>
          <w:p w:rsidR="00E362CD" w:rsidRDefault="00C454AD" w:rsidP="00C454AD">
            <w:pPr>
              <w:rPr>
                <w:sz w:val="22"/>
                <w:szCs w:val="22"/>
              </w:rPr>
            </w:pPr>
            <w:r>
              <w:rPr>
                <w:sz w:val="22"/>
                <w:szCs w:val="22"/>
              </w:rPr>
              <w:t>George Hodges M.D.</w:t>
            </w:r>
            <w:r w:rsidR="009E6642" w:rsidRPr="003D7B89">
              <w:rPr>
                <w:sz w:val="22"/>
                <w:szCs w:val="22"/>
              </w:rPr>
              <w:t xml:space="preserve">  </w:t>
            </w:r>
          </w:p>
          <w:p w:rsidR="009E6642" w:rsidRPr="003D7B89" w:rsidRDefault="00E362CD" w:rsidP="00C454AD">
            <w:pPr>
              <w:rPr>
                <w:sz w:val="22"/>
                <w:szCs w:val="22"/>
              </w:rPr>
            </w:pPr>
            <w:r>
              <w:rPr>
                <w:sz w:val="22"/>
                <w:szCs w:val="22"/>
              </w:rPr>
              <w:t>Larry O’Bryant M.D.</w:t>
            </w:r>
            <w:r w:rsidR="009E6642" w:rsidRPr="003D7B89">
              <w:rPr>
                <w:sz w:val="22"/>
                <w:szCs w:val="22"/>
              </w:rPr>
              <w:t xml:space="preserve">                        </w:t>
            </w:r>
          </w:p>
        </w:tc>
        <w:tc>
          <w:tcPr>
            <w:tcW w:w="5508" w:type="dxa"/>
            <w:gridSpan w:val="3"/>
          </w:tcPr>
          <w:p w:rsidR="009E6642" w:rsidRDefault="009E6642">
            <w:pPr>
              <w:rPr>
                <w:b/>
                <w:i/>
              </w:rPr>
            </w:pPr>
            <w:r w:rsidRPr="0059191D">
              <w:rPr>
                <w:b/>
                <w:i/>
              </w:rPr>
              <w:t>Date of Approval:</w:t>
            </w:r>
            <w:r w:rsidR="006A2D0B">
              <w:rPr>
                <w:b/>
                <w:i/>
              </w:rPr>
              <w:t xml:space="preserve"> </w:t>
            </w:r>
          </w:p>
          <w:p w:rsidR="006A2D0B" w:rsidRDefault="006A2D0B">
            <w:pPr>
              <w:rPr>
                <w:b/>
                <w:i/>
              </w:rPr>
            </w:pPr>
          </w:p>
          <w:p w:rsidR="006A2D0B" w:rsidRDefault="006A2D0B">
            <w:pPr>
              <w:rPr>
                <w:i/>
                <w:sz w:val="22"/>
                <w:szCs w:val="22"/>
              </w:rPr>
            </w:pPr>
            <w:r w:rsidRPr="006A2D0B">
              <w:rPr>
                <w:i/>
                <w:sz w:val="22"/>
                <w:szCs w:val="22"/>
              </w:rPr>
              <w:t>3/16/2012</w:t>
            </w:r>
          </w:p>
          <w:p w:rsidR="00057BE8" w:rsidRDefault="003A58C4">
            <w:pPr>
              <w:rPr>
                <w:i/>
                <w:sz w:val="22"/>
                <w:szCs w:val="22"/>
              </w:rPr>
            </w:pPr>
            <w:r>
              <w:rPr>
                <w:i/>
                <w:sz w:val="22"/>
                <w:szCs w:val="22"/>
              </w:rPr>
              <w:t>1/23/2013</w:t>
            </w:r>
          </w:p>
          <w:p w:rsidR="00057BE8" w:rsidRDefault="00057BE8">
            <w:pPr>
              <w:rPr>
                <w:i/>
                <w:sz w:val="22"/>
                <w:szCs w:val="22"/>
              </w:rPr>
            </w:pPr>
            <w:r>
              <w:rPr>
                <w:i/>
                <w:sz w:val="22"/>
                <w:szCs w:val="22"/>
              </w:rPr>
              <w:t>1/18/2013</w:t>
            </w:r>
          </w:p>
          <w:p w:rsidR="00E362CD" w:rsidRPr="006A2D0B" w:rsidRDefault="00AB0715">
            <w:pPr>
              <w:rPr>
                <w:i/>
                <w:sz w:val="22"/>
                <w:szCs w:val="22"/>
              </w:rPr>
            </w:pPr>
            <w:r>
              <w:rPr>
                <w:i/>
                <w:sz w:val="22"/>
                <w:szCs w:val="22"/>
              </w:rPr>
              <w:t>3/5/2014</w:t>
            </w:r>
          </w:p>
        </w:tc>
      </w:tr>
      <w:tr w:rsidR="002B34E5" w:rsidRPr="00FB1490" w:rsidTr="003C5EB8">
        <w:tc>
          <w:tcPr>
            <w:tcW w:w="5508" w:type="dxa"/>
          </w:tcPr>
          <w:p w:rsidR="002B34E5" w:rsidRPr="0059191D" w:rsidRDefault="002B34E5">
            <w:r w:rsidRPr="0059191D">
              <w:t>Original Date:</w:t>
            </w:r>
          </w:p>
          <w:p w:rsidR="002B34E5" w:rsidRPr="0059191D" w:rsidRDefault="002B34E5">
            <w:r w:rsidRPr="0059191D">
              <w:t>Revision Dates:</w:t>
            </w:r>
          </w:p>
          <w:p w:rsidR="002B34E5" w:rsidRPr="0059191D" w:rsidRDefault="002B34E5">
            <w:r w:rsidRPr="0059191D">
              <w:t>Review</w:t>
            </w:r>
            <w:r w:rsidR="009E6642" w:rsidRPr="0059191D">
              <w:t>ed with</w:t>
            </w:r>
            <w:r w:rsidR="000F7045" w:rsidRPr="0059191D">
              <w:t xml:space="preserve"> no C</w:t>
            </w:r>
            <w:r w:rsidR="009E6642" w:rsidRPr="0059191D">
              <w:t>hanges</w:t>
            </w:r>
            <w:r w:rsidRPr="0059191D">
              <w:t xml:space="preserve"> Dates:</w:t>
            </w:r>
          </w:p>
        </w:tc>
        <w:tc>
          <w:tcPr>
            <w:tcW w:w="5508" w:type="dxa"/>
            <w:gridSpan w:val="3"/>
          </w:tcPr>
          <w:p w:rsidR="002B34E5" w:rsidRPr="0059191D" w:rsidRDefault="001B70A5">
            <w:pPr>
              <w:rPr>
                <w:i/>
              </w:rPr>
            </w:pPr>
            <w:r>
              <w:rPr>
                <w:i/>
              </w:rPr>
              <w:t>12/2009</w:t>
            </w:r>
          </w:p>
          <w:p w:rsidR="002B34E5" w:rsidRPr="0059191D" w:rsidRDefault="001B70A5" w:rsidP="009E6642">
            <w:pPr>
              <w:rPr>
                <w:i/>
              </w:rPr>
            </w:pPr>
            <w:r>
              <w:rPr>
                <w:i/>
              </w:rPr>
              <w:t>3/2012</w:t>
            </w:r>
            <w:r w:rsidR="00433B0E">
              <w:rPr>
                <w:i/>
              </w:rPr>
              <w:t>;1/2013</w:t>
            </w:r>
            <w:r w:rsidR="00E362CD">
              <w:rPr>
                <w:i/>
              </w:rPr>
              <w:t>;3/2014</w:t>
            </w:r>
            <w:r w:rsidR="00441F02">
              <w:rPr>
                <w:i/>
              </w:rPr>
              <w:t>; 4/2014</w:t>
            </w:r>
          </w:p>
          <w:p w:rsidR="009E6642" w:rsidRPr="0059191D" w:rsidRDefault="001B70A5" w:rsidP="009E6642">
            <w:r>
              <w:rPr>
                <w:i/>
              </w:rPr>
              <w:t>12/2010</w:t>
            </w:r>
          </w:p>
        </w:tc>
      </w:tr>
    </w:tbl>
    <w:p w:rsidR="002B34E5" w:rsidRPr="00FB1490" w:rsidRDefault="002B34E5">
      <w:pPr>
        <w:pStyle w:val="Header"/>
        <w:tabs>
          <w:tab w:val="clear" w:pos="4320"/>
          <w:tab w:val="clear" w:pos="8640"/>
        </w:tabs>
      </w:pPr>
    </w:p>
    <w:sectPr w:rsidR="002B34E5" w:rsidRPr="00FB1490" w:rsidSect="00E742E3">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5B" w:rsidRDefault="00E8185B">
      <w:r>
        <w:separator/>
      </w:r>
    </w:p>
  </w:endnote>
  <w:endnote w:type="continuationSeparator" w:id="0">
    <w:p w:rsidR="00E8185B" w:rsidRDefault="00E8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7" w:rsidRDefault="004F11B0">
    <w:pPr>
      <w:pStyle w:val="Footer"/>
      <w:jc w:val="center"/>
      <w:rPr>
        <w:b/>
        <w:i/>
        <w:sz w:val="16"/>
      </w:rPr>
    </w:pPr>
    <w:r>
      <w:rPr>
        <w:b/>
        <w:i/>
        <w:sz w:val="16"/>
      </w:rPr>
      <w:t>Reporting of Events</w:t>
    </w:r>
  </w:p>
  <w:p w:rsidR="009731B7" w:rsidRDefault="009731B7" w:rsidP="000F7045">
    <w:pPr>
      <w:pStyle w:val="Footer"/>
      <w:tabs>
        <w:tab w:val="left" w:pos="8550"/>
        <w:tab w:val="left" w:pos="8730"/>
      </w:tabs>
      <w:rPr>
        <w:i/>
        <w:sz w:val="20"/>
      </w:rPr>
    </w:pPr>
    <w:r>
      <w:rPr>
        <w:i/>
        <w:snapToGrid w:val="0"/>
        <w:sz w:val="16"/>
      </w:rPr>
      <w:t xml:space="preserve">Page </w:t>
    </w:r>
    <w:r w:rsidR="005621DC">
      <w:rPr>
        <w:i/>
        <w:snapToGrid w:val="0"/>
        <w:sz w:val="16"/>
      </w:rPr>
      <w:fldChar w:fldCharType="begin"/>
    </w:r>
    <w:r>
      <w:rPr>
        <w:i/>
        <w:snapToGrid w:val="0"/>
        <w:sz w:val="16"/>
      </w:rPr>
      <w:instrText xml:space="preserve"> PAGE </w:instrText>
    </w:r>
    <w:r w:rsidR="005621DC">
      <w:rPr>
        <w:i/>
        <w:snapToGrid w:val="0"/>
        <w:sz w:val="16"/>
      </w:rPr>
      <w:fldChar w:fldCharType="separate"/>
    </w:r>
    <w:r w:rsidR="00CE3AAA">
      <w:rPr>
        <w:i/>
        <w:noProof/>
        <w:snapToGrid w:val="0"/>
        <w:sz w:val="16"/>
      </w:rPr>
      <w:t>2</w:t>
    </w:r>
    <w:r w:rsidR="005621DC">
      <w:rPr>
        <w:i/>
        <w:snapToGrid w:val="0"/>
        <w:sz w:val="16"/>
      </w:rPr>
      <w:fldChar w:fldCharType="end"/>
    </w:r>
    <w:r>
      <w:rPr>
        <w:i/>
        <w:snapToGrid w:val="0"/>
        <w:sz w:val="16"/>
      </w:rPr>
      <w:t xml:space="preserve"> of </w:t>
    </w:r>
    <w:r w:rsidR="005621DC">
      <w:rPr>
        <w:i/>
        <w:snapToGrid w:val="0"/>
        <w:sz w:val="16"/>
      </w:rPr>
      <w:fldChar w:fldCharType="begin"/>
    </w:r>
    <w:r>
      <w:rPr>
        <w:i/>
        <w:snapToGrid w:val="0"/>
        <w:sz w:val="16"/>
      </w:rPr>
      <w:instrText xml:space="preserve"> NUMPAGES </w:instrText>
    </w:r>
    <w:r w:rsidR="005621DC">
      <w:rPr>
        <w:i/>
        <w:snapToGrid w:val="0"/>
        <w:sz w:val="16"/>
      </w:rPr>
      <w:fldChar w:fldCharType="separate"/>
    </w:r>
    <w:r w:rsidR="00CE3AAA">
      <w:rPr>
        <w:i/>
        <w:noProof/>
        <w:snapToGrid w:val="0"/>
        <w:sz w:val="16"/>
      </w:rPr>
      <w:t>2</w:t>
    </w:r>
    <w:r w:rsidR="005621DC">
      <w:rPr>
        <w:i/>
        <w:snapToGrid w:val="0"/>
        <w:sz w:val="16"/>
      </w:rPr>
      <w:fldChar w:fldCharType="end"/>
    </w:r>
    <w:r w:rsidR="00D869F7">
      <w:rPr>
        <w:i/>
        <w:snapToGrid w:val="0"/>
        <w:sz w:val="16"/>
      </w:rPr>
      <w:tab/>
      <w:t xml:space="preserve">                                                                                                                                    </w:t>
    </w:r>
    <w:r w:rsidR="00D869F7">
      <w:rPr>
        <w:b/>
        <w:i/>
        <w:sz w:val="16"/>
      </w:rPr>
      <w:t>LABORATORIES Northwest</w:t>
    </w:r>
    <w:r>
      <w:rPr>
        <w: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5B" w:rsidRDefault="00E8185B">
      <w:r>
        <w:separator/>
      </w:r>
    </w:p>
  </w:footnote>
  <w:footnote w:type="continuationSeparator" w:id="0">
    <w:p w:rsidR="00E8185B" w:rsidRDefault="00E81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66A6"/>
    <w:multiLevelType w:val="singleLevel"/>
    <w:tmpl w:val="00228A30"/>
    <w:lvl w:ilvl="0">
      <w:start w:val="1"/>
      <w:numFmt w:val="decimal"/>
      <w:lvlText w:val="%1."/>
      <w:lvlJc w:val="left"/>
      <w:pPr>
        <w:tabs>
          <w:tab w:val="num" w:pos="360"/>
        </w:tabs>
        <w:ind w:left="360" w:hanging="360"/>
      </w:pPr>
    </w:lvl>
  </w:abstractNum>
  <w:abstractNum w:abstractNumId="1">
    <w:nsid w:val="12980797"/>
    <w:multiLevelType w:val="multilevel"/>
    <w:tmpl w:val="B5BC7930"/>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13321CA0"/>
    <w:multiLevelType w:val="singleLevel"/>
    <w:tmpl w:val="0409000F"/>
    <w:lvl w:ilvl="0">
      <w:start w:val="1"/>
      <w:numFmt w:val="decimal"/>
      <w:lvlText w:val="%1."/>
      <w:lvlJc w:val="left"/>
      <w:pPr>
        <w:tabs>
          <w:tab w:val="num" w:pos="360"/>
        </w:tabs>
        <w:ind w:left="360" w:hanging="360"/>
      </w:pPr>
    </w:lvl>
  </w:abstractNum>
  <w:abstractNum w:abstractNumId="3">
    <w:nsid w:val="143A3C01"/>
    <w:multiLevelType w:val="singleLevel"/>
    <w:tmpl w:val="0409000F"/>
    <w:lvl w:ilvl="0">
      <w:start w:val="1"/>
      <w:numFmt w:val="decimal"/>
      <w:lvlText w:val="%1."/>
      <w:lvlJc w:val="left"/>
      <w:pPr>
        <w:tabs>
          <w:tab w:val="num" w:pos="360"/>
        </w:tabs>
        <w:ind w:left="360" w:hanging="360"/>
      </w:pPr>
    </w:lvl>
  </w:abstractNum>
  <w:abstractNum w:abstractNumId="4">
    <w:nsid w:val="15B913A8"/>
    <w:multiLevelType w:val="multilevel"/>
    <w:tmpl w:val="91F4B85E"/>
    <w:lvl w:ilvl="0">
      <w:start w:val="1"/>
      <w:numFmt w:val="upperRoman"/>
      <w:lvlText w:val="%1."/>
      <w:lvlJc w:val="left"/>
      <w:pPr>
        <w:tabs>
          <w:tab w:val="num" w:pos="360"/>
        </w:tabs>
        <w:ind w:left="360" w:hanging="360"/>
      </w:pPr>
      <w:rPr>
        <w:rFonts w:ascii="Verdana" w:hAnsi="Verdana" w:hint="default"/>
        <w:b/>
        <w:i w:val="0"/>
        <w:strike w:val="0"/>
        <w:dstrike w:val="0"/>
        <w:sz w:val="24"/>
        <w:szCs w:val="24"/>
      </w:rPr>
    </w:lvl>
    <w:lvl w:ilvl="1">
      <w:start w:val="1"/>
      <w:numFmt w:val="upperLetter"/>
      <w:lvlText w:val="%2."/>
      <w:lvlJc w:val="left"/>
      <w:pPr>
        <w:tabs>
          <w:tab w:val="num" w:pos="720"/>
        </w:tabs>
        <w:ind w:left="720" w:hanging="360"/>
      </w:pPr>
      <w:rPr>
        <w:rFonts w:ascii="Verdana" w:hAnsi="Verdana" w:hint="default"/>
        <w:b w:val="0"/>
        <w:i w:val="0"/>
        <w:strike w:val="0"/>
        <w:dstrike w:val="0"/>
        <w:sz w:val="24"/>
        <w:szCs w:val="24"/>
      </w:rPr>
    </w:lvl>
    <w:lvl w:ilvl="2">
      <w:start w:val="1"/>
      <w:numFmt w:val="decimal"/>
      <w:lvlText w:val="%3."/>
      <w:lvlJc w:val="left"/>
      <w:pPr>
        <w:tabs>
          <w:tab w:val="num" w:pos="1080"/>
        </w:tabs>
        <w:ind w:left="1080" w:hanging="360"/>
      </w:pPr>
      <w:rPr>
        <w:rFonts w:ascii="Verdana" w:hAnsi="Verdana" w:hint="default"/>
        <w:b w:val="0"/>
        <w:i w:val="0"/>
        <w:strike w:val="0"/>
        <w:dstrike w:val="0"/>
        <w:sz w:val="24"/>
        <w:szCs w:val="24"/>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4"/>
        <w:szCs w:val="24"/>
      </w:rPr>
    </w:lvl>
    <w:lvl w:ilvl="5">
      <w:start w:val="1"/>
      <w:numFmt w:val="lowerLetter"/>
      <w:lvlText w:val="%6.)"/>
      <w:lvlJc w:val="left"/>
      <w:pPr>
        <w:tabs>
          <w:tab w:val="num" w:pos="2160"/>
        </w:tabs>
        <w:ind w:left="2160" w:hanging="360"/>
      </w:pPr>
      <w:rPr>
        <w:rFonts w:ascii="Verdana" w:hAnsi="Verdana"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B3F0253"/>
    <w:multiLevelType w:val="multilevel"/>
    <w:tmpl w:val="3B16302A"/>
    <w:lvl w:ilvl="0">
      <w:start w:val="1"/>
      <w:numFmt w:val="upperRoman"/>
      <w:lvlText w:val="%1."/>
      <w:lvlJc w:val="center"/>
      <w:pPr>
        <w:tabs>
          <w:tab w:val="num" w:pos="432"/>
        </w:tabs>
        <w:ind w:left="0" w:firstLine="72"/>
      </w:p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22BA75A7"/>
    <w:multiLevelType w:val="singleLevel"/>
    <w:tmpl w:val="2E1C6A8C"/>
    <w:lvl w:ilvl="0">
      <w:start w:val="10"/>
      <w:numFmt w:val="bullet"/>
      <w:lvlText w:val="☺"/>
      <w:lvlJc w:val="left"/>
      <w:pPr>
        <w:tabs>
          <w:tab w:val="num" w:pos="720"/>
        </w:tabs>
        <w:ind w:left="216" w:hanging="216"/>
      </w:pPr>
      <w:rPr>
        <w:rFonts w:ascii="Times New Roman" w:hAnsi="Times New Roman" w:hint="default"/>
        <w:sz w:val="40"/>
      </w:rPr>
    </w:lvl>
  </w:abstractNum>
  <w:abstractNum w:abstractNumId="7">
    <w:nsid w:val="238609B4"/>
    <w:multiLevelType w:val="multilevel"/>
    <w:tmpl w:val="FB2EA968"/>
    <w:lvl w:ilvl="0">
      <w:start w:val="1"/>
      <w:numFmt w:val="upperRoman"/>
      <w:pStyle w:val="Heading1"/>
      <w:lvlText w:val="%1."/>
      <w:lvlJc w:val="center"/>
      <w:pPr>
        <w:tabs>
          <w:tab w:val="num" w:pos="432"/>
        </w:tabs>
        <w:ind w:left="0" w:firstLine="72"/>
      </w:pPr>
      <w:rPr>
        <w:rFonts w:ascii="Verdana" w:hAnsi="Verdana" w:hint="default"/>
      </w:rPr>
    </w:lvl>
    <w:lvl w:ilvl="1">
      <w:start w:val="1"/>
      <w:numFmt w:val="upperLetter"/>
      <w:pStyle w:val="Heading2"/>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4"/>
        <w:szCs w:val="24"/>
      </w:rPr>
    </w:lvl>
    <w:lvl w:ilvl="5">
      <w:start w:val="1"/>
      <w:numFmt w:val="lowerLetter"/>
      <w:lvlText w:val="%6.)"/>
      <w:lvlJc w:val="left"/>
      <w:pPr>
        <w:tabs>
          <w:tab w:val="num" w:pos="2160"/>
        </w:tabs>
        <w:ind w:left="2160" w:hanging="360"/>
      </w:pPr>
      <w:rPr>
        <w:rFonts w:ascii="Verdana" w:hAnsi="Verdana" w:hint="default"/>
        <w:b w:val="0"/>
        <w:i w:val="0"/>
        <w:sz w:val="24"/>
        <w:szCs w:val="24"/>
      </w:rPr>
    </w:lvl>
    <w:lvl w:ilvl="6">
      <w:start w:val="1"/>
      <w:numFmt w:val="decimal"/>
      <w:lvlText w:val="(%7.)"/>
      <w:lvlJc w:val="left"/>
      <w:pPr>
        <w:tabs>
          <w:tab w:val="num" w:pos="2520"/>
        </w:tabs>
        <w:ind w:left="2520" w:hanging="360"/>
      </w:pPr>
      <w:rPr>
        <w:rFonts w:ascii="Verdana" w:hAnsi="Verdana" w:hint="default"/>
        <w:b w:val="0"/>
        <w:i w:val="0"/>
        <w:sz w:val="24"/>
        <w:szCs w:val="24"/>
      </w:rPr>
    </w:lvl>
    <w:lvl w:ilvl="7">
      <w:start w:val="1"/>
      <w:numFmt w:val="lowerLetter"/>
      <w:lvlText w:val="(%8.)"/>
      <w:lvlJc w:val="left"/>
      <w:pPr>
        <w:tabs>
          <w:tab w:val="num" w:pos="2880"/>
        </w:tabs>
        <w:ind w:left="2880" w:hanging="360"/>
      </w:pPr>
      <w:rPr>
        <w:rFonts w:ascii="Verdana" w:hAnsi="Verdana" w:hint="default"/>
        <w:b w:val="0"/>
        <w:i w:val="0"/>
        <w:sz w:val="24"/>
        <w:szCs w:val="24"/>
      </w:rPr>
    </w:lvl>
    <w:lvl w:ilvl="8">
      <w:start w:val="1"/>
      <w:numFmt w:val="lowerRoman"/>
      <w:lvlText w:val="%9."/>
      <w:lvlJc w:val="left"/>
      <w:pPr>
        <w:tabs>
          <w:tab w:val="num" w:pos="3600"/>
        </w:tabs>
        <w:ind w:left="3240" w:hanging="360"/>
      </w:pPr>
      <w:rPr>
        <w:rFonts w:hint="default"/>
      </w:rPr>
    </w:lvl>
  </w:abstractNum>
  <w:abstractNum w:abstractNumId="8">
    <w:nsid w:val="27035A1A"/>
    <w:multiLevelType w:val="singleLevel"/>
    <w:tmpl w:val="0409000F"/>
    <w:lvl w:ilvl="0">
      <w:start w:val="1"/>
      <w:numFmt w:val="decimal"/>
      <w:lvlText w:val="%1."/>
      <w:lvlJc w:val="left"/>
      <w:pPr>
        <w:tabs>
          <w:tab w:val="num" w:pos="360"/>
        </w:tabs>
        <w:ind w:left="360" w:hanging="360"/>
      </w:pPr>
    </w:lvl>
  </w:abstractNum>
  <w:abstractNum w:abstractNumId="9">
    <w:nsid w:val="2E6641E2"/>
    <w:multiLevelType w:val="multilevel"/>
    <w:tmpl w:val="7DE07FD6"/>
    <w:lvl w:ilvl="0">
      <w:start w:val="1"/>
      <w:numFmt w:val="upperRoman"/>
      <w:lvlText w:val="%1."/>
      <w:lvlJc w:val="center"/>
      <w:pPr>
        <w:tabs>
          <w:tab w:val="num" w:pos="432"/>
        </w:tabs>
        <w:ind w:left="0" w:firstLine="72"/>
      </w:p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314F70F8"/>
    <w:multiLevelType w:val="singleLevel"/>
    <w:tmpl w:val="0409000F"/>
    <w:lvl w:ilvl="0">
      <w:start w:val="1"/>
      <w:numFmt w:val="decimal"/>
      <w:lvlText w:val="%1."/>
      <w:lvlJc w:val="left"/>
      <w:pPr>
        <w:tabs>
          <w:tab w:val="num" w:pos="360"/>
        </w:tabs>
        <w:ind w:left="360" w:hanging="360"/>
      </w:pPr>
    </w:lvl>
  </w:abstractNum>
  <w:abstractNum w:abstractNumId="11">
    <w:nsid w:val="385F5A27"/>
    <w:multiLevelType w:val="multilevel"/>
    <w:tmpl w:val="54E2BE46"/>
    <w:lvl w:ilvl="0">
      <w:start w:val="1"/>
      <w:numFmt w:val="upperRoman"/>
      <w:lvlText w:val="%1."/>
      <w:lvlJc w:val="left"/>
      <w:pPr>
        <w:tabs>
          <w:tab w:val="num" w:pos="792"/>
        </w:tabs>
        <w:ind w:left="792" w:hanging="79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5A7FD0"/>
    <w:multiLevelType w:val="multilevel"/>
    <w:tmpl w:val="D9EAA8C4"/>
    <w:lvl w:ilvl="0">
      <w:start w:val="1"/>
      <w:numFmt w:val="upperRoman"/>
      <w:lvlText w:val="%1."/>
      <w:lvlJc w:val="center"/>
      <w:pPr>
        <w:tabs>
          <w:tab w:val="num" w:pos="432"/>
        </w:tabs>
        <w:ind w:left="0" w:firstLine="7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B100CCD"/>
    <w:multiLevelType w:val="multilevel"/>
    <w:tmpl w:val="A7BA150E"/>
    <w:lvl w:ilvl="0">
      <w:start w:val="1"/>
      <w:numFmt w:val="upperRoman"/>
      <w:lvlText w:val="%1."/>
      <w:lvlJc w:val="right"/>
      <w:pPr>
        <w:tabs>
          <w:tab w:val="num" w:pos="432"/>
        </w:tabs>
        <w:ind w:left="432" w:hanging="144"/>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F46D05"/>
    <w:multiLevelType w:val="multilevel"/>
    <w:tmpl w:val="7E5AD226"/>
    <w:lvl w:ilvl="0">
      <w:start w:val="1"/>
      <w:numFmt w:val="upperRoman"/>
      <w:lvlText w:val="%1."/>
      <w:lvlJc w:val="center"/>
      <w:pPr>
        <w:tabs>
          <w:tab w:val="num" w:pos="432"/>
        </w:tabs>
        <w:ind w:left="0" w:firstLine="7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51520575"/>
    <w:multiLevelType w:val="multilevel"/>
    <w:tmpl w:val="21C4D32E"/>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5414565C"/>
    <w:multiLevelType w:val="multilevel"/>
    <w:tmpl w:val="924A998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58B56090"/>
    <w:multiLevelType w:val="hybridMultilevel"/>
    <w:tmpl w:val="5ECC1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A4438AC"/>
    <w:multiLevelType w:val="hybridMultilevel"/>
    <w:tmpl w:val="C4487E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BBB6AF9"/>
    <w:multiLevelType w:val="multilevel"/>
    <w:tmpl w:val="824AF44A"/>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7D637CD"/>
    <w:multiLevelType w:val="singleLevel"/>
    <w:tmpl w:val="0409000F"/>
    <w:lvl w:ilvl="0">
      <w:start w:val="1"/>
      <w:numFmt w:val="decimal"/>
      <w:lvlText w:val="%1."/>
      <w:lvlJc w:val="left"/>
      <w:pPr>
        <w:tabs>
          <w:tab w:val="num" w:pos="360"/>
        </w:tabs>
        <w:ind w:left="360" w:hanging="360"/>
      </w:pPr>
    </w:lvl>
  </w:abstractNum>
  <w:abstractNum w:abstractNumId="21">
    <w:nsid w:val="68862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5F7C2B"/>
    <w:multiLevelType w:val="multilevel"/>
    <w:tmpl w:val="513CC28E"/>
    <w:lvl w:ilvl="0">
      <w:start w:val="1"/>
      <w:numFmt w:val="upperRoman"/>
      <w:lvlText w:val="%1."/>
      <w:lvlJc w:val="left"/>
      <w:pPr>
        <w:tabs>
          <w:tab w:val="num" w:pos="792"/>
        </w:tabs>
        <w:ind w:left="792" w:hanging="79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06771AF"/>
    <w:multiLevelType w:val="singleLevel"/>
    <w:tmpl w:val="00228A30"/>
    <w:lvl w:ilvl="0">
      <w:start w:val="1"/>
      <w:numFmt w:val="decimal"/>
      <w:lvlText w:val="%1."/>
      <w:lvlJc w:val="left"/>
      <w:pPr>
        <w:tabs>
          <w:tab w:val="num" w:pos="360"/>
        </w:tabs>
        <w:ind w:left="360" w:hanging="360"/>
      </w:pPr>
    </w:lvl>
  </w:abstractNum>
  <w:abstractNum w:abstractNumId="24">
    <w:nsid w:val="70BA59D4"/>
    <w:multiLevelType w:val="multilevel"/>
    <w:tmpl w:val="5ECC13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74D01339"/>
    <w:multiLevelType w:val="multilevel"/>
    <w:tmpl w:val="5BD8D6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C81EA8"/>
    <w:multiLevelType w:val="hybridMultilevel"/>
    <w:tmpl w:val="924A99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909184B"/>
    <w:multiLevelType w:val="singleLevel"/>
    <w:tmpl w:val="0409000F"/>
    <w:lvl w:ilvl="0">
      <w:start w:val="1"/>
      <w:numFmt w:val="decimal"/>
      <w:lvlText w:val="%1."/>
      <w:lvlJc w:val="left"/>
      <w:pPr>
        <w:tabs>
          <w:tab w:val="num" w:pos="360"/>
        </w:tabs>
        <w:ind w:left="360" w:hanging="360"/>
      </w:pPr>
    </w:lvl>
  </w:abstractNum>
  <w:abstractNum w:abstractNumId="28">
    <w:nsid w:val="7E5B3ECD"/>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25"/>
  </w:num>
  <w:num w:numId="3">
    <w:abstractNumId w:val="8"/>
  </w:num>
  <w:num w:numId="4">
    <w:abstractNumId w:val="13"/>
  </w:num>
  <w:num w:numId="5">
    <w:abstractNumId w:val="13"/>
  </w:num>
  <w:num w:numId="6">
    <w:abstractNumId w:val="6"/>
  </w:num>
  <w:num w:numId="7">
    <w:abstractNumId w:val="21"/>
  </w:num>
  <w:num w:numId="8">
    <w:abstractNumId w:val="22"/>
  </w:num>
  <w:num w:numId="9">
    <w:abstractNumId w:val="23"/>
  </w:num>
  <w:num w:numId="10">
    <w:abstractNumId w:val="0"/>
  </w:num>
  <w:num w:numId="11">
    <w:abstractNumId w:val="22"/>
  </w:num>
  <w:num w:numId="12">
    <w:abstractNumId w:val="14"/>
  </w:num>
  <w:num w:numId="13">
    <w:abstractNumId w:val="20"/>
  </w:num>
  <w:num w:numId="14">
    <w:abstractNumId w:val="28"/>
  </w:num>
  <w:num w:numId="15">
    <w:abstractNumId w:val="27"/>
  </w:num>
  <w:num w:numId="16">
    <w:abstractNumId w:val="2"/>
  </w:num>
  <w:num w:numId="17">
    <w:abstractNumId w:val="5"/>
  </w:num>
  <w:num w:numId="18">
    <w:abstractNumId w:val="3"/>
  </w:num>
  <w:num w:numId="19">
    <w:abstractNumId w:val="10"/>
  </w:num>
  <w:num w:numId="20">
    <w:abstractNumId w:val="12"/>
  </w:num>
  <w:num w:numId="21">
    <w:abstractNumId w:val="7"/>
  </w:num>
  <w:num w:numId="22">
    <w:abstractNumId w:val="7"/>
  </w:num>
  <w:num w:numId="23">
    <w:abstractNumId w:val="7"/>
  </w:num>
  <w:num w:numId="24">
    <w:abstractNumId w:val="7"/>
  </w:num>
  <w:num w:numId="25">
    <w:abstractNumId w:val="7"/>
  </w:num>
  <w:num w:numId="26">
    <w:abstractNumId w:val="4"/>
  </w:num>
  <w:num w:numId="27">
    <w:abstractNumId w:val="7"/>
  </w:num>
  <w:num w:numId="28">
    <w:abstractNumId w:val="26"/>
  </w:num>
  <w:num w:numId="29">
    <w:abstractNumId w:val="16"/>
  </w:num>
  <w:num w:numId="30">
    <w:abstractNumId w:val="17"/>
  </w:num>
  <w:num w:numId="31">
    <w:abstractNumId w:val="24"/>
  </w:num>
  <w:num w:numId="32">
    <w:abstractNumId w:val="18"/>
  </w:num>
  <w:num w:numId="33">
    <w:abstractNumId w:val="9"/>
  </w:num>
  <w:num w:numId="34">
    <w:abstractNumId w:val="7"/>
  </w:num>
  <w:num w:numId="35">
    <w:abstractNumId w:val="19"/>
  </w:num>
  <w:num w:numId="36">
    <w:abstractNumId w:val="1"/>
  </w:num>
  <w:num w:numId="37">
    <w:abstractNumId w:val="15"/>
  </w:num>
  <w:num w:numId="38">
    <w:abstractNumId w:val="7"/>
  </w:num>
  <w:num w:numId="39">
    <w:abstractNumId w:val="7"/>
  </w:num>
  <w:num w:numId="40">
    <w:abstractNumId w:val="7"/>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806BA1"/>
    <w:rsid w:val="0003473A"/>
    <w:rsid w:val="00056228"/>
    <w:rsid w:val="00057BE8"/>
    <w:rsid w:val="0006022A"/>
    <w:rsid w:val="000B2BE6"/>
    <w:rsid w:val="000C7D30"/>
    <w:rsid w:val="000D40B2"/>
    <w:rsid w:val="000F5C03"/>
    <w:rsid w:val="000F7045"/>
    <w:rsid w:val="001025AD"/>
    <w:rsid w:val="0012407B"/>
    <w:rsid w:val="001313CE"/>
    <w:rsid w:val="001B70A5"/>
    <w:rsid w:val="001C3F1F"/>
    <w:rsid w:val="001D628A"/>
    <w:rsid w:val="00243726"/>
    <w:rsid w:val="002651AF"/>
    <w:rsid w:val="002B34E5"/>
    <w:rsid w:val="002B6FBE"/>
    <w:rsid w:val="0031058A"/>
    <w:rsid w:val="00313E5B"/>
    <w:rsid w:val="0033212B"/>
    <w:rsid w:val="003407B2"/>
    <w:rsid w:val="003423CB"/>
    <w:rsid w:val="00344D05"/>
    <w:rsid w:val="003925AD"/>
    <w:rsid w:val="003A4074"/>
    <w:rsid w:val="003A58C4"/>
    <w:rsid w:val="003C5EB8"/>
    <w:rsid w:val="003D4F7E"/>
    <w:rsid w:val="003D7B89"/>
    <w:rsid w:val="003E3785"/>
    <w:rsid w:val="00415B54"/>
    <w:rsid w:val="00422519"/>
    <w:rsid w:val="00433B0E"/>
    <w:rsid w:val="00437120"/>
    <w:rsid w:val="00441F02"/>
    <w:rsid w:val="0049726F"/>
    <w:rsid w:val="004E6524"/>
    <w:rsid w:val="004F11B0"/>
    <w:rsid w:val="005050D8"/>
    <w:rsid w:val="005432B5"/>
    <w:rsid w:val="0055165E"/>
    <w:rsid w:val="00556442"/>
    <w:rsid w:val="0055684E"/>
    <w:rsid w:val="005621DC"/>
    <w:rsid w:val="00590BD4"/>
    <w:rsid w:val="0059191D"/>
    <w:rsid w:val="005C4770"/>
    <w:rsid w:val="00624FFC"/>
    <w:rsid w:val="0066654C"/>
    <w:rsid w:val="00676471"/>
    <w:rsid w:val="00691109"/>
    <w:rsid w:val="006A2D0B"/>
    <w:rsid w:val="006A7975"/>
    <w:rsid w:val="006C7D07"/>
    <w:rsid w:val="007513DC"/>
    <w:rsid w:val="00767638"/>
    <w:rsid w:val="00774D13"/>
    <w:rsid w:val="007D5668"/>
    <w:rsid w:val="007F2416"/>
    <w:rsid w:val="007F77D0"/>
    <w:rsid w:val="00806BA1"/>
    <w:rsid w:val="00832267"/>
    <w:rsid w:val="008451ED"/>
    <w:rsid w:val="0085083C"/>
    <w:rsid w:val="008631A5"/>
    <w:rsid w:val="00880CA0"/>
    <w:rsid w:val="008D4C5F"/>
    <w:rsid w:val="00904DB0"/>
    <w:rsid w:val="00910FB0"/>
    <w:rsid w:val="009330F0"/>
    <w:rsid w:val="009731B7"/>
    <w:rsid w:val="009A2049"/>
    <w:rsid w:val="009B77DB"/>
    <w:rsid w:val="009C0E31"/>
    <w:rsid w:val="009D18F3"/>
    <w:rsid w:val="009D5E0E"/>
    <w:rsid w:val="009E6642"/>
    <w:rsid w:val="00A32483"/>
    <w:rsid w:val="00A41AB2"/>
    <w:rsid w:val="00A454AA"/>
    <w:rsid w:val="00A56FF7"/>
    <w:rsid w:val="00A7242F"/>
    <w:rsid w:val="00A94A2B"/>
    <w:rsid w:val="00AB0715"/>
    <w:rsid w:val="00AB6757"/>
    <w:rsid w:val="00AC7E89"/>
    <w:rsid w:val="00B457A4"/>
    <w:rsid w:val="00BC1812"/>
    <w:rsid w:val="00BC48EA"/>
    <w:rsid w:val="00C42677"/>
    <w:rsid w:val="00C454AD"/>
    <w:rsid w:val="00CE3AAA"/>
    <w:rsid w:val="00CF6FDF"/>
    <w:rsid w:val="00D16656"/>
    <w:rsid w:val="00D2347D"/>
    <w:rsid w:val="00D37C4A"/>
    <w:rsid w:val="00D60099"/>
    <w:rsid w:val="00D776D9"/>
    <w:rsid w:val="00D80F30"/>
    <w:rsid w:val="00D869F7"/>
    <w:rsid w:val="00DA103B"/>
    <w:rsid w:val="00DA7A7D"/>
    <w:rsid w:val="00DF33F5"/>
    <w:rsid w:val="00E02B31"/>
    <w:rsid w:val="00E149CD"/>
    <w:rsid w:val="00E1707E"/>
    <w:rsid w:val="00E349A7"/>
    <w:rsid w:val="00E362CD"/>
    <w:rsid w:val="00E742E3"/>
    <w:rsid w:val="00E8185B"/>
    <w:rsid w:val="00EA431D"/>
    <w:rsid w:val="00ED554F"/>
    <w:rsid w:val="00F26531"/>
    <w:rsid w:val="00F27275"/>
    <w:rsid w:val="00FB1490"/>
    <w:rsid w:val="00FB2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2E3"/>
    <w:rPr>
      <w:rFonts w:ascii="Verdana" w:hAnsi="Verdana"/>
      <w:sz w:val="24"/>
      <w:szCs w:val="24"/>
    </w:rPr>
  </w:style>
  <w:style w:type="paragraph" w:styleId="Heading1">
    <w:name w:val="heading 1"/>
    <w:basedOn w:val="Normal"/>
    <w:next w:val="Normal"/>
    <w:qFormat/>
    <w:rsid w:val="00E742E3"/>
    <w:pPr>
      <w:keepNext/>
      <w:numPr>
        <w:numId w:val="21"/>
      </w:numPr>
      <w:spacing w:before="240" w:after="60"/>
      <w:outlineLvl w:val="0"/>
    </w:pPr>
    <w:rPr>
      <w:b/>
      <w:kern w:val="28"/>
    </w:rPr>
  </w:style>
  <w:style w:type="paragraph" w:styleId="Heading2">
    <w:name w:val="heading 2"/>
    <w:basedOn w:val="Normal"/>
    <w:next w:val="Normal"/>
    <w:qFormat/>
    <w:rsid w:val="00E742E3"/>
    <w:pPr>
      <w:keepNext/>
      <w:numPr>
        <w:ilvl w:val="1"/>
        <w:numId w:val="21"/>
      </w:numPr>
      <w:outlineLvl w:val="1"/>
    </w:pPr>
  </w:style>
  <w:style w:type="paragraph" w:styleId="Heading4">
    <w:name w:val="heading 4"/>
    <w:basedOn w:val="Normal"/>
    <w:next w:val="Normal"/>
    <w:qFormat/>
    <w:rsid w:val="00C4267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2E3"/>
    <w:pPr>
      <w:tabs>
        <w:tab w:val="center" w:pos="4320"/>
        <w:tab w:val="right" w:pos="8640"/>
      </w:tabs>
    </w:pPr>
  </w:style>
  <w:style w:type="paragraph" w:styleId="Footer">
    <w:name w:val="footer"/>
    <w:basedOn w:val="Normal"/>
    <w:rsid w:val="00E742E3"/>
    <w:pPr>
      <w:tabs>
        <w:tab w:val="center" w:pos="4320"/>
        <w:tab w:val="right" w:pos="8640"/>
      </w:tabs>
    </w:pPr>
  </w:style>
  <w:style w:type="paragraph" w:styleId="BalloonText">
    <w:name w:val="Balloon Text"/>
    <w:basedOn w:val="Normal"/>
    <w:semiHidden/>
    <w:rsid w:val="00FB1490"/>
    <w:rPr>
      <w:rFonts w:ascii="Tahoma" w:hAnsi="Tahoma" w:cs="Tahoma"/>
      <w:sz w:val="16"/>
      <w:szCs w:val="16"/>
    </w:rPr>
  </w:style>
  <w:style w:type="paragraph" w:styleId="BodyText">
    <w:name w:val="Body Text"/>
    <w:basedOn w:val="Normal"/>
    <w:link w:val="BodyTextChar"/>
    <w:rsid w:val="0012407B"/>
    <w:rPr>
      <w:rFonts w:ascii="Times New Roman" w:hAnsi="Times New Roman"/>
      <w:szCs w:val="20"/>
    </w:rPr>
  </w:style>
  <w:style w:type="character" w:customStyle="1" w:styleId="BodyTextChar">
    <w:name w:val="Body Text Char"/>
    <w:basedOn w:val="DefaultParagraphFont"/>
    <w:link w:val="BodyText"/>
    <w:rsid w:val="0012407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soffice\template\PCS%20P&am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EE7E-CEC0-4AF1-AF24-241C7271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PCS P&amp;P</Template>
  <TotalTime>1</TotalTime>
  <Pages>2</Pages>
  <Words>568</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MHS P&amp;P Template</vt:lpstr>
    </vt:vector>
  </TitlesOfParts>
  <Company>MultiCare Health System</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P&amp;P Template</dc:title>
  <dc:creator>MHS P&amp;P COMMITTEE</dc:creator>
  <cp:lastModifiedBy>clgood</cp:lastModifiedBy>
  <cp:revision>2</cp:revision>
  <cp:lastPrinted>2013-01-18T20:00:00Z</cp:lastPrinted>
  <dcterms:created xsi:type="dcterms:W3CDTF">2014-05-05T20:49:00Z</dcterms:created>
  <dcterms:modified xsi:type="dcterms:W3CDTF">2014-05-05T20:49:00Z</dcterms:modified>
</cp:coreProperties>
</file>