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3420"/>
        <w:gridCol w:w="3240"/>
      </w:tblGrid>
      <w:tr w:rsidR="00B65B33" w:rsidTr="00B65B33">
        <w:trPr>
          <w:trHeight w:val="1770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65B33" w:rsidRDefault="00B65B3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St. Anthony</w:t>
            </w:r>
          </w:p>
          <w:p w:rsidR="00B65B33" w:rsidRDefault="00B65B3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32"/>
                    <w:szCs w:val="32"/>
                  </w:rPr>
                  <w:t>Regional</w:t>
                </w:r>
              </w:smartTag>
              <w:r>
                <w:rPr>
                  <w:b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32"/>
                    <w:szCs w:val="32"/>
                  </w:rPr>
                  <w:t>Hospital</w:t>
                </w:r>
              </w:smartTag>
            </w:smartTag>
          </w:p>
          <w:p w:rsidR="00B65B33" w:rsidRDefault="00B65B3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B65B33" w:rsidRDefault="00B65B3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B65B33" w:rsidRDefault="00B65B33">
            <w:pPr>
              <w:spacing w:line="276" w:lineRule="auto"/>
              <w:jc w:val="center"/>
            </w:pPr>
            <w:r>
              <w:t>POLICY/PROCEDURE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B33" w:rsidRDefault="00B65B33">
            <w:pPr>
              <w:spacing w:line="276" w:lineRule="auto"/>
            </w:pPr>
            <w:r>
              <w:t>Effective Date:</w:t>
            </w:r>
          </w:p>
          <w:p w:rsidR="00B65B33" w:rsidRDefault="00B65B33">
            <w:pPr>
              <w:spacing w:line="276" w:lineRule="auto"/>
            </w:pPr>
          </w:p>
          <w:p w:rsidR="00B65B33" w:rsidRDefault="00B65B33">
            <w:pPr>
              <w:spacing w:line="276" w:lineRule="auto"/>
            </w:pPr>
          </w:p>
          <w:p w:rsidR="00B65B33" w:rsidRDefault="00B65B33">
            <w:pPr>
              <w:spacing w:line="276" w:lineRule="auto"/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65B33" w:rsidRDefault="00B65B33">
            <w:pPr>
              <w:spacing w:line="276" w:lineRule="auto"/>
            </w:pPr>
            <w:r>
              <w:t>Latest Revised Date:</w:t>
            </w:r>
          </w:p>
          <w:p w:rsidR="00B65B33" w:rsidRDefault="00B65B33">
            <w:pPr>
              <w:spacing w:line="276" w:lineRule="auto"/>
            </w:pPr>
          </w:p>
          <w:p w:rsidR="00B65B33" w:rsidRDefault="00B65B33">
            <w:pPr>
              <w:spacing w:line="276" w:lineRule="auto"/>
            </w:pPr>
            <w:r>
              <w:t>Reviewed Date:</w:t>
            </w:r>
          </w:p>
        </w:tc>
      </w:tr>
      <w:tr w:rsidR="00B65B33" w:rsidTr="00B65B33">
        <w:trPr>
          <w:trHeight w:val="525"/>
        </w:trPr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65B33" w:rsidRDefault="00B65B33">
            <w:pPr>
              <w:spacing w:line="276" w:lineRule="auto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B33" w:rsidRDefault="00B65B33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65B33" w:rsidRDefault="00B65B33"/>
        </w:tc>
      </w:tr>
      <w:tr w:rsidR="00B65B33" w:rsidTr="00B65B33">
        <w:trPr>
          <w:trHeight w:val="525"/>
        </w:trPr>
        <w:tc>
          <w:tcPr>
            <w:tcW w:w="684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65B33" w:rsidRDefault="00B65B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  BACK-UP PROCEDURE FOR THE</w:t>
            </w:r>
          </w:p>
          <w:p w:rsidR="00B65B33" w:rsidRDefault="00B65B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XE-2100 ANALYZER</w:t>
            </w:r>
          </w:p>
          <w:p w:rsidR="00B65B33" w:rsidRDefault="00B65B33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5B33" w:rsidRDefault="00B65B33">
            <w:pPr>
              <w:spacing w:line="276" w:lineRule="auto"/>
            </w:pPr>
            <w:r>
              <w:t>Department: Laboratory</w:t>
            </w:r>
          </w:p>
        </w:tc>
      </w:tr>
    </w:tbl>
    <w:p w:rsidR="007D3AD8" w:rsidRDefault="007D3AD8"/>
    <w:p w:rsidR="00B65B33" w:rsidRPr="00B65B33" w:rsidRDefault="00B65B33">
      <w:pPr>
        <w:rPr>
          <w:b/>
        </w:rPr>
      </w:pPr>
      <w:r w:rsidRPr="00B65B33">
        <w:rPr>
          <w:b/>
        </w:rPr>
        <w:t>Principle:</w:t>
      </w:r>
    </w:p>
    <w:p w:rsidR="00B65B33" w:rsidRDefault="00B65B33"/>
    <w:p w:rsidR="00B65B33" w:rsidRDefault="00B65B33">
      <w:r>
        <w:t xml:space="preserve">In the event that the XE-2100 is not </w:t>
      </w:r>
      <w:r w:rsidR="006A1805">
        <w:t>working -</w:t>
      </w:r>
      <w:r>
        <w:t xml:space="preserve"> the following procedure will be followed to perform a Complete Blood Count or any part of a CBC.</w:t>
      </w:r>
    </w:p>
    <w:p w:rsidR="00B65B33" w:rsidRDefault="00B65B33"/>
    <w:p w:rsidR="00B65B33" w:rsidRPr="00B65B33" w:rsidRDefault="00B65B33">
      <w:pPr>
        <w:rPr>
          <w:b/>
        </w:rPr>
      </w:pPr>
      <w:r w:rsidRPr="00B65B33">
        <w:rPr>
          <w:b/>
        </w:rPr>
        <w:t>Procedure:</w:t>
      </w:r>
    </w:p>
    <w:p w:rsidR="00B65B33" w:rsidRDefault="00B65B33"/>
    <w:p w:rsidR="00B65B33" w:rsidRDefault="00B65B33">
      <w:r>
        <w:t xml:space="preserve">Contact the McFarland Clinic Laboratory and </w:t>
      </w:r>
      <w:r w:rsidR="004D2F54">
        <w:t xml:space="preserve"> </w:t>
      </w:r>
      <w:r>
        <w:t xml:space="preserve">inform them that out Hematology analyzer is not working and ask if we may bring them STAT and Urgent samples.  (Consent for this was last given on 8/24/2012).  McFarland’s hours are 8 A.M. to 5 P.M. Monday through Friday.  Saturday’s hours are 8 A.M. to 12:00 P.M.  Make two blood smears from any given sample before sending it to the McFarland </w:t>
      </w:r>
      <w:r w:rsidR="004D2F54">
        <w:t>L</w:t>
      </w:r>
      <w:r>
        <w:t>aboratory.</w:t>
      </w:r>
      <w:r w:rsidR="004D2F54">
        <w:t xml:space="preserve">  Someone from  the SARH Laboratory will deliver them to McFarland, wait for the results and bring them back to the SARH Lab.  The results will then be transcribed to Meditech.</w:t>
      </w:r>
    </w:p>
    <w:p w:rsidR="00F52033" w:rsidRDefault="00F52033"/>
    <w:p w:rsidR="00F52033" w:rsidRDefault="00F52033">
      <w:r>
        <w:t>Routine specimens will be done at the discretion of the Laboratory Manager.</w:t>
      </w:r>
    </w:p>
    <w:p w:rsidR="00B65B33" w:rsidRDefault="00B65B33"/>
    <w:p w:rsidR="00B65B33" w:rsidRDefault="00B65B33">
      <w:r>
        <w:t>When the McF</w:t>
      </w:r>
      <w:r w:rsidR="004D2F54">
        <w:t>arland  Clinic is not available these manual procedures can be used:</w:t>
      </w:r>
    </w:p>
    <w:p w:rsidR="00B65B33" w:rsidRDefault="00B65B33"/>
    <w:p w:rsidR="00B65B33" w:rsidRDefault="00B65B33">
      <w:r>
        <w:rPr>
          <w:u w:val="single"/>
        </w:rPr>
        <w:t>Note:</w:t>
      </w:r>
      <w:r w:rsidRPr="002E068E">
        <w:t xml:space="preserve">  Before starting any manual procedures a manual WBC control must be run</w:t>
      </w:r>
      <w:r w:rsidR="002E068E" w:rsidRPr="002E068E">
        <w:t xml:space="preserve"> </w:t>
      </w:r>
      <w:r w:rsidR="002E068E">
        <w:t>and be accept</w:t>
      </w:r>
      <w:r w:rsidR="00C71EA1">
        <w:t>able.</w:t>
      </w:r>
      <w:r w:rsidR="00421CCA">
        <w:t xml:space="preserve">  This must be done every 8 hours.</w:t>
      </w:r>
      <w:r w:rsidR="00C71EA1">
        <w:t xml:space="preserve">  In addition –</w:t>
      </w:r>
      <w:r w:rsidR="00B37919">
        <w:t xml:space="preserve"> </w:t>
      </w:r>
      <w:r w:rsidR="00C71EA1">
        <w:t xml:space="preserve">i-STAT CHEM8+  Level 1 and i-STAT CHEM8+ Level 3 </w:t>
      </w:r>
      <w:r w:rsidR="001838D2">
        <w:t xml:space="preserve">must be run and  be acceptable.  </w:t>
      </w:r>
      <w:r w:rsidR="00421CCA">
        <w:t>These are done at 24-hour intervals.</w:t>
      </w:r>
    </w:p>
    <w:p w:rsidR="00357E82" w:rsidRDefault="00357E82">
      <w:r>
        <w:t>Enter the control results in Meditech.</w:t>
      </w:r>
    </w:p>
    <w:p w:rsidR="00357E82" w:rsidRDefault="00357E82"/>
    <w:p w:rsidR="00357E82" w:rsidRDefault="00357E82"/>
    <w:p w:rsidR="004D2F54" w:rsidRDefault="004D2F54"/>
    <w:p w:rsidR="004D2F54" w:rsidRDefault="004D2F54" w:rsidP="004D2F54">
      <w:pPr>
        <w:pStyle w:val="ListParagraph"/>
        <w:numPr>
          <w:ilvl w:val="0"/>
          <w:numId w:val="1"/>
        </w:numPr>
      </w:pPr>
      <w:r>
        <w:t>Use the i-STAT with a CHEM8+ cartridge to analyze a Hemoglobin and a Hemato</w:t>
      </w:r>
      <w:r w:rsidR="00DF4106">
        <w:t xml:space="preserve">crit..Use an unspun lithium heparin </w:t>
      </w:r>
      <w:r>
        <w:t>tube.</w:t>
      </w:r>
      <w:r w:rsidR="00E3308C">
        <w:t xml:space="preserve">  Do NOT use EDTA anticoagulated blood as EDTA interferes with the electrolyte measurements.  These are used in the calculation of the hematocrit results.</w:t>
      </w:r>
    </w:p>
    <w:p w:rsidR="00E3308C" w:rsidRDefault="00E3308C" w:rsidP="00E3308C"/>
    <w:p w:rsidR="00E3308C" w:rsidRDefault="00E3308C" w:rsidP="004D2F54">
      <w:pPr>
        <w:pStyle w:val="ListParagraph"/>
        <w:numPr>
          <w:ilvl w:val="0"/>
          <w:numId w:val="1"/>
        </w:numPr>
      </w:pPr>
      <w:r>
        <w:t>Perform a manual WBC.  See the procedure in this manual.</w:t>
      </w:r>
    </w:p>
    <w:p w:rsidR="00E3308C" w:rsidRDefault="00E3308C" w:rsidP="00E3308C">
      <w:pPr>
        <w:pStyle w:val="ListParagraph"/>
      </w:pPr>
    </w:p>
    <w:p w:rsidR="00E3308C" w:rsidRDefault="00E3308C" w:rsidP="00E3308C"/>
    <w:p w:rsidR="00E3308C" w:rsidRDefault="00E3308C" w:rsidP="004D2F54">
      <w:pPr>
        <w:pStyle w:val="ListParagraph"/>
        <w:numPr>
          <w:ilvl w:val="0"/>
          <w:numId w:val="1"/>
        </w:numPr>
      </w:pPr>
      <w:r>
        <w:lastRenderedPageBreak/>
        <w:t>Stain a blood smear and do a platelet estimate.  See the procedure in this manual.</w:t>
      </w:r>
    </w:p>
    <w:p w:rsidR="00F24360" w:rsidRDefault="00F24360" w:rsidP="00F24360"/>
    <w:p w:rsidR="00F24360" w:rsidRDefault="00F24360" w:rsidP="00F24360"/>
    <w:p w:rsidR="00B4033B" w:rsidRDefault="008515BD" w:rsidP="00B4033B">
      <w:pPr>
        <w:pStyle w:val="ListParagraph"/>
        <w:numPr>
          <w:ilvl w:val="0"/>
          <w:numId w:val="1"/>
        </w:numPr>
      </w:pPr>
      <w:r>
        <w:t>If a CBC has been ordered d</w:t>
      </w:r>
      <w:r w:rsidR="00F24360">
        <w:t>o a manual differential and enter the results in Meditech.</w:t>
      </w:r>
    </w:p>
    <w:p w:rsidR="008515BD" w:rsidRDefault="008515BD" w:rsidP="008515BD"/>
    <w:p w:rsidR="00B4033B" w:rsidRDefault="00B4033B" w:rsidP="00B4033B">
      <w:pPr>
        <w:ind w:firstLine="720"/>
      </w:pPr>
    </w:p>
    <w:p w:rsidR="00B4033B" w:rsidRDefault="00B4033B" w:rsidP="00B4033B">
      <w:pPr>
        <w:pStyle w:val="ListParagraph"/>
        <w:numPr>
          <w:ilvl w:val="0"/>
          <w:numId w:val="1"/>
        </w:numPr>
      </w:pPr>
      <w:r>
        <w:t>Enter  the WBC, Hgb, Hct and platelet estimate in Meditech</w:t>
      </w:r>
      <w:r w:rsidR="00F52033">
        <w:t>.  You will need to NP</w:t>
      </w:r>
      <w:r>
        <w:t xml:space="preserve"> the remaining results.  Change the metho</w:t>
      </w:r>
      <w:r w:rsidR="00FC0DD6">
        <w:t>d</w:t>
      </w:r>
      <w:r>
        <w:t xml:space="preserve">s to manual.  </w:t>
      </w:r>
      <w:r>
        <w:tab/>
      </w:r>
    </w:p>
    <w:p w:rsidR="00F24360" w:rsidRDefault="00F24360" w:rsidP="00F24360">
      <w:pPr>
        <w:pStyle w:val="ListParagraph"/>
      </w:pPr>
    </w:p>
    <w:p w:rsidR="00F24360" w:rsidRDefault="00F24360" w:rsidP="00F24360">
      <w:pPr>
        <w:ind w:left="1080"/>
      </w:pPr>
      <w:r>
        <w:t>This report is the final report.</w:t>
      </w:r>
      <w:r w:rsidR="00F52033">
        <w:t xml:space="preserve">  The samples will not be reran when the analyzer is back in working order to verify the results.</w:t>
      </w:r>
    </w:p>
    <w:p w:rsidR="00F52033" w:rsidRDefault="00F52033" w:rsidP="00F24360">
      <w:pPr>
        <w:ind w:left="1080"/>
      </w:pPr>
    </w:p>
    <w:p w:rsidR="00F52033" w:rsidRDefault="00F52033" w:rsidP="00F24360">
      <w:pPr>
        <w:ind w:left="1080"/>
      </w:pPr>
    </w:p>
    <w:p w:rsidR="00B4033B" w:rsidRDefault="00B4033B" w:rsidP="00B4033B"/>
    <w:p w:rsidR="00B4033B" w:rsidRDefault="00B4033B" w:rsidP="00B4033B"/>
    <w:p w:rsidR="00B65B33" w:rsidRDefault="00B65B33" w:rsidP="00F24360">
      <w:pPr>
        <w:ind w:left="1080"/>
      </w:pPr>
    </w:p>
    <w:sectPr w:rsidR="00B65B33" w:rsidSect="007D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B3F77"/>
    <w:multiLevelType w:val="hybridMultilevel"/>
    <w:tmpl w:val="10D298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65B33"/>
    <w:rsid w:val="00024DAE"/>
    <w:rsid w:val="00055FA1"/>
    <w:rsid w:val="00094D9B"/>
    <w:rsid w:val="001838D2"/>
    <w:rsid w:val="002E068E"/>
    <w:rsid w:val="00357E82"/>
    <w:rsid w:val="00421CCA"/>
    <w:rsid w:val="00465364"/>
    <w:rsid w:val="004D2F54"/>
    <w:rsid w:val="006434BD"/>
    <w:rsid w:val="0069728C"/>
    <w:rsid w:val="006A1805"/>
    <w:rsid w:val="007D3AD8"/>
    <w:rsid w:val="008515BD"/>
    <w:rsid w:val="00995284"/>
    <w:rsid w:val="00B37919"/>
    <w:rsid w:val="00B4033B"/>
    <w:rsid w:val="00B65B33"/>
    <w:rsid w:val="00C71EA1"/>
    <w:rsid w:val="00DF4106"/>
    <w:rsid w:val="00E3308C"/>
    <w:rsid w:val="00F04E53"/>
    <w:rsid w:val="00F24360"/>
    <w:rsid w:val="00F30442"/>
    <w:rsid w:val="00F37141"/>
    <w:rsid w:val="00F52033"/>
    <w:rsid w:val="00FC0DD6"/>
    <w:rsid w:val="00FE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Anthony Regional Hospital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LAIrlbeck</dc:creator>
  <cp:lastModifiedBy>cmkocour</cp:lastModifiedBy>
  <cp:revision>2</cp:revision>
  <cp:lastPrinted>2013-01-25T12:12:00Z</cp:lastPrinted>
  <dcterms:created xsi:type="dcterms:W3CDTF">2013-01-25T13:55:00Z</dcterms:created>
  <dcterms:modified xsi:type="dcterms:W3CDTF">2013-01-25T13:55:00Z</dcterms:modified>
</cp:coreProperties>
</file>