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743"/>
        <w:gridCol w:w="927"/>
        <w:gridCol w:w="5410"/>
      </w:tblGrid>
      <w:tr w:rsidR="00676036" w:rsidRPr="00676036" w14:paraId="7CC440FF" w14:textId="77777777" w:rsidTr="00676036">
        <w:trPr>
          <w:cantSplit/>
          <w:trHeight w:val="829"/>
          <w:jc w:val="center"/>
        </w:trPr>
        <w:tc>
          <w:tcPr>
            <w:tcW w:w="3765" w:type="dxa"/>
            <w:vMerge w:val="restart"/>
          </w:tcPr>
          <w:p w14:paraId="22B75E51" w14:textId="77777777" w:rsidR="00676036" w:rsidRPr="00676036" w:rsidRDefault="00676036" w:rsidP="00676036">
            <w:pPr>
              <w:jc w:val="center"/>
              <w:rPr>
                <w:b/>
                <w:sz w:val="40"/>
                <w:szCs w:val="32"/>
              </w:rPr>
            </w:pPr>
            <w:r w:rsidRPr="00676036">
              <w:rPr>
                <w:b/>
                <w:sz w:val="40"/>
                <w:szCs w:val="32"/>
              </w:rPr>
              <w:t>St. Anthony</w:t>
            </w:r>
          </w:p>
          <w:p w14:paraId="6FAA14BA" w14:textId="77777777" w:rsidR="00676036" w:rsidRPr="00676036" w:rsidRDefault="00676036" w:rsidP="00676036">
            <w:pPr>
              <w:jc w:val="center"/>
              <w:rPr>
                <w:b/>
                <w:sz w:val="40"/>
                <w:szCs w:val="32"/>
              </w:rPr>
            </w:pPr>
            <w:smartTag w:uri="urn:schemas-microsoft-com:office:smarttags" w:element="place">
              <w:smartTag w:uri="urn:schemas-microsoft-com:office:smarttags" w:element="PlaceName">
                <w:r w:rsidRPr="00676036">
                  <w:rPr>
                    <w:b/>
                    <w:sz w:val="40"/>
                    <w:szCs w:val="32"/>
                  </w:rPr>
                  <w:t>Regional</w:t>
                </w:r>
              </w:smartTag>
              <w:r w:rsidRPr="00676036">
                <w:rPr>
                  <w:b/>
                  <w:sz w:val="40"/>
                  <w:szCs w:val="32"/>
                </w:rPr>
                <w:t xml:space="preserve"> </w:t>
              </w:r>
              <w:smartTag w:uri="urn:schemas-microsoft-com:office:smarttags" w:element="PlaceType">
                <w:r w:rsidRPr="00676036">
                  <w:rPr>
                    <w:b/>
                    <w:sz w:val="40"/>
                    <w:szCs w:val="32"/>
                  </w:rPr>
                  <w:t>Hospital</w:t>
                </w:r>
              </w:smartTag>
            </w:smartTag>
          </w:p>
          <w:p w14:paraId="6AEA1276" w14:textId="77777777" w:rsidR="00676036" w:rsidRPr="00676036" w:rsidRDefault="00676036" w:rsidP="00676036">
            <w:pPr>
              <w:rPr>
                <w:b/>
                <w:sz w:val="32"/>
                <w:szCs w:val="32"/>
              </w:rPr>
            </w:pPr>
          </w:p>
          <w:p w14:paraId="30D3327A" w14:textId="77777777" w:rsidR="00676036" w:rsidRPr="00676036" w:rsidRDefault="00676036" w:rsidP="00676036">
            <w:pPr>
              <w:jc w:val="center"/>
              <w:rPr>
                <w:szCs w:val="24"/>
              </w:rPr>
            </w:pPr>
            <w:r w:rsidRPr="00676036">
              <w:rPr>
                <w:szCs w:val="24"/>
              </w:rPr>
              <w:t>POLICY/PROCEDURE</w:t>
            </w:r>
          </w:p>
        </w:tc>
        <w:tc>
          <w:tcPr>
            <w:tcW w:w="810" w:type="dxa"/>
            <w:shd w:val="clear" w:color="auto" w:fill="D9D9D9"/>
            <w:vAlign w:val="center"/>
          </w:tcPr>
          <w:p w14:paraId="314444AB" w14:textId="77777777" w:rsidR="00676036" w:rsidRPr="00676036" w:rsidRDefault="00676036" w:rsidP="00676036">
            <w:pPr>
              <w:jc w:val="center"/>
              <w:rPr>
                <w:sz w:val="20"/>
                <w:szCs w:val="24"/>
              </w:rPr>
            </w:pPr>
            <w:r w:rsidRPr="00676036">
              <w:rPr>
                <w:sz w:val="20"/>
                <w:szCs w:val="24"/>
              </w:rPr>
              <w:t>Lab Director</w:t>
            </w:r>
          </w:p>
        </w:tc>
        <w:tc>
          <w:tcPr>
            <w:tcW w:w="5505" w:type="dxa"/>
            <w:shd w:val="clear" w:color="auto" w:fill="auto"/>
          </w:tcPr>
          <w:p w14:paraId="230B1F80" w14:textId="77777777" w:rsidR="00676036" w:rsidRPr="00676036" w:rsidRDefault="00676036" w:rsidP="00676036">
            <w:pPr>
              <w:rPr>
                <w:szCs w:val="24"/>
              </w:rPr>
            </w:pPr>
          </w:p>
        </w:tc>
      </w:tr>
      <w:tr w:rsidR="00676036" w:rsidRPr="00676036" w14:paraId="2291B8CE" w14:textId="77777777" w:rsidTr="00676036">
        <w:trPr>
          <w:cantSplit/>
          <w:trHeight w:val="829"/>
          <w:jc w:val="center"/>
        </w:trPr>
        <w:tc>
          <w:tcPr>
            <w:tcW w:w="3765" w:type="dxa"/>
            <w:vMerge/>
          </w:tcPr>
          <w:p w14:paraId="0FFE6C21" w14:textId="77777777" w:rsidR="00676036" w:rsidRPr="00676036" w:rsidRDefault="00676036" w:rsidP="00676036">
            <w:pPr>
              <w:jc w:val="center"/>
              <w:rPr>
                <w:b/>
                <w:sz w:val="40"/>
                <w:szCs w:val="32"/>
              </w:rPr>
            </w:pPr>
          </w:p>
        </w:tc>
        <w:tc>
          <w:tcPr>
            <w:tcW w:w="810" w:type="dxa"/>
            <w:shd w:val="clear" w:color="auto" w:fill="D9D9D9"/>
            <w:vAlign w:val="center"/>
          </w:tcPr>
          <w:p w14:paraId="2E86DA46" w14:textId="77777777" w:rsidR="00676036" w:rsidRPr="00676036" w:rsidRDefault="00676036" w:rsidP="00676036">
            <w:pPr>
              <w:jc w:val="center"/>
              <w:rPr>
                <w:sz w:val="20"/>
                <w:szCs w:val="24"/>
              </w:rPr>
            </w:pPr>
            <w:r w:rsidRPr="00676036">
              <w:rPr>
                <w:sz w:val="20"/>
                <w:szCs w:val="24"/>
              </w:rPr>
              <w:t>Lab Manager</w:t>
            </w:r>
          </w:p>
        </w:tc>
        <w:tc>
          <w:tcPr>
            <w:tcW w:w="5505" w:type="dxa"/>
            <w:shd w:val="clear" w:color="auto" w:fill="auto"/>
          </w:tcPr>
          <w:p w14:paraId="06707052" w14:textId="77777777" w:rsidR="00676036" w:rsidRPr="00676036" w:rsidRDefault="00676036" w:rsidP="00676036">
            <w:pPr>
              <w:rPr>
                <w:szCs w:val="24"/>
              </w:rPr>
            </w:pPr>
          </w:p>
        </w:tc>
      </w:tr>
      <w:tr w:rsidR="00676036" w:rsidRPr="00676036" w14:paraId="4D56FD27" w14:textId="77777777" w:rsidTr="00EA2549">
        <w:trPr>
          <w:trHeight w:val="525"/>
          <w:jc w:val="center"/>
        </w:trPr>
        <w:tc>
          <w:tcPr>
            <w:tcW w:w="3765" w:type="dxa"/>
            <w:vAlign w:val="center"/>
          </w:tcPr>
          <w:p w14:paraId="4B6B8775" w14:textId="77777777" w:rsidR="00676036" w:rsidRPr="00676036" w:rsidRDefault="00676036" w:rsidP="00676036">
            <w:pPr>
              <w:jc w:val="center"/>
              <w:rPr>
                <w:szCs w:val="24"/>
              </w:rPr>
            </w:pPr>
            <w:r w:rsidRPr="00676036">
              <w:rPr>
                <w:szCs w:val="24"/>
              </w:rPr>
              <w:t>Laboratory</w:t>
            </w:r>
          </w:p>
        </w:tc>
        <w:tc>
          <w:tcPr>
            <w:tcW w:w="6315" w:type="dxa"/>
            <w:gridSpan w:val="2"/>
            <w:shd w:val="clear" w:color="auto" w:fill="auto"/>
            <w:vAlign w:val="center"/>
          </w:tcPr>
          <w:p w14:paraId="77387E6C" w14:textId="77777777" w:rsidR="00676036" w:rsidRPr="00676036" w:rsidRDefault="00676036" w:rsidP="00676036">
            <w:pPr>
              <w:jc w:val="center"/>
              <w:rPr>
                <w:szCs w:val="24"/>
              </w:rPr>
            </w:pPr>
            <w:r w:rsidRPr="00676036">
              <w:rPr>
                <w:szCs w:val="24"/>
              </w:rPr>
              <w:t>Department: PCR</w:t>
            </w:r>
          </w:p>
        </w:tc>
      </w:tr>
      <w:tr w:rsidR="00676036" w:rsidRPr="00676036" w14:paraId="6F394C4A" w14:textId="77777777" w:rsidTr="00EA2549">
        <w:trPr>
          <w:trHeight w:val="525"/>
          <w:jc w:val="center"/>
        </w:trPr>
        <w:tc>
          <w:tcPr>
            <w:tcW w:w="10080" w:type="dxa"/>
            <w:gridSpan w:val="3"/>
            <w:vAlign w:val="center"/>
          </w:tcPr>
          <w:p w14:paraId="1D3AAE31" w14:textId="77777777" w:rsidR="00676036" w:rsidRPr="00676036" w:rsidRDefault="00676036" w:rsidP="00676036">
            <w:pPr>
              <w:rPr>
                <w:b/>
                <w:szCs w:val="24"/>
              </w:rPr>
            </w:pPr>
            <w:r w:rsidRPr="00676036">
              <w:rPr>
                <w:b/>
                <w:sz w:val="32"/>
                <w:szCs w:val="24"/>
              </w:rPr>
              <w:t xml:space="preserve">Title: </w:t>
            </w:r>
            <w:r w:rsidRPr="00676036">
              <w:rPr>
                <w:b/>
                <w:sz w:val="32"/>
                <w:szCs w:val="24"/>
              </w:rPr>
              <w:fldChar w:fldCharType="begin"/>
            </w:r>
            <w:r w:rsidRPr="00676036">
              <w:rPr>
                <w:b/>
                <w:sz w:val="32"/>
                <w:szCs w:val="24"/>
              </w:rPr>
              <w:instrText xml:space="preserve"> FILENAME  \* FirstCap  \* MERGEFORMAT </w:instrText>
            </w:r>
            <w:r w:rsidRPr="00676036">
              <w:rPr>
                <w:b/>
                <w:sz w:val="32"/>
                <w:szCs w:val="24"/>
              </w:rPr>
              <w:fldChar w:fldCharType="separate"/>
            </w:r>
            <w:r w:rsidR="006C0382">
              <w:rPr>
                <w:b/>
                <w:noProof/>
                <w:sz w:val="32"/>
                <w:szCs w:val="24"/>
              </w:rPr>
              <w:t>SOP.PCR.003 Cepheid Xpert GBS Assay 20220905</w:t>
            </w:r>
            <w:r w:rsidRPr="00676036">
              <w:rPr>
                <w:b/>
                <w:sz w:val="32"/>
                <w:szCs w:val="24"/>
              </w:rPr>
              <w:fldChar w:fldCharType="end"/>
            </w:r>
          </w:p>
        </w:tc>
      </w:tr>
    </w:tbl>
    <w:p w14:paraId="04309F75" w14:textId="77777777" w:rsidR="002B0F60" w:rsidRDefault="002B0F60" w:rsidP="002B0F60">
      <w:pPr>
        <w:rPr>
          <w:strike/>
        </w:rPr>
      </w:pPr>
    </w:p>
    <w:p w14:paraId="5862069F" w14:textId="77777777" w:rsidR="002B0F60" w:rsidRPr="00676036" w:rsidRDefault="002B0F60" w:rsidP="00676036">
      <w:pPr>
        <w:pStyle w:val="Heading1"/>
        <w:spacing w:after="0"/>
        <w:rPr>
          <w:rFonts w:ascii="Times New Roman" w:hAnsi="Times New Roman" w:cs="Times New Roman"/>
          <w:sz w:val="24"/>
          <w:szCs w:val="24"/>
          <w:u w:val="single"/>
        </w:rPr>
      </w:pPr>
      <w:r w:rsidRPr="00676036">
        <w:rPr>
          <w:rFonts w:ascii="Times New Roman" w:hAnsi="Times New Roman" w:cs="Times New Roman"/>
          <w:sz w:val="24"/>
          <w:szCs w:val="24"/>
          <w:u w:val="single"/>
        </w:rPr>
        <w:t xml:space="preserve">Intended Use </w:t>
      </w:r>
    </w:p>
    <w:p w14:paraId="43A4E7AA" w14:textId="77777777" w:rsidR="002B0F60" w:rsidRPr="00676036" w:rsidRDefault="002B0F60" w:rsidP="00676036">
      <w:pPr>
        <w:pStyle w:val="CM18"/>
        <w:spacing w:after="0"/>
        <w:rPr>
          <w:rFonts w:ascii="Times New Roman" w:hAnsi="Times New Roman" w:cs="Times New Roman"/>
          <w:position w:val="7"/>
        </w:rPr>
      </w:pPr>
      <w:r w:rsidRPr="00676036">
        <w:rPr>
          <w:rFonts w:ascii="Times New Roman" w:hAnsi="Times New Roman" w:cs="Times New Roman"/>
          <w:position w:val="7"/>
        </w:rPr>
        <w:t xml:space="preserve">The Cepheid Xpert GBS is a qualitative </w:t>
      </w:r>
      <w:r w:rsidRPr="00676036">
        <w:rPr>
          <w:rFonts w:ascii="Times New Roman" w:hAnsi="Times New Roman" w:cs="Times New Roman"/>
          <w:i/>
          <w:position w:val="7"/>
        </w:rPr>
        <w:t>in vitro</w:t>
      </w:r>
      <w:r w:rsidRPr="00676036">
        <w:rPr>
          <w:rFonts w:ascii="Times New Roman" w:hAnsi="Times New Roman" w:cs="Times New Roman"/>
          <w:position w:val="7"/>
        </w:rPr>
        <w:t xml:space="preserve"> diagnostic test designed to detect Group B Streptococcus (GBS) DNA from vaginal/rectal swab specimens, using fully automated real-time polymerase chain reaction (PCR) with fluorogenic detection of the amplified DNA. Xpert GBS Assay testing is indicated for rapid identification of antepartum and intrapartum GBS colonization. </w:t>
      </w:r>
    </w:p>
    <w:p w14:paraId="28583FCC" w14:textId="77777777" w:rsidR="002B0F60" w:rsidRPr="00676036" w:rsidRDefault="002B0F60" w:rsidP="00676036">
      <w:pPr>
        <w:pStyle w:val="CM18"/>
        <w:spacing w:after="0"/>
        <w:rPr>
          <w:rFonts w:ascii="Times New Roman" w:hAnsi="Times New Roman" w:cs="Times New Roman"/>
          <w:position w:val="7"/>
          <w:vertAlign w:val="superscript"/>
        </w:rPr>
      </w:pPr>
      <w:r w:rsidRPr="00676036">
        <w:rPr>
          <w:rFonts w:ascii="Times New Roman" w:hAnsi="Times New Roman" w:cs="Times New Roman"/>
          <w:position w:val="7"/>
        </w:rPr>
        <w:t>GBS bacterial infection is associated with serious illness in newborns born to women who are colonized with the microorganism. Transmission of GBS occurs from GBS-colonized women to their newborn before birth (antepartum) or during birth (intrapartum). In the United States, GBS infection is the major cause of death in newborns who develop sepsis, pneumonia, or meningitis.</w:t>
      </w:r>
      <w:r w:rsidRPr="00676036">
        <w:rPr>
          <w:rFonts w:ascii="Times New Roman" w:hAnsi="Times New Roman" w:cs="Times New Roman"/>
          <w:position w:val="7"/>
          <w:vertAlign w:val="superscript"/>
        </w:rPr>
        <w:t xml:space="preserve"> </w:t>
      </w:r>
      <w:r w:rsidRPr="00676036">
        <w:rPr>
          <w:rFonts w:ascii="Times New Roman" w:hAnsi="Times New Roman" w:cs="Times New Roman"/>
          <w:position w:val="7"/>
        </w:rPr>
        <w:t>Currently, the standard of care for preventing neonatal GBS disease is screening pregnant women at 35–37 weeks of gestation to determine their GBS colonization status.</w:t>
      </w:r>
      <w:r w:rsidRPr="00676036">
        <w:rPr>
          <w:rFonts w:ascii="Times New Roman" w:hAnsi="Times New Roman" w:cs="Times New Roman"/>
          <w:position w:val="7"/>
          <w:vertAlign w:val="superscript"/>
        </w:rPr>
        <w:t xml:space="preserve"> </w:t>
      </w:r>
    </w:p>
    <w:p w14:paraId="5C94432F" w14:textId="77777777" w:rsidR="00676036" w:rsidRDefault="00676036" w:rsidP="00676036">
      <w:pPr>
        <w:rPr>
          <w:b/>
          <w:szCs w:val="24"/>
          <w:u w:val="single"/>
        </w:rPr>
      </w:pPr>
    </w:p>
    <w:p w14:paraId="3EE24641" w14:textId="77777777" w:rsidR="002B0F60" w:rsidRPr="00676036" w:rsidRDefault="002B0F60" w:rsidP="00676036">
      <w:pPr>
        <w:rPr>
          <w:b/>
          <w:szCs w:val="24"/>
          <w:u w:val="single"/>
        </w:rPr>
      </w:pPr>
      <w:r w:rsidRPr="00676036">
        <w:rPr>
          <w:b/>
          <w:szCs w:val="24"/>
          <w:u w:val="single"/>
        </w:rPr>
        <w:t>Materials Required</w:t>
      </w:r>
    </w:p>
    <w:p w14:paraId="09ADFFD6" w14:textId="77777777" w:rsidR="002B0F60" w:rsidRPr="00676036" w:rsidRDefault="002B0F60" w:rsidP="00676036">
      <w:pPr>
        <w:pStyle w:val="ListParagraph"/>
        <w:numPr>
          <w:ilvl w:val="0"/>
          <w:numId w:val="1"/>
        </w:numPr>
        <w:rPr>
          <w:szCs w:val="24"/>
        </w:rPr>
      </w:pPr>
      <w:r w:rsidRPr="00676036">
        <w:rPr>
          <w:szCs w:val="24"/>
        </w:rPr>
        <w:t>GBS Assay cartridge</w:t>
      </w:r>
    </w:p>
    <w:p w14:paraId="733C6E82" w14:textId="77777777" w:rsidR="002B0F60" w:rsidRPr="00676036" w:rsidRDefault="002B0F60" w:rsidP="00676036">
      <w:pPr>
        <w:pStyle w:val="ListParagraph"/>
        <w:numPr>
          <w:ilvl w:val="0"/>
          <w:numId w:val="1"/>
        </w:numPr>
        <w:rPr>
          <w:szCs w:val="24"/>
        </w:rPr>
      </w:pPr>
      <w:r w:rsidRPr="00676036">
        <w:rPr>
          <w:szCs w:val="24"/>
        </w:rPr>
        <w:t>Collection Swab (red cap)</w:t>
      </w:r>
    </w:p>
    <w:p w14:paraId="70687326" w14:textId="77777777" w:rsidR="002B0F60" w:rsidRPr="00676036" w:rsidRDefault="002B0F60" w:rsidP="00676036">
      <w:pPr>
        <w:pStyle w:val="ListParagraph"/>
        <w:numPr>
          <w:ilvl w:val="0"/>
          <w:numId w:val="1"/>
        </w:numPr>
        <w:rPr>
          <w:szCs w:val="24"/>
        </w:rPr>
      </w:pPr>
      <w:r w:rsidRPr="00676036">
        <w:rPr>
          <w:szCs w:val="24"/>
        </w:rPr>
        <w:t>Disposable, sterile transfer pipette (for retest only)</w:t>
      </w:r>
    </w:p>
    <w:p w14:paraId="721677CE" w14:textId="77777777" w:rsidR="002B0F60" w:rsidRPr="00676036" w:rsidRDefault="002B0F60" w:rsidP="00676036">
      <w:pPr>
        <w:rPr>
          <w:szCs w:val="24"/>
        </w:rPr>
      </w:pPr>
    </w:p>
    <w:p w14:paraId="62FF158A" w14:textId="77777777" w:rsidR="002B0F60" w:rsidRPr="00676036" w:rsidRDefault="002B0F60" w:rsidP="00676036">
      <w:pPr>
        <w:autoSpaceDE w:val="0"/>
        <w:autoSpaceDN w:val="0"/>
        <w:adjustRightInd w:val="0"/>
        <w:rPr>
          <w:rFonts w:eastAsiaTheme="minorHAnsi"/>
          <w:b/>
          <w:bCs/>
          <w:szCs w:val="24"/>
          <w:u w:val="single"/>
        </w:rPr>
      </w:pPr>
      <w:r w:rsidRPr="00676036">
        <w:rPr>
          <w:rFonts w:eastAsiaTheme="minorHAnsi"/>
          <w:b/>
          <w:bCs/>
          <w:szCs w:val="24"/>
          <w:u w:val="single"/>
        </w:rPr>
        <w:t>Specimen Collection and Transport</w:t>
      </w:r>
    </w:p>
    <w:p w14:paraId="6EEA4B23" w14:textId="77777777" w:rsidR="002B0F60" w:rsidRPr="00676036" w:rsidRDefault="002B0F60" w:rsidP="00676036">
      <w:pPr>
        <w:autoSpaceDE w:val="0"/>
        <w:autoSpaceDN w:val="0"/>
        <w:adjustRightInd w:val="0"/>
        <w:rPr>
          <w:rFonts w:eastAsiaTheme="minorHAnsi"/>
          <w:szCs w:val="24"/>
        </w:rPr>
      </w:pPr>
      <w:r w:rsidRPr="00676036">
        <w:rPr>
          <w:rFonts w:eastAsiaTheme="minorHAnsi"/>
          <w:szCs w:val="24"/>
        </w:rPr>
        <w:t>To obtain adequate specimen, follow the instructions in this section closely.</w:t>
      </w:r>
    </w:p>
    <w:p w14:paraId="2D516F28" w14:textId="77777777" w:rsidR="002B0F60" w:rsidRPr="00676036" w:rsidRDefault="002B0F60" w:rsidP="00676036">
      <w:pPr>
        <w:autoSpaceDE w:val="0"/>
        <w:autoSpaceDN w:val="0"/>
        <w:adjustRightInd w:val="0"/>
        <w:rPr>
          <w:rFonts w:eastAsiaTheme="minorHAnsi"/>
          <w:szCs w:val="24"/>
        </w:rPr>
      </w:pPr>
      <w:r w:rsidRPr="00676036">
        <w:rPr>
          <w:rFonts w:eastAsiaTheme="minorHAnsi"/>
          <w:szCs w:val="24"/>
        </w:rPr>
        <w:t>Using the Cepheid Collection Swab, collect specimens according to CDC recommendations. The following procedure should be used:</w:t>
      </w:r>
    </w:p>
    <w:p w14:paraId="28222BAC" w14:textId="77777777" w:rsidR="002B0F60" w:rsidRPr="00676036" w:rsidRDefault="002B0F60" w:rsidP="00676036">
      <w:pPr>
        <w:pStyle w:val="ListParagraph"/>
        <w:numPr>
          <w:ilvl w:val="0"/>
          <w:numId w:val="2"/>
        </w:numPr>
        <w:autoSpaceDE w:val="0"/>
        <w:autoSpaceDN w:val="0"/>
        <w:adjustRightInd w:val="0"/>
        <w:rPr>
          <w:rFonts w:eastAsiaTheme="minorHAnsi"/>
          <w:szCs w:val="24"/>
        </w:rPr>
      </w:pPr>
      <w:r w:rsidRPr="00676036">
        <w:rPr>
          <w:rFonts w:eastAsiaTheme="minorHAnsi"/>
          <w:szCs w:val="24"/>
        </w:rPr>
        <w:t>Wipe away excessive amounts of secretion or discharge.</w:t>
      </w:r>
    </w:p>
    <w:p w14:paraId="41F22CAB" w14:textId="77777777" w:rsidR="002B0F60" w:rsidRPr="00676036" w:rsidRDefault="002B0F60" w:rsidP="00676036">
      <w:pPr>
        <w:pStyle w:val="ListParagraph"/>
        <w:numPr>
          <w:ilvl w:val="0"/>
          <w:numId w:val="2"/>
        </w:numPr>
        <w:autoSpaceDE w:val="0"/>
        <w:autoSpaceDN w:val="0"/>
        <w:adjustRightInd w:val="0"/>
        <w:rPr>
          <w:rFonts w:eastAsiaTheme="minorHAnsi"/>
          <w:szCs w:val="24"/>
        </w:rPr>
      </w:pPr>
      <w:r w:rsidRPr="00676036">
        <w:rPr>
          <w:rFonts w:eastAsiaTheme="minorHAnsi"/>
          <w:szCs w:val="24"/>
        </w:rPr>
        <w:t>Remove both marked swabs from the transport container.</w:t>
      </w:r>
    </w:p>
    <w:p w14:paraId="02A86508" w14:textId="77777777" w:rsidR="002B0F60" w:rsidRPr="00676036" w:rsidRDefault="002B0F60" w:rsidP="00676036">
      <w:pPr>
        <w:pStyle w:val="ListParagraph"/>
        <w:numPr>
          <w:ilvl w:val="0"/>
          <w:numId w:val="2"/>
        </w:numPr>
        <w:autoSpaceDE w:val="0"/>
        <w:autoSpaceDN w:val="0"/>
        <w:adjustRightInd w:val="0"/>
        <w:rPr>
          <w:rFonts w:eastAsiaTheme="minorHAnsi"/>
          <w:szCs w:val="24"/>
        </w:rPr>
      </w:pPr>
      <w:r w:rsidRPr="00676036">
        <w:rPr>
          <w:rFonts w:eastAsiaTheme="minorHAnsi"/>
          <w:szCs w:val="24"/>
        </w:rPr>
        <w:t>Carefully insert both marked swabs into the patient's vagina. Sample secretions from the mucosa of the lower one-third part of the vagina. Rotate the swabs three times to ensure uniform sample on both swabs.</w:t>
      </w:r>
    </w:p>
    <w:p w14:paraId="11388D45" w14:textId="77777777" w:rsidR="002B0F60" w:rsidRPr="00676036" w:rsidRDefault="002B0F60" w:rsidP="00676036">
      <w:pPr>
        <w:pStyle w:val="ListParagraph"/>
        <w:numPr>
          <w:ilvl w:val="0"/>
          <w:numId w:val="2"/>
        </w:numPr>
        <w:autoSpaceDE w:val="0"/>
        <w:autoSpaceDN w:val="0"/>
        <w:adjustRightInd w:val="0"/>
        <w:rPr>
          <w:rFonts w:eastAsiaTheme="minorHAnsi"/>
          <w:szCs w:val="24"/>
        </w:rPr>
      </w:pPr>
      <w:r w:rsidRPr="00676036">
        <w:rPr>
          <w:rFonts w:eastAsiaTheme="minorHAnsi"/>
          <w:szCs w:val="24"/>
        </w:rPr>
        <w:t>Using the same marked swabs, carefully insert both swabs approximately 2.5 cm beyond the anal sphincter, and gently rotate to sample anal crypts.</w:t>
      </w:r>
    </w:p>
    <w:p w14:paraId="41904DBC" w14:textId="77777777" w:rsidR="002B0F60" w:rsidRPr="00676036" w:rsidRDefault="002B0F60" w:rsidP="00676036">
      <w:pPr>
        <w:pStyle w:val="ListParagraph"/>
        <w:numPr>
          <w:ilvl w:val="0"/>
          <w:numId w:val="2"/>
        </w:numPr>
        <w:autoSpaceDE w:val="0"/>
        <w:autoSpaceDN w:val="0"/>
        <w:adjustRightInd w:val="0"/>
        <w:rPr>
          <w:rFonts w:eastAsiaTheme="minorHAnsi"/>
          <w:szCs w:val="24"/>
        </w:rPr>
      </w:pPr>
      <w:r w:rsidRPr="00676036">
        <w:rPr>
          <w:rFonts w:eastAsiaTheme="minorHAnsi"/>
          <w:szCs w:val="24"/>
        </w:rPr>
        <w:t>Place both marked swabs in the transport container.</w:t>
      </w:r>
    </w:p>
    <w:p w14:paraId="58030295" w14:textId="77777777" w:rsidR="002B0F60" w:rsidRPr="00676036" w:rsidRDefault="002B0F60" w:rsidP="00676036">
      <w:pPr>
        <w:pStyle w:val="ListParagraph"/>
        <w:numPr>
          <w:ilvl w:val="0"/>
          <w:numId w:val="2"/>
        </w:numPr>
        <w:autoSpaceDE w:val="0"/>
        <w:autoSpaceDN w:val="0"/>
        <w:adjustRightInd w:val="0"/>
        <w:rPr>
          <w:rFonts w:eastAsiaTheme="minorHAnsi"/>
          <w:szCs w:val="24"/>
        </w:rPr>
      </w:pPr>
      <w:r w:rsidRPr="00676036">
        <w:rPr>
          <w:rFonts w:eastAsiaTheme="minorHAnsi"/>
          <w:szCs w:val="24"/>
        </w:rPr>
        <w:t>If the specimens will be processed within 24 hours, store at room temperature. If the specimens will be tested after 24 hours, refrigerate until testing is performed. Specimens stored at 2–8º C are stable for up to six days.</w:t>
      </w:r>
    </w:p>
    <w:p w14:paraId="0686ED71" w14:textId="77777777" w:rsidR="002B0F60" w:rsidRPr="00676036" w:rsidRDefault="002B0F60" w:rsidP="00676036">
      <w:pPr>
        <w:rPr>
          <w:rFonts w:eastAsiaTheme="minorHAnsi"/>
          <w:szCs w:val="24"/>
        </w:rPr>
      </w:pPr>
    </w:p>
    <w:p w14:paraId="014FBD54" w14:textId="77777777" w:rsidR="002B0F60" w:rsidRPr="00676036" w:rsidRDefault="002B0F60" w:rsidP="00676036">
      <w:pPr>
        <w:rPr>
          <w:b/>
          <w:szCs w:val="24"/>
          <w:u w:val="single"/>
        </w:rPr>
      </w:pPr>
      <w:r w:rsidRPr="00676036">
        <w:rPr>
          <w:b/>
          <w:szCs w:val="24"/>
          <w:u w:val="single"/>
        </w:rPr>
        <w:lastRenderedPageBreak/>
        <w:t>Procedure</w:t>
      </w:r>
    </w:p>
    <w:p w14:paraId="6B1EF89C" w14:textId="77777777" w:rsidR="002B0F60" w:rsidRPr="00676036" w:rsidRDefault="002B0F60" w:rsidP="00676036">
      <w:pPr>
        <w:rPr>
          <w:b/>
          <w:szCs w:val="24"/>
          <w:u w:val="single"/>
        </w:rPr>
      </w:pPr>
    </w:p>
    <w:p w14:paraId="1E346240" w14:textId="77777777" w:rsidR="002B0F60" w:rsidRPr="00676036" w:rsidRDefault="002B0F60" w:rsidP="00676036">
      <w:pPr>
        <w:rPr>
          <w:b/>
          <w:szCs w:val="24"/>
        </w:rPr>
      </w:pPr>
      <w:r w:rsidRPr="00676036">
        <w:rPr>
          <w:b/>
          <w:szCs w:val="24"/>
        </w:rPr>
        <w:t>Important: Start the test within 15 minutes of adding the sample to the cartridge</w:t>
      </w:r>
    </w:p>
    <w:p w14:paraId="5AA9EDB7" w14:textId="77777777" w:rsidR="002B0F60" w:rsidRPr="00676036" w:rsidRDefault="002B0F60" w:rsidP="00676036">
      <w:pPr>
        <w:rPr>
          <w:b/>
          <w:szCs w:val="24"/>
        </w:rPr>
      </w:pPr>
      <w:r w:rsidRPr="00676036">
        <w:rPr>
          <w:b/>
          <w:szCs w:val="24"/>
        </w:rPr>
        <w:t>Note: Only one swab is required.  The second swab is extra and can be used for susceptibility testing. Culture isolates are needed for performing susceptibility testing as recommended for penicillin-allergic women.  Do not add 2 swabs to any one cartridge.</w:t>
      </w:r>
    </w:p>
    <w:p w14:paraId="441175B9" w14:textId="77777777" w:rsidR="002B0F60" w:rsidRPr="00676036" w:rsidRDefault="002B0F60" w:rsidP="00676036">
      <w:pPr>
        <w:rPr>
          <w:b/>
          <w:szCs w:val="24"/>
        </w:rPr>
      </w:pPr>
    </w:p>
    <w:p w14:paraId="6CDE17CA" w14:textId="77777777" w:rsidR="002B0F60" w:rsidRPr="00676036" w:rsidRDefault="002B0F60" w:rsidP="00676036">
      <w:pPr>
        <w:rPr>
          <w:szCs w:val="24"/>
        </w:rPr>
      </w:pPr>
      <w:r w:rsidRPr="00676036">
        <w:rPr>
          <w:szCs w:val="24"/>
        </w:rPr>
        <w:t xml:space="preserve">To add the sample into the cartridge (Xpert GBS): </w:t>
      </w:r>
    </w:p>
    <w:p w14:paraId="1F439B91" w14:textId="77777777" w:rsidR="002B0F60" w:rsidRPr="00676036" w:rsidRDefault="002B0F60" w:rsidP="00676036">
      <w:pPr>
        <w:numPr>
          <w:ilvl w:val="0"/>
          <w:numId w:val="3"/>
        </w:numPr>
        <w:rPr>
          <w:szCs w:val="24"/>
        </w:rPr>
      </w:pPr>
      <w:r w:rsidRPr="00676036">
        <w:rPr>
          <w:szCs w:val="24"/>
        </w:rPr>
        <w:t>Remove the cartridge from the package.</w:t>
      </w:r>
    </w:p>
    <w:p w14:paraId="7FB3D4D3" w14:textId="77777777" w:rsidR="002B0F60" w:rsidRPr="00676036" w:rsidRDefault="002B0F60" w:rsidP="00676036">
      <w:pPr>
        <w:numPr>
          <w:ilvl w:val="0"/>
          <w:numId w:val="3"/>
        </w:numPr>
        <w:rPr>
          <w:szCs w:val="24"/>
        </w:rPr>
      </w:pPr>
      <w:r w:rsidRPr="00676036">
        <w:rPr>
          <w:szCs w:val="24"/>
        </w:rPr>
        <w:t xml:space="preserve">Open the cartridge lid. </w:t>
      </w:r>
    </w:p>
    <w:p w14:paraId="30F8A9F9" w14:textId="77777777" w:rsidR="002B0F60" w:rsidRPr="00676036" w:rsidRDefault="002B0F60" w:rsidP="00676036">
      <w:pPr>
        <w:numPr>
          <w:ilvl w:val="0"/>
          <w:numId w:val="3"/>
        </w:numPr>
        <w:rPr>
          <w:szCs w:val="24"/>
        </w:rPr>
      </w:pPr>
      <w:r w:rsidRPr="00676036">
        <w:rPr>
          <w:szCs w:val="24"/>
        </w:rPr>
        <w:t>Remove the marked swabs from the container. Gently brush the two swabs together using a twirling motion so that equal amount of sample is on each swab.</w:t>
      </w:r>
    </w:p>
    <w:p w14:paraId="4E9D9118" w14:textId="77777777" w:rsidR="002B0F60" w:rsidRPr="00676036" w:rsidRDefault="002B0F60" w:rsidP="00676036">
      <w:pPr>
        <w:numPr>
          <w:ilvl w:val="0"/>
          <w:numId w:val="3"/>
        </w:numPr>
        <w:rPr>
          <w:szCs w:val="24"/>
        </w:rPr>
      </w:pPr>
      <w:r w:rsidRPr="00676036">
        <w:rPr>
          <w:szCs w:val="24"/>
        </w:rPr>
        <w:t>Insert one of the swabs into the Xpert GBS cartridge chamber S</w:t>
      </w:r>
    </w:p>
    <w:p w14:paraId="0DD4252E" w14:textId="77777777" w:rsidR="002B0F60" w:rsidRPr="00676036" w:rsidRDefault="002B0F60" w:rsidP="00676036">
      <w:pPr>
        <w:pStyle w:val="ListParagraph"/>
        <w:numPr>
          <w:ilvl w:val="0"/>
          <w:numId w:val="8"/>
        </w:numPr>
        <w:rPr>
          <w:szCs w:val="24"/>
        </w:rPr>
      </w:pPr>
      <w:r w:rsidRPr="00676036">
        <w:rPr>
          <w:szCs w:val="24"/>
        </w:rPr>
        <w:t>Do not insert both swabs into the cartridge</w:t>
      </w:r>
    </w:p>
    <w:p w14:paraId="1EA318ED" w14:textId="77777777" w:rsidR="002B0F60" w:rsidRPr="00676036" w:rsidRDefault="002B0F60" w:rsidP="00676036">
      <w:pPr>
        <w:pStyle w:val="ListParagraph"/>
        <w:numPr>
          <w:ilvl w:val="0"/>
          <w:numId w:val="8"/>
        </w:numPr>
        <w:rPr>
          <w:szCs w:val="24"/>
        </w:rPr>
      </w:pPr>
      <w:r w:rsidRPr="00676036">
        <w:rPr>
          <w:szCs w:val="24"/>
        </w:rPr>
        <w:t>Return the second swab into the collection/transport tube for subsequent antimicrobial susceptibility testing by the microbiology laboratory for GBS positive patients.  Culture isolates are needed for performing susceptibility testing as recommended for penicillin-allergic women.</w:t>
      </w:r>
    </w:p>
    <w:p w14:paraId="71FFECF3" w14:textId="77777777" w:rsidR="002B0F60" w:rsidRPr="00676036" w:rsidRDefault="002B0F60" w:rsidP="00676036">
      <w:pPr>
        <w:pStyle w:val="ListParagraph"/>
        <w:numPr>
          <w:ilvl w:val="0"/>
          <w:numId w:val="3"/>
        </w:numPr>
        <w:rPr>
          <w:szCs w:val="24"/>
        </w:rPr>
      </w:pPr>
      <w:r w:rsidRPr="00676036">
        <w:rPr>
          <w:szCs w:val="24"/>
        </w:rPr>
        <w:t>Raise the swab so that the score mark is centered in the notch.</w:t>
      </w:r>
    </w:p>
    <w:p w14:paraId="0232109B" w14:textId="77777777" w:rsidR="002B0F60" w:rsidRPr="00676036" w:rsidRDefault="002B0F60" w:rsidP="00676036">
      <w:pPr>
        <w:pStyle w:val="ListParagraph"/>
        <w:numPr>
          <w:ilvl w:val="0"/>
          <w:numId w:val="3"/>
        </w:numPr>
        <w:rPr>
          <w:szCs w:val="24"/>
        </w:rPr>
      </w:pPr>
      <w:r w:rsidRPr="00676036">
        <w:rPr>
          <w:szCs w:val="24"/>
        </w:rPr>
        <w:t>Break the swab by snapping the shaft to the right.</w:t>
      </w:r>
    </w:p>
    <w:p w14:paraId="55B3B431" w14:textId="77777777" w:rsidR="002B0F60" w:rsidRPr="00676036" w:rsidRDefault="002B0F60" w:rsidP="00676036">
      <w:pPr>
        <w:pStyle w:val="ListParagraph"/>
        <w:numPr>
          <w:ilvl w:val="0"/>
          <w:numId w:val="3"/>
        </w:numPr>
        <w:rPr>
          <w:szCs w:val="24"/>
        </w:rPr>
      </w:pPr>
      <w:r w:rsidRPr="00676036">
        <w:rPr>
          <w:szCs w:val="24"/>
        </w:rPr>
        <w:t>Close the cartridge lid.</w:t>
      </w:r>
    </w:p>
    <w:p w14:paraId="6A14AA3F" w14:textId="77777777" w:rsidR="002B0F60" w:rsidRPr="00676036" w:rsidRDefault="002B0F60" w:rsidP="00676036">
      <w:pPr>
        <w:ind w:left="360"/>
        <w:rPr>
          <w:szCs w:val="24"/>
        </w:rPr>
      </w:pPr>
    </w:p>
    <w:p w14:paraId="35D419B0" w14:textId="77777777" w:rsidR="002B0F60" w:rsidRPr="00DD4C6E" w:rsidRDefault="002B0F60" w:rsidP="00676036">
      <w:pPr>
        <w:rPr>
          <w:rFonts w:eastAsiaTheme="minorHAnsi"/>
          <w:b/>
          <w:szCs w:val="24"/>
          <w:u w:val="single"/>
        </w:rPr>
      </w:pPr>
      <w:r w:rsidRPr="00676036">
        <w:rPr>
          <w:rFonts w:eastAsiaTheme="minorHAnsi"/>
          <w:b/>
          <w:szCs w:val="24"/>
          <w:u w:val="single"/>
        </w:rPr>
        <w:t>Starting the Test</w:t>
      </w:r>
    </w:p>
    <w:p w14:paraId="6462E942" w14:textId="77777777" w:rsidR="00A532A5" w:rsidRPr="00A532A5" w:rsidRDefault="00A532A5" w:rsidP="00A532A5">
      <w:pPr>
        <w:widowControl w:val="0"/>
        <w:numPr>
          <w:ilvl w:val="0"/>
          <w:numId w:val="14"/>
        </w:numPr>
        <w:autoSpaceDE w:val="0"/>
        <w:autoSpaceDN w:val="0"/>
        <w:adjustRightInd w:val="0"/>
        <w:rPr>
          <w:szCs w:val="24"/>
        </w:rPr>
      </w:pPr>
      <w:r w:rsidRPr="00A532A5">
        <w:rPr>
          <w:szCs w:val="24"/>
        </w:rPr>
        <w:t xml:space="preserve">Click on the </w:t>
      </w:r>
      <w:r w:rsidRPr="00A532A5">
        <w:rPr>
          <w:i/>
          <w:szCs w:val="24"/>
        </w:rPr>
        <w:t>create test</w:t>
      </w:r>
      <w:r w:rsidRPr="00A532A5">
        <w:rPr>
          <w:szCs w:val="24"/>
        </w:rPr>
        <w:t xml:space="preserve"> icon located at the top left hand corner of the screen.</w:t>
      </w:r>
    </w:p>
    <w:p w14:paraId="419B77B9" w14:textId="77777777" w:rsidR="00A532A5" w:rsidRPr="00A532A5" w:rsidRDefault="00A532A5" w:rsidP="00A532A5">
      <w:pPr>
        <w:widowControl w:val="0"/>
        <w:numPr>
          <w:ilvl w:val="0"/>
          <w:numId w:val="14"/>
        </w:numPr>
        <w:autoSpaceDE w:val="0"/>
        <w:autoSpaceDN w:val="0"/>
        <w:adjustRightInd w:val="0"/>
        <w:rPr>
          <w:szCs w:val="24"/>
        </w:rPr>
      </w:pPr>
      <w:r w:rsidRPr="00A532A5">
        <w:rPr>
          <w:szCs w:val="24"/>
        </w:rPr>
        <w:t>Scan/type the sample ID (Meditech barcode label).</w:t>
      </w:r>
    </w:p>
    <w:p w14:paraId="044CB985" w14:textId="77777777" w:rsidR="00A532A5" w:rsidRPr="00A532A5" w:rsidRDefault="00A532A5" w:rsidP="00A532A5">
      <w:pPr>
        <w:widowControl w:val="0"/>
        <w:numPr>
          <w:ilvl w:val="0"/>
          <w:numId w:val="14"/>
        </w:numPr>
        <w:autoSpaceDE w:val="0"/>
        <w:autoSpaceDN w:val="0"/>
        <w:adjustRightInd w:val="0"/>
        <w:rPr>
          <w:szCs w:val="24"/>
        </w:rPr>
      </w:pPr>
      <w:r w:rsidRPr="00A532A5">
        <w:rPr>
          <w:szCs w:val="24"/>
        </w:rPr>
        <w:t>Scan the cartridge barcode.</w:t>
      </w:r>
    </w:p>
    <w:p w14:paraId="0E75D778" w14:textId="77777777" w:rsidR="00A532A5" w:rsidRPr="00A532A5" w:rsidRDefault="00A532A5" w:rsidP="00A532A5">
      <w:pPr>
        <w:widowControl w:val="0"/>
        <w:numPr>
          <w:ilvl w:val="0"/>
          <w:numId w:val="14"/>
        </w:numPr>
        <w:autoSpaceDE w:val="0"/>
        <w:autoSpaceDN w:val="0"/>
        <w:adjustRightInd w:val="0"/>
        <w:rPr>
          <w:szCs w:val="24"/>
        </w:rPr>
      </w:pPr>
      <w:r w:rsidRPr="00A532A5">
        <w:rPr>
          <w:szCs w:val="24"/>
        </w:rPr>
        <w:t>Type the patient lastname,firstname in the patient ID box.</w:t>
      </w:r>
    </w:p>
    <w:p w14:paraId="59D7DA41" w14:textId="77777777" w:rsidR="00A532A5" w:rsidRPr="00A532A5" w:rsidRDefault="00A532A5" w:rsidP="00A532A5">
      <w:pPr>
        <w:widowControl w:val="0"/>
        <w:numPr>
          <w:ilvl w:val="0"/>
          <w:numId w:val="14"/>
        </w:numPr>
        <w:autoSpaceDE w:val="0"/>
        <w:autoSpaceDN w:val="0"/>
        <w:adjustRightInd w:val="0"/>
        <w:rPr>
          <w:szCs w:val="24"/>
        </w:rPr>
      </w:pPr>
      <w:r w:rsidRPr="00A532A5">
        <w:rPr>
          <w:szCs w:val="24"/>
        </w:rPr>
        <w:t>Use designated user ID/password to start the test.</w:t>
      </w:r>
    </w:p>
    <w:p w14:paraId="48DCCA47" w14:textId="77777777" w:rsidR="00A532A5" w:rsidRPr="00A532A5" w:rsidRDefault="00A532A5" w:rsidP="00A532A5">
      <w:pPr>
        <w:widowControl w:val="0"/>
        <w:numPr>
          <w:ilvl w:val="0"/>
          <w:numId w:val="14"/>
        </w:numPr>
        <w:autoSpaceDE w:val="0"/>
        <w:autoSpaceDN w:val="0"/>
        <w:adjustRightInd w:val="0"/>
        <w:rPr>
          <w:szCs w:val="24"/>
        </w:rPr>
      </w:pPr>
      <w:r w:rsidRPr="00A532A5">
        <w:rPr>
          <w:szCs w:val="24"/>
        </w:rPr>
        <w:t>Open module door with the blinking green light and load the cartridge.</w:t>
      </w:r>
    </w:p>
    <w:p w14:paraId="5948D763" w14:textId="77777777" w:rsidR="00A532A5" w:rsidRPr="00A532A5" w:rsidRDefault="00A532A5" w:rsidP="00A532A5">
      <w:pPr>
        <w:widowControl w:val="0"/>
        <w:numPr>
          <w:ilvl w:val="0"/>
          <w:numId w:val="14"/>
        </w:numPr>
        <w:autoSpaceDE w:val="0"/>
        <w:autoSpaceDN w:val="0"/>
        <w:adjustRightInd w:val="0"/>
        <w:rPr>
          <w:szCs w:val="24"/>
        </w:rPr>
      </w:pPr>
      <w:r w:rsidRPr="00A532A5">
        <w:rPr>
          <w:szCs w:val="24"/>
        </w:rPr>
        <w:t>Close the module door completely to start the test.</w:t>
      </w:r>
    </w:p>
    <w:p w14:paraId="14DA7A5D" w14:textId="77777777" w:rsidR="002B0F60" w:rsidRPr="00676036" w:rsidRDefault="002B0F60" w:rsidP="006C0382">
      <w:pPr>
        <w:rPr>
          <w:szCs w:val="24"/>
        </w:rPr>
      </w:pPr>
    </w:p>
    <w:p w14:paraId="1C95006D" w14:textId="77777777" w:rsidR="002B0F60" w:rsidRPr="00676036" w:rsidRDefault="002B0F60" w:rsidP="00676036">
      <w:pPr>
        <w:rPr>
          <w:rFonts w:eastAsiaTheme="minorHAnsi"/>
          <w:b/>
          <w:szCs w:val="24"/>
          <w:u w:val="single"/>
        </w:rPr>
      </w:pPr>
      <w:r w:rsidRPr="00676036">
        <w:rPr>
          <w:rFonts w:eastAsiaTheme="minorHAnsi"/>
          <w:b/>
          <w:szCs w:val="24"/>
          <w:u w:val="single"/>
        </w:rPr>
        <w:t>Finished Testing</w:t>
      </w:r>
    </w:p>
    <w:p w14:paraId="1B3E29BF" w14:textId="77777777" w:rsidR="002B0F60" w:rsidRPr="006C0382" w:rsidRDefault="002B0F60" w:rsidP="006C0382">
      <w:pPr>
        <w:pStyle w:val="ListParagraph"/>
        <w:numPr>
          <w:ilvl w:val="0"/>
          <w:numId w:val="13"/>
        </w:numPr>
        <w:rPr>
          <w:rFonts w:eastAsiaTheme="minorHAnsi"/>
          <w:szCs w:val="24"/>
          <w:u w:val="single"/>
        </w:rPr>
      </w:pPr>
      <w:r w:rsidRPr="006C0382">
        <w:rPr>
          <w:rFonts w:eastAsiaTheme="minorHAnsi"/>
          <w:szCs w:val="24"/>
        </w:rPr>
        <w:t>Result will print when finished and module door will open</w:t>
      </w:r>
      <w:r w:rsidR="006C0382">
        <w:rPr>
          <w:rFonts w:eastAsiaTheme="minorHAnsi"/>
          <w:szCs w:val="24"/>
        </w:rPr>
        <w:t>.</w:t>
      </w:r>
    </w:p>
    <w:p w14:paraId="3AD43730" w14:textId="77777777" w:rsidR="002B0F60" w:rsidRPr="006C0382" w:rsidRDefault="002B0F60" w:rsidP="006C0382">
      <w:pPr>
        <w:pStyle w:val="ListParagraph"/>
        <w:numPr>
          <w:ilvl w:val="0"/>
          <w:numId w:val="13"/>
        </w:numPr>
        <w:rPr>
          <w:rFonts w:eastAsiaTheme="minorHAnsi"/>
          <w:szCs w:val="24"/>
          <w:u w:val="single"/>
        </w:rPr>
      </w:pPr>
      <w:r w:rsidRPr="006C0382">
        <w:rPr>
          <w:rFonts w:eastAsiaTheme="minorHAnsi"/>
          <w:szCs w:val="24"/>
        </w:rPr>
        <w:t>Place Meditech barcode label on the result page</w:t>
      </w:r>
      <w:r w:rsidR="006C0382">
        <w:rPr>
          <w:rFonts w:eastAsiaTheme="minorHAnsi"/>
          <w:szCs w:val="24"/>
        </w:rPr>
        <w:t>.</w:t>
      </w:r>
    </w:p>
    <w:p w14:paraId="7A560C1E" w14:textId="77777777" w:rsidR="006C0382" w:rsidRPr="006C0382" w:rsidRDefault="002B0F60" w:rsidP="006C0382">
      <w:pPr>
        <w:pStyle w:val="ListParagraph"/>
        <w:numPr>
          <w:ilvl w:val="0"/>
          <w:numId w:val="13"/>
        </w:numPr>
        <w:rPr>
          <w:rFonts w:eastAsiaTheme="minorHAnsi"/>
          <w:szCs w:val="24"/>
          <w:u w:val="single"/>
        </w:rPr>
      </w:pPr>
      <w:r w:rsidRPr="006C0382">
        <w:rPr>
          <w:rFonts w:eastAsiaTheme="minorHAnsi"/>
          <w:szCs w:val="24"/>
        </w:rPr>
        <w:t xml:space="preserve">Result in Meditech using the Cepheid analyzer batch. </w:t>
      </w:r>
    </w:p>
    <w:p w14:paraId="521BD960" w14:textId="77777777" w:rsidR="002B0F60" w:rsidRPr="006C0382" w:rsidRDefault="002B0F60" w:rsidP="006C0382">
      <w:pPr>
        <w:pStyle w:val="ListParagraph"/>
        <w:numPr>
          <w:ilvl w:val="1"/>
          <w:numId w:val="13"/>
        </w:numPr>
        <w:rPr>
          <w:rFonts w:eastAsiaTheme="minorHAnsi"/>
          <w:szCs w:val="24"/>
          <w:u w:val="single"/>
        </w:rPr>
      </w:pPr>
      <w:r w:rsidRPr="006C0382">
        <w:rPr>
          <w:rFonts w:eastAsiaTheme="minorHAnsi"/>
          <w:szCs w:val="24"/>
        </w:rPr>
        <w:t>Ancillary</w:t>
      </w:r>
      <w:r w:rsidR="006C0382">
        <w:rPr>
          <w:rFonts w:eastAsiaTheme="minorHAnsi"/>
          <w:szCs w:val="24"/>
        </w:rPr>
        <w:t xml:space="preserve"> &gt; </w:t>
      </w:r>
      <w:r w:rsidRPr="006C0382">
        <w:rPr>
          <w:rFonts w:eastAsiaTheme="minorHAnsi"/>
          <w:szCs w:val="24"/>
        </w:rPr>
        <w:t>Laboratory</w:t>
      </w:r>
      <w:r w:rsidR="006C0382">
        <w:rPr>
          <w:rFonts w:eastAsiaTheme="minorHAnsi"/>
          <w:szCs w:val="24"/>
        </w:rPr>
        <w:t xml:space="preserve"> &gt;</w:t>
      </w:r>
      <w:r w:rsidRPr="006C0382">
        <w:rPr>
          <w:rFonts w:eastAsiaTheme="minorHAnsi"/>
          <w:szCs w:val="24"/>
        </w:rPr>
        <w:t xml:space="preserve"> Laboratory</w:t>
      </w:r>
      <w:r w:rsidR="006C0382">
        <w:rPr>
          <w:rFonts w:eastAsiaTheme="minorHAnsi"/>
          <w:szCs w:val="24"/>
        </w:rPr>
        <w:t xml:space="preserve"> &gt; </w:t>
      </w:r>
      <w:r w:rsidRPr="006C0382">
        <w:rPr>
          <w:rFonts w:eastAsiaTheme="minorHAnsi"/>
          <w:szCs w:val="24"/>
        </w:rPr>
        <w:t>Analyzers</w:t>
      </w:r>
      <w:r w:rsidR="006C0382">
        <w:rPr>
          <w:rFonts w:eastAsiaTheme="minorHAnsi"/>
          <w:szCs w:val="24"/>
        </w:rPr>
        <w:t xml:space="preserve"> &gt; </w:t>
      </w:r>
      <w:r w:rsidRPr="006C0382">
        <w:rPr>
          <w:rFonts w:eastAsiaTheme="minorHAnsi"/>
          <w:szCs w:val="24"/>
        </w:rPr>
        <w:t>Analyzer Desktop</w:t>
      </w:r>
      <w:r w:rsidR="006C0382">
        <w:rPr>
          <w:rFonts w:eastAsiaTheme="minorHAnsi"/>
          <w:szCs w:val="24"/>
        </w:rPr>
        <w:t xml:space="preserve"> &gt; Cepheid</w:t>
      </w:r>
    </w:p>
    <w:p w14:paraId="116F2918" w14:textId="77777777" w:rsidR="002B0F60" w:rsidRPr="006C0382" w:rsidRDefault="002B0F60" w:rsidP="006C0382">
      <w:pPr>
        <w:pStyle w:val="ListParagraph"/>
        <w:numPr>
          <w:ilvl w:val="0"/>
          <w:numId w:val="13"/>
        </w:numPr>
        <w:rPr>
          <w:rFonts w:eastAsiaTheme="minorHAnsi"/>
          <w:szCs w:val="24"/>
          <w:u w:val="single"/>
        </w:rPr>
      </w:pPr>
      <w:r w:rsidRPr="006C0382">
        <w:rPr>
          <w:rFonts w:eastAsiaTheme="minorHAnsi"/>
          <w:szCs w:val="24"/>
        </w:rPr>
        <w:t>Compare the name in the analyzer batch with the name on the result page from the analyzer.</w:t>
      </w:r>
    </w:p>
    <w:p w14:paraId="708842CD" w14:textId="77777777" w:rsidR="002B0F60" w:rsidRPr="00DD4C6E" w:rsidRDefault="002B0F60" w:rsidP="006C0382">
      <w:pPr>
        <w:pStyle w:val="ListParagraph"/>
        <w:numPr>
          <w:ilvl w:val="0"/>
          <w:numId w:val="13"/>
        </w:numPr>
        <w:rPr>
          <w:rFonts w:eastAsiaTheme="minorHAnsi"/>
          <w:szCs w:val="24"/>
          <w:u w:val="single"/>
        </w:rPr>
      </w:pPr>
      <w:r w:rsidRPr="006C0382">
        <w:rPr>
          <w:rFonts w:eastAsiaTheme="minorHAnsi"/>
          <w:szCs w:val="24"/>
        </w:rPr>
        <w:t xml:space="preserve">Click on the patient </w:t>
      </w:r>
      <w:r w:rsidR="006C0382">
        <w:rPr>
          <w:rFonts w:eastAsiaTheme="minorHAnsi"/>
          <w:szCs w:val="24"/>
        </w:rPr>
        <w:t xml:space="preserve">you are resulting, and hit the </w:t>
      </w:r>
      <w:r w:rsidRPr="006C0382">
        <w:rPr>
          <w:rFonts w:eastAsiaTheme="minorHAnsi"/>
          <w:i/>
          <w:szCs w:val="24"/>
        </w:rPr>
        <w:t>enter results</w:t>
      </w:r>
      <w:r w:rsidRPr="006C0382">
        <w:rPr>
          <w:rFonts w:eastAsiaTheme="minorHAnsi"/>
          <w:szCs w:val="24"/>
        </w:rPr>
        <w:t xml:space="preserve"> button.</w:t>
      </w:r>
    </w:p>
    <w:p w14:paraId="36779E72" w14:textId="77777777" w:rsidR="00DD4C6E" w:rsidRPr="00DD4C6E" w:rsidRDefault="00DD4C6E" w:rsidP="006C0382">
      <w:pPr>
        <w:pStyle w:val="ListParagraph"/>
        <w:numPr>
          <w:ilvl w:val="0"/>
          <w:numId w:val="13"/>
        </w:numPr>
        <w:rPr>
          <w:rFonts w:eastAsiaTheme="minorHAnsi"/>
          <w:b/>
          <w:szCs w:val="24"/>
          <w:u w:val="single"/>
        </w:rPr>
      </w:pPr>
      <w:r w:rsidRPr="00DD4C6E">
        <w:rPr>
          <w:rFonts w:eastAsiaTheme="minorHAnsi"/>
          <w:b/>
          <w:szCs w:val="24"/>
        </w:rPr>
        <w:t>Positive results will need to be called to the ordering provider’s office</w:t>
      </w:r>
      <w:r>
        <w:rPr>
          <w:rFonts w:eastAsiaTheme="minorHAnsi"/>
          <w:b/>
          <w:szCs w:val="24"/>
        </w:rPr>
        <w:t xml:space="preserve"> and documented behind the result in Meditech</w:t>
      </w:r>
      <w:r w:rsidRPr="00DD4C6E">
        <w:rPr>
          <w:rFonts w:eastAsiaTheme="minorHAnsi"/>
          <w:b/>
          <w:szCs w:val="24"/>
        </w:rPr>
        <w:t>.</w:t>
      </w:r>
    </w:p>
    <w:p w14:paraId="26064B84" w14:textId="77777777" w:rsidR="00DD4C6E" w:rsidRPr="00DD4C6E" w:rsidRDefault="00DD4C6E" w:rsidP="00DD4C6E">
      <w:pPr>
        <w:pStyle w:val="ListParagraph"/>
        <w:numPr>
          <w:ilvl w:val="1"/>
          <w:numId w:val="13"/>
        </w:numPr>
        <w:rPr>
          <w:rFonts w:eastAsiaTheme="minorHAnsi"/>
          <w:szCs w:val="24"/>
          <w:u w:val="single"/>
        </w:rPr>
      </w:pPr>
      <w:r w:rsidRPr="00DD4C6E">
        <w:rPr>
          <w:rFonts w:eastAsiaTheme="minorHAnsi"/>
          <w:szCs w:val="24"/>
        </w:rPr>
        <w:t>In addition to calling the result, include the canned text GBSPEN</w:t>
      </w:r>
      <w:r>
        <w:rPr>
          <w:rFonts w:eastAsiaTheme="minorHAnsi"/>
          <w:szCs w:val="24"/>
        </w:rPr>
        <w:t>.</w:t>
      </w:r>
    </w:p>
    <w:p w14:paraId="5A8BC119" w14:textId="77777777" w:rsidR="00DD4C6E" w:rsidRPr="00DD4C6E" w:rsidRDefault="00DD4C6E" w:rsidP="00DD4C6E">
      <w:pPr>
        <w:pStyle w:val="ListParagraph"/>
        <w:numPr>
          <w:ilvl w:val="2"/>
          <w:numId w:val="13"/>
        </w:numPr>
        <w:rPr>
          <w:rFonts w:eastAsiaTheme="minorHAnsi"/>
          <w:szCs w:val="24"/>
        </w:rPr>
      </w:pPr>
      <w:r w:rsidRPr="00DD4C6E">
        <w:rPr>
          <w:rFonts w:eastAsiaTheme="minorHAnsi"/>
          <w:szCs w:val="24"/>
        </w:rPr>
        <w:t>Contact lab within 72 hours to request susceptibility study if patient is allergic to penicillin.</w:t>
      </w:r>
      <w:bookmarkStart w:id="0" w:name="_GoBack"/>
      <w:bookmarkEnd w:id="0"/>
    </w:p>
    <w:p w14:paraId="3E7BB420" w14:textId="77777777" w:rsidR="002B0F60" w:rsidRPr="006C0382" w:rsidRDefault="002B0F60" w:rsidP="006C0382">
      <w:pPr>
        <w:pStyle w:val="ListParagraph"/>
        <w:numPr>
          <w:ilvl w:val="0"/>
          <w:numId w:val="13"/>
        </w:numPr>
        <w:rPr>
          <w:rFonts w:eastAsiaTheme="minorHAnsi"/>
          <w:szCs w:val="24"/>
          <w:u w:val="single"/>
        </w:rPr>
      </w:pPr>
      <w:r w:rsidRPr="006C0382">
        <w:rPr>
          <w:rFonts w:eastAsiaTheme="minorHAnsi"/>
          <w:szCs w:val="24"/>
        </w:rPr>
        <w:t>Final/Verify results in Meditech- sign and date results page</w:t>
      </w:r>
      <w:r w:rsidR="006C0382">
        <w:rPr>
          <w:rFonts w:eastAsiaTheme="minorHAnsi"/>
          <w:szCs w:val="24"/>
        </w:rPr>
        <w:t>.</w:t>
      </w:r>
    </w:p>
    <w:p w14:paraId="2AB9F383" w14:textId="77777777" w:rsidR="002B0F60" w:rsidRPr="00DD4C6E" w:rsidRDefault="002B0F60" w:rsidP="006C0382">
      <w:pPr>
        <w:pStyle w:val="ListParagraph"/>
        <w:numPr>
          <w:ilvl w:val="0"/>
          <w:numId w:val="13"/>
        </w:numPr>
        <w:rPr>
          <w:rFonts w:eastAsiaTheme="minorHAnsi"/>
          <w:szCs w:val="24"/>
          <w:u w:val="single"/>
        </w:rPr>
      </w:pPr>
      <w:r w:rsidRPr="006C0382">
        <w:rPr>
          <w:rFonts w:eastAsiaTheme="minorHAnsi"/>
          <w:szCs w:val="24"/>
        </w:rPr>
        <w:t xml:space="preserve">Place results page in the binder labeled </w:t>
      </w:r>
      <w:r w:rsidRPr="006C0382">
        <w:rPr>
          <w:rFonts w:eastAsiaTheme="minorHAnsi"/>
          <w:i/>
          <w:szCs w:val="24"/>
        </w:rPr>
        <w:t>Cepheid Reports</w:t>
      </w:r>
      <w:r w:rsidR="006C0382">
        <w:rPr>
          <w:rFonts w:eastAsiaTheme="minorHAnsi"/>
          <w:i/>
          <w:szCs w:val="24"/>
        </w:rPr>
        <w:t>.</w:t>
      </w:r>
    </w:p>
    <w:p w14:paraId="3ABFB1CC" w14:textId="77777777" w:rsidR="00DD4C6E" w:rsidRPr="006C0382" w:rsidRDefault="00DD4C6E" w:rsidP="006C0382">
      <w:pPr>
        <w:pStyle w:val="ListParagraph"/>
        <w:numPr>
          <w:ilvl w:val="0"/>
          <w:numId w:val="13"/>
        </w:numPr>
        <w:rPr>
          <w:rFonts w:eastAsiaTheme="minorHAnsi"/>
          <w:szCs w:val="24"/>
          <w:u w:val="single"/>
        </w:rPr>
      </w:pPr>
      <w:r>
        <w:rPr>
          <w:rFonts w:eastAsiaTheme="minorHAnsi"/>
          <w:szCs w:val="24"/>
        </w:rPr>
        <w:lastRenderedPageBreak/>
        <w:t xml:space="preserve">Place swab from patient in marked </w:t>
      </w:r>
    </w:p>
    <w:p w14:paraId="6714A457" w14:textId="77777777" w:rsidR="00497792" w:rsidRPr="006C0382" w:rsidRDefault="002B0F60" w:rsidP="006C0382">
      <w:pPr>
        <w:pStyle w:val="ListParagraph"/>
        <w:numPr>
          <w:ilvl w:val="0"/>
          <w:numId w:val="13"/>
        </w:numPr>
        <w:rPr>
          <w:szCs w:val="24"/>
        </w:rPr>
      </w:pPr>
      <w:r w:rsidRPr="006C0382">
        <w:rPr>
          <w:rFonts w:eastAsiaTheme="minorHAnsi"/>
          <w:szCs w:val="24"/>
        </w:rPr>
        <w:t>Dispose of used cartridge in the sharps container</w:t>
      </w:r>
      <w:r w:rsidR="006C0382">
        <w:rPr>
          <w:rFonts w:eastAsiaTheme="minorHAnsi"/>
          <w:szCs w:val="24"/>
        </w:rPr>
        <w:t>.</w:t>
      </w:r>
    </w:p>
    <w:p w14:paraId="1DF19784" w14:textId="77777777" w:rsidR="006B532D" w:rsidRPr="00676036" w:rsidRDefault="006B532D" w:rsidP="00DD4C6E">
      <w:pPr>
        <w:spacing w:line="259" w:lineRule="auto"/>
        <w:rPr>
          <w:b/>
          <w:szCs w:val="24"/>
          <w:u w:val="single"/>
        </w:rPr>
      </w:pPr>
      <w:r w:rsidRPr="00676036">
        <w:rPr>
          <w:b/>
          <w:szCs w:val="24"/>
          <w:u w:val="single"/>
        </w:rPr>
        <w:t>Reasons to repeat assay</w:t>
      </w:r>
    </w:p>
    <w:p w14:paraId="584E6ABC" w14:textId="77777777" w:rsidR="006B532D" w:rsidRPr="00676036" w:rsidRDefault="006B532D" w:rsidP="00676036">
      <w:pPr>
        <w:rPr>
          <w:szCs w:val="24"/>
        </w:rPr>
      </w:pPr>
      <w:r w:rsidRPr="00676036">
        <w:rPr>
          <w:szCs w:val="24"/>
        </w:rPr>
        <w:t>Repeat the test or initiate alternate procedures if one of the following test results occurs:</w:t>
      </w:r>
    </w:p>
    <w:p w14:paraId="53618896" w14:textId="77777777" w:rsidR="006B532D" w:rsidRPr="00676036" w:rsidRDefault="006B532D" w:rsidP="00676036">
      <w:pPr>
        <w:pStyle w:val="ListParagraph"/>
        <w:numPr>
          <w:ilvl w:val="0"/>
          <w:numId w:val="10"/>
        </w:numPr>
        <w:rPr>
          <w:szCs w:val="24"/>
        </w:rPr>
      </w:pPr>
      <w:r w:rsidRPr="00676036">
        <w:rPr>
          <w:b/>
          <w:szCs w:val="24"/>
        </w:rPr>
        <w:t xml:space="preserve">Error- </w:t>
      </w:r>
      <w:r w:rsidRPr="00676036">
        <w:rPr>
          <w:szCs w:val="24"/>
        </w:rPr>
        <w:t>The test was aborted because a system component failed, the maximum pressure was reached, or the probe check failed.</w:t>
      </w:r>
    </w:p>
    <w:p w14:paraId="5FC1B79C" w14:textId="77777777" w:rsidR="006B532D" w:rsidRPr="00676036" w:rsidRDefault="006B532D" w:rsidP="00676036">
      <w:pPr>
        <w:pStyle w:val="ListParagraph"/>
        <w:numPr>
          <w:ilvl w:val="0"/>
          <w:numId w:val="10"/>
        </w:numPr>
        <w:rPr>
          <w:szCs w:val="24"/>
        </w:rPr>
      </w:pPr>
      <w:r w:rsidRPr="00676036">
        <w:rPr>
          <w:b/>
          <w:szCs w:val="24"/>
        </w:rPr>
        <w:t>Invalid-</w:t>
      </w:r>
      <w:r w:rsidRPr="00676036">
        <w:rPr>
          <w:szCs w:val="24"/>
        </w:rPr>
        <w:t>The SPC and/or the IC failed when GBS is negative.  An invalid result can also be caused by air bubbles in the reaction tube.</w:t>
      </w:r>
    </w:p>
    <w:p w14:paraId="25ADC2B3" w14:textId="77777777" w:rsidR="006B532D" w:rsidRPr="00676036" w:rsidRDefault="006B532D" w:rsidP="00676036">
      <w:pPr>
        <w:pStyle w:val="ListParagraph"/>
        <w:numPr>
          <w:ilvl w:val="0"/>
          <w:numId w:val="10"/>
        </w:numPr>
        <w:rPr>
          <w:szCs w:val="24"/>
        </w:rPr>
      </w:pPr>
      <w:r w:rsidRPr="00676036">
        <w:rPr>
          <w:b/>
          <w:szCs w:val="24"/>
        </w:rPr>
        <w:t>NO RESULT-</w:t>
      </w:r>
      <w:r w:rsidRPr="00676036">
        <w:rPr>
          <w:szCs w:val="24"/>
        </w:rPr>
        <w:t xml:space="preserve"> The operator stopped the test, a power failure occurred during the test, or problems were detected in the cartridge. </w:t>
      </w:r>
    </w:p>
    <w:p w14:paraId="16131D81" w14:textId="77777777" w:rsidR="00D86E65" w:rsidRPr="00676036" w:rsidRDefault="00D86E65" w:rsidP="00676036">
      <w:pPr>
        <w:rPr>
          <w:szCs w:val="24"/>
        </w:rPr>
      </w:pPr>
    </w:p>
    <w:p w14:paraId="765F947C" w14:textId="77777777" w:rsidR="00D86E65" w:rsidRPr="00676036" w:rsidRDefault="00D86E65" w:rsidP="00676036">
      <w:pPr>
        <w:rPr>
          <w:b/>
          <w:szCs w:val="24"/>
          <w:u w:val="single"/>
        </w:rPr>
      </w:pPr>
      <w:r w:rsidRPr="00676036">
        <w:rPr>
          <w:b/>
          <w:szCs w:val="24"/>
          <w:u w:val="single"/>
        </w:rPr>
        <w:t xml:space="preserve">For retest </w:t>
      </w:r>
    </w:p>
    <w:p w14:paraId="4BD042D8" w14:textId="77777777" w:rsidR="006B532D" w:rsidRPr="00676036" w:rsidRDefault="006B532D" w:rsidP="00676036">
      <w:pPr>
        <w:rPr>
          <w:szCs w:val="24"/>
        </w:rPr>
      </w:pPr>
      <w:r w:rsidRPr="00676036">
        <w:rPr>
          <w:szCs w:val="24"/>
        </w:rPr>
        <w:t xml:space="preserve">If there is fluid in the cartridge sample chamber, use a transfer pipette to transfer all the fluid to the sample chamber of a new cartridge, and then rerun the test.  If there is no fluid, use sterile tweezers to transfer the swab to a new cartridge, and then rerun the test.  Alternatively, prepare a new cartridge using the second swab, and then rerun the test. </w:t>
      </w:r>
    </w:p>
    <w:p w14:paraId="0FA14498" w14:textId="77777777" w:rsidR="00D86E65" w:rsidRPr="00676036" w:rsidRDefault="00D86E65" w:rsidP="00676036">
      <w:pPr>
        <w:rPr>
          <w:szCs w:val="24"/>
        </w:rPr>
      </w:pPr>
    </w:p>
    <w:p w14:paraId="38D132D1" w14:textId="77777777" w:rsidR="00D86E65" w:rsidRPr="00676036" w:rsidRDefault="00D86E65" w:rsidP="00676036">
      <w:pPr>
        <w:rPr>
          <w:b/>
          <w:szCs w:val="24"/>
          <w:u w:val="single"/>
        </w:rPr>
      </w:pPr>
      <w:r w:rsidRPr="00676036">
        <w:rPr>
          <w:b/>
          <w:szCs w:val="24"/>
          <w:u w:val="single"/>
        </w:rPr>
        <w:t>References</w:t>
      </w:r>
    </w:p>
    <w:p w14:paraId="4C974D39" w14:textId="77777777" w:rsidR="00D86E65" w:rsidRPr="00676036" w:rsidRDefault="00D86E65" w:rsidP="00676036">
      <w:pPr>
        <w:pStyle w:val="ListParagraph"/>
        <w:numPr>
          <w:ilvl w:val="0"/>
          <w:numId w:val="11"/>
        </w:numPr>
        <w:rPr>
          <w:szCs w:val="24"/>
        </w:rPr>
      </w:pPr>
      <w:r w:rsidRPr="00676036">
        <w:rPr>
          <w:szCs w:val="24"/>
        </w:rPr>
        <w:t>GBS package insert. Please refer to this for more information/questions</w:t>
      </w:r>
    </w:p>
    <w:sectPr w:rsidR="00D86E65" w:rsidRPr="0067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usSansBold-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2228"/>
    <w:multiLevelType w:val="hybridMultilevel"/>
    <w:tmpl w:val="193E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367F1"/>
    <w:multiLevelType w:val="hybridMultilevel"/>
    <w:tmpl w:val="A83C9B2C"/>
    <w:lvl w:ilvl="0" w:tplc="0409000F">
      <w:start w:val="1"/>
      <w:numFmt w:val="decimal"/>
      <w:lvlText w:val="%1."/>
      <w:lvlJc w:val="left"/>
      <w:pPr>
        <w:tabs>
          <w:tab w:val="num" w:pos="720"/>
        </w:tabs>
        <w:ind w:left="720" w:hanging="360"/>
      </w:pPr>
    </w:lvl>
    <w:lvl w:ilvl="1" w:tplc="AB96248E">
      <w:start w:val="1"/>
      <w:numFmt w:val="bullet"/>
      <w:lvlText w:val=""/>
      <w:lvlJc w:val="left"/>
      <w:pPr>
        <w:tabs>
          <w:tab w:val="num" w:pos="1440"/>
        </w:tabs>
        <w:ind w:left="1296" w:hanging="216"/>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AA533E6"/>
    <w:multiLevelType w:val="hybridMultilevel"/>
    <w:tmpl w:val="93082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C11A4"/>
    <w:multiLevelType w:val="hybridMultilevel"/>
    <w:tmpl w:val="EF8E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071F5"/>
    <w:multiLevelType w:val="hybridMultilevel"/>
    <w:tmpl w:val="EA208CC4"/>
    <w:lvl w:ilvl="0" w:tplc="AB96248E">
      <w:start w:val="1"/>
      <w:numFmt w:val="bullet"/>
      <w:lvlText w:val=""/>
      <w:lvlJc w:val="left"/>
      <w:pPr>
        <w:tabs>
          <w:tab w:val="num" w:pos="720"/>
        </w:tabs>
        <w:ind w:left="576" w:hanging="216"/>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2457FFB"/>
    <w:multiLevelType w:val="hybridMultilevel"/>
    <w:tmpl w:val="0A7E09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815F7"/>
    <w:multiLevelType w:val="hybridMultilevel"/>
    <w:tmpl w:val="C97E9F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235CC"/>
    <w:multiLevelType w:val="hybridMultilevel"/>
    <w:tmpl w:val="FD60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E0A17"/>
    <w:multiLevelType w:val="hybridMultilevel"/>
    <w:tmpl w:val="6564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33F14"/>
    <w:multiLevelType w:val="hybridMultilevel"/>
    <w:tmpl w:val="49745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5C4D16"/>
    <w:multiLevelType w:val="hybridMultilevel"/>
    <w:tmpl w:val="9AC2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761BF"/>
    <w:multiLevelType w:val="hybridMultilevel"/>
    <w:tmpl w:val="58728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40D36"/>
    <w:multiLevelType w:val="hybridMultilevel"/>
    <w:tmpl w:val="E16C8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
  </w:num>
  <w:num w:numId="8">
    <w:abstractNumId w:val="9"/>
  </w:num>
  <w:num w:numId="9">
    <w:abstractNumId w:val="12"/>
  </w:num>
  <w:num w:numId="10">
    <w:abstractNumId w:val="0"/>
  </w:num>
  <w:num w:numId="11">
    <w:abstractNumId w:val="8"/>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60"/>
    <w:rsid w:val="002B0F60"/>
    <w:rsid w:val="00676036"/>
    <w:rsid w:val="006B532D"/>
    <w:rsid w:val="006C0382"/>
    <w:rsid w:val="007B756E"/>
    <w:rsid w:val="00A532A5"/>
    <w:rsid w:val="00D86E65"/>
    <w:rsid w:val="00DB1B6F"/>
    <w:rsid w:val="00DD4C6E"/>
    <w:rsid w:val="00F07CB9"/>
    <w:rsid w:val="00F6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F3BE75"/>
  <w15:chartTrackingRefBased/>
  <w15:docId w15:val="{0497A06C-767A-4EF6-B364-60DB1710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F6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B0F60"/>
    <w:pPr>
      <w:keepNext/>
      <w:widowControl w:val="0"/>
      <w:autoSpaceDE w:val="0"/>
      <w:autoSpaceDN w:val="0"/>
      <w:adjustRightInd w:val="0"/>
      <w:snapToGrid w:val="0"/>
      <w:spacing w:before="120" w:after="60"/>
      <w:outlineLvl w:val="0"/>
    </w:pPr>
    <w:rPr>
      <w:rFonts w:ascii="Arial" w:hAnsi="Arial" w:cs="Arial"/>
      <w:b/>
      <w:color w:val="000000"/>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F60"/>
    <w:rPr>
      <w:rFonts w:ascii="Arial" w:eastAsia="Times New Roman" w:hAnsi="Arial" w:cs="Arial"/>
      <w:b/>
      <w:color w:val="000000"/>
      <w:kern w:val="32"/>
      <w:szCs w:val="32"/>
    </w:rPr>
  </w:style>
  <w:style w:type="character" w:customStyle="1" w:styleId="CM18Char">
    <w:name w:val="CM18 Char"/>
    <w:basedOn w:val="DefaultParagraphFont"/>
    <w:link w:val="CM18"/>
    <w:locked/>
    <w:rsid w:val="002B0F60"/>
    <w:rPr>
      <w:rFonts w:ascii="PlusSansBold-Regular" w:hAnsi="PlusSansBold-Regular" w:cs="PlusSansBold-Regular"/>
      <w:sz w:val="24"/>
      <w:szCs w:val="24"/>
    </w:rPr>
  </w:style>
  <w:style w:type="paragraph" w:customStyle="1" w:styleId="CM18">
    <w:name w:val="CM18"/>
    <w:basedOn w:val="Normal"/>
    <w:next w:val="Normal"/>
    <w:link w:val="CM18Char"/>
    <w:rsid w:val="002B0F60"/>
    <w:pPr>
      <w:widowControl w:val="0"/>
      <w:autoSpaceDE w:val="0"/>
      <w:autoSpaceDN w:val="0"/>
      <w:adjustRightInd w:val="0"/>
      <w:spacing w:after="128"/>
    </w:pPr>
    <w:rPr>
      <w:rFonts w:ascii="PlusSansBold-Regular" w:eastAsiaTheme="minorHAnsi" w:hAnsi="PlusSansBold-Regular" w:cs="PlusSansBold-Regular"/>
      <w:szCs w:val="24"/>
    </w:rPr>
  </w:style>
  <w:style w:type="paragraph" w:styleId="ListParagraph">
    <w:name w:val="List Paragraph"/>
    <w:basedOn w:val="Normal"/>
    <w:uiPriority w:val="34"/>
    <w:qFormat/>
    <w:rsid w:val="002B0F60"/>
    <w:pPr>
      <w:ind w:left="720"/>
      <w:contextualSpacing/>
    </w:pPr>
  </w:style>
  <w:style w:type="table" w:styleId="TableGrid">
    <w:name w:val="Table Grid"/>
    <w:basedOn w:val="TableNormal"/>
    <w:rsid w:val="006760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4C6E"/>
    <w:rPr>
      <w:sz w:val="16"/>
      <w:szCs w:val="16"/>
    </w:rPr>
  </w:style>
  <w:style w:type="paragraph" w:styleId="CommentText">
    <w:name w:val="annotation text"/>
    <w:basedOn w:val="Normal"/>
    <w:link w:val="CommentTextChar"/>
    <w:uiPriority w:val="99"/>
    <w:semiHidden/>
    <w:unhideWhenUsed/>
    <w:rsid w:val="00DD4C6E"/>
    <w:rPr>
      <w:sz w:val="20"/>
    </w:rPr>
  </w:style>
  <w:style w:type="character" w:customStyle="1" w:styleId="CommentTextChar">
    <w:name w:val="Comment Text Char"/>
    <w:basedOn w:val="DefaultParagraphFont"/>
    <w:link w:val="CommentText"/>
    <w:uiPriority w:val="99"/>
    <w:semiHidden/>
    <w:rsid w:val="00DD4C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4C6E"/>
    <w:rPr>
      <w:b/>
      <w:bCs/>
    </w:rPr>
  </w:style>
  <w:style w:type="character" w:customStyle="1" w:styleId="CommentSubjectChar">
    <w:name w:val="Comment Subject Char"/>
    <w:basedOn w:val="CommentTextChar"/>
    <w:link w:val="CommentSubject"/>
    <w:uiPriority w:val="99"/>
    <w:semiHidden/>
    <w:rsid w:val="00DD4C6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4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C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Anthony Hospital</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Aspen J. Stone</dc:creator>
  <cp:keywords/>
  <dc:description/>
  <cp:lastModifiedBy>Joseph D. Stipe</cp:lastModifiedBy>
  <cp:revision>6</cp:revision>
  <cp:lastPrinted>2022-08-29T14:19:00Z</cp:lastPrinted>
  <dcterms:created xsi:type="dcterms:W3CDTF">2022-08-29T12:31:00Z</dcterms:created>
  <dcterms:modified xsi:type="dcterms:W3CDTF">2022-08-29T14:19:00Z</dcterms:modified>
</cp:coreProperties>
</file>