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743"/>
        <w:gridCol w:w="927"/>
        <w:gridCol w:w="5410"/>
      </w:tblGrid>
      <w:tr w:rsidR="009748AF" w:rsidRPr="009748AF" w:rsidTr="00B55D03">
        <w:trPr>
          <w:cantSplit/>
          <w:trHeight w:val="829"/>
          <w:jc w:val="center"/>
        </w:trPr>
        <w:tc>
          <w:tcPr>
            <w:tcW w:w="3765" w:type="dxa"/>
            <w:vMerge w:val="restart"/>
            <w:shd w:val="clear" w:color="auto" w:fill="auto"/>
          </w:tcPr>
          <w:p w:rsidR="009748AF" w:rsidRPr="009748AF" w:rsidRDefault="009748AF" w:rsidP="00B55D03">
            <w:pPr>
              <w:jc w:val="center"/>
              <w:rPr>
                <w:b/>
                <w:sz w:val="40"/>
                <w:szCs w:val="32"/>
              </w:rPr>
            </w:pPr>
            <w:r w:rsidRPr="009748AF">
              <w:rPr>
                <w:b/>
                <w:sz w:val="40"/>
                <w:szCs w:val="32"/>
              </w:rPr>
              <w:t>St. Anthony</w:t>
            </w:r>
          </w:p>
          <w:p w:rsidR="009748AF" w:rsidRPr="009748AF" w:rsidRDefault="009748AF" w:rsidP="00B55D03">
            <w:pPr>
              <w:jc w:val="center"/>
              <w:rPr>
                <w:b/>
                <w:sz w:val="40"/>
                <w:szCs w:val="32"/>
              </w:rPr>
            </w:pPr>
            <w:smartTag w:uri="urn:schemas-microsoft-com:office:smarttags" w:element="place">
              <w:smartTag w:uri="urn:schemas-microsoft-com:office:smarttags" w:element="PlaceName">
                <w:r w:rsidRPr="009748AF">
                  <w:rPr>
                    <w:b/>
                    <w:sz w:val="40"/>
                    <w:szCs w:val="32"/>
                  </w:rPr>
                  <w:t>Regional</w:t>
                </w:r>
              </w:smartTag>
              <w:r w:rsidRPr="009748AF">
                <w:rPr>
                  <w:b/>
                  <w:sz w:val="40"/>
                  <w:szCs w:val="32"/>
                </w:rPr>
                <w:t xml:space="preserve"> </w:t>
              </w:r>
              <w:smartTag w:uri="urn:schemas-microsoft-com:office:smarttags" w:element="PlaceType">
                <w:r w:rsidRPr="009748AF">
                  <w:rPr>
                    <w:b/>
                    <w:sz w:val="40"/>
                    <w:szCs w:val="32"/>
                  </w:rPr>
                  <w:t>Hospital</w:t>
                </w:r>
              </w:smartTag>
            </w:smartTag>
          </w:p>
          <w:p w:rsidR="009748AF" w:rsidRPr="009748AF" w:rsidRDefault="009748AF" w:rsidP="009748AF">
            <w:pPr>
              <w:rPr>
                <w:b/>
                <w:sz w:val="32"/>
                <w:szCs w:val="32"/>
              </w:rPr>
            </w:pPr>
          </w:p>
          <w:p w:rsidR="009748AF" w:rsidRPr="009748AF" w:rsidRDefault="009748AF" w:rsidP="00B55D03">
            <w:pPr>
              <w:jc w:val="center"/>
            </w:pPr>
            <w:r w:rsidRPr="009748AF">
              <w:t>POLICY/PROCEDURE</w:t>
            </w:r>
          </w:p>
        </w:tc>
        <w:tc>
          <w:tcPr>
            <w:tcW w:w="810" w:type="dxa"/>
            <w:shd w:val="clear" w:color="auto" w:fill="D9D9D9"/>
            <w:vAlign w:val="center"/>
          </w:tcPr>
          <w:p w:rsidR="009748AF" w:rsidRPr="009748AF" w:rsidRDefault="009748AF" w:rsidP="00B55D03">
            <w:pPr>
              <w:jc w:val="center"/>
              <w:rPr>
                <w:sz w:val="20"/>
              </w:rPr>
            </w:pPr>
            <w:r w:rsidRPr="009748AF">
              <w:rPr>
                <w:sz w:val="20"/>
              </w:rPr>
              <w:t>Lab Director</w:t>
            </w:r>
          </w:p>
        </w:tc>
        <w:tc>
          <w:tcPr>
            <w:tcW w:w="5505" w:type="dxa"/>
            <w:shd w:val="clear" w:color="auto" w:fill="auto"/>
          </w:tcPr>
          <w:p w:rsidR="009748AF" w:rsidRPr="009748AF" w:rsidRDefault="009748AF" w:rsidP="009748AF"/>
        </w:tc>
      </w:tr>
      <w:tr w:rsidR="009748AF" w:rsidRPr="009748AF" w:rsidTr="00B55D03">
        <w:trPr>
          <w:cantSplit/>
          <w:trHeight w:val="829"/>
          <w:jc w:val="center"/>
        </w:trPr>
        <w:tc>
          <w:tcPr>
            <w:tcW w:w="3765" w:type="dxa"/>
            <w:vMerge/>
            <w:shd w:val="clear" w:color="auto" w:fill="auto"/>
          </w:tcPr>
          <w:p w:rsidR="009748AF" w:rsidRPr="009748AF" w:rsidRDefault="009748AF" w:rsidP="00B55D03">
            <w:pPr>
              <w:jc w:val="center"/>
              <w:rPr>
                <w:b/>
                <w:sz w:val="40"/>
                <w:szCs w:val="32"/>
              </w:rPr>
            </w:pPr>
          </w:p>
        </w:tc>
        <w:tc>
          <w:tcPr>
            <w:tcW w:w="810" w:type="dxa"/>
            <w:shd w:val="clear" w:color="auto" w:fill="D9D9D9"/>
            <w:vAlign w:val="center"/>
          </w:tcPr>
          <w:p w:rsidR="009748AF" w:rsidRPr="009748AF" w:rsidRDefault="009748AF" w:rsidP="00B55D03">
            <w:pPr>
              <w:jc w:val="center"/>
              <w:rPr>
                <w:sz w:val="20"/>
              </w:rPr>
            </w:pPr>
            <w:r w:rsidRPr="009748AF">
              <w:rPr>
                <w:sz w:val="20"/>
              </w:rPr>
              <w:t>Lab Manager</w:t>
            </w:r>
          </w:p>
        </w:tc>
        <w:tc>
          <w:tcPr>
            <w:tcW w:w="5505" w:type="dxa"/>
            <w:shd w:val="clear" w:color="auto" w:fill="auto"/>
          </w:tcPr>
          <w:p w:rsidR="009748AF" w:rsidRPr="009748AF" w:rsidRDefault="009748AF" w:rsidP="009748AF"/>
        </w:tc>
      </w:tr>
      <w:tr w:rsidR="009748AF" w:rsidRPr="009748AF" w:rsidTr="00B55D03">
        <w:trPr>
          <w:trHeight w:val="525"/>
          <w:jc w:val="center"/>
        </w:trPr>
        <w:tc>
          <w:tcPr>
            <w:tcW w:w="3765" w:type="dxa"/>
            <w:shd w:val="clear" w:color="auto" w:fill="auto"/>
            <w:vAlign w:val="center"/>
          </w:tcPr>
          <w:p w:rsidR="009748AF" w:rsidRPr="009748AF" w:rsidRDefault="009748AF" w:rsidP="00B55D03">
            <w:pPr>
              <w:jc w:val="center"/>
            </w:pPr>
            <w:r w:rsidRPr="009748AF">
              <w:t>Laboratory</w:t>
            </w:r>
          </w:p>
        </w:tc>
        <w:tc>
          <w:tcPr>
            <w:tcW w:w="6315" w:type="dxa"/>
            <w:gridSpan w:val="2"/>
            <w:shd w:val="clear" w:color="auto" w:fill="auto"/>
            <w:vAlign w:val="center"/>
          </w:tcPr>
          <w:p w:rsidR="009748AF" w:rsidRPr="009748AF" w:rsidRDefault="009748AF" w:rsidP="00B55D03">
            <w:pPr>
              <w:jc w:val="center"/>
            </w:pPr>
            <w:r w:rsidRPr="009748AF">
              <w:t>Department: Serology</w:t>
            </w:r>
          </w:p>
        </w:tc>
      </w:tr>
      <w:tr w:rsidR="009748AF" w:rsidRPr="009748AF" w:rsidTr="00B55D03">
        <w:trPr>
          <w:trHeight w:val="525"/>
          <w:jc w:val="center"/>
        </w:trPr>
        <w:tc>
          <w:tcPr>
            <w:tcW w:w="10080" w:type="dxa"/>
            <w:gridSpan w:val="3"/>
            <w:shd w:val="clear" w:color="auto" w:fill="auto"/>
            <w:vAlign w:val="center"/>
          </w:tcPr>
          <w:p w:rsidR="009748AF" w:rsidRPr="009748AF" w:rsidRDefault="009748AF" w:rsidP="001B4AE2">
            <w:pPr>
              <w:rPr>
                <w:b/>
              </w:rPr>
            </w:pPr>
            <w:r w:rsidRPr="009748AF">
              <w:rPr>
                <w:b/>
                <w:sz w:val="32"/>
              </w:rPr>
              <w:t xml:space="preserve">Title: </w:t>
            </w:r>
            <w:bookmarkStart w:id="0" w:name="_GoBack"/>
            <w:r w:rsidRPr="009748AF">
              <w:rPr>
                <w:b/>
                <w:sz w:val="32"/>
              </w:rPr>
              <w:fldChar w:fldCharType="begin"/>
            </w:r>
            <w:r w:rsidRPr="009748AF">
              <w:rPr>
                <w:b/>
                <w:sz w:val="32"/>
              </w:rPr>
              <w:instrText xml:space="preserve"> FILENAME  \* FirstCap  \* MERGEFORMAT </w:instrText>
            </w:r>
            <w:r w:rsidRPr="009748AF">
              <w:rPr>
                <w:b/>
                <w:sz w:val="32"/>
              </w:rPr>
              <w:fldChar w:fldCharType="separate"/>
            </w:r>
            <w:r w:rsidR="001B4AE2">
              <w:rPr>
                <w:b/>
                <w:noProof/>
                <w:sz w:val="32"/>
              </w:rPr>
              <w:t>SOP.SER.005 CloTest 20240714</w:t>
            </w:r>
            <w:r w:rsidRPr="009748AF">
              <w:rPr>
                <w:b/>
                <w:sz w:val="32"/>
              </w:rPr>
              <w:fldChar w:fldCharType="end"/>
            </w:r>
            <w:bookmarkEnd w:id="0"/>
          </w:p>
        </w:tc>
      </w:tr>
    </w:tbl>
    <w:p w:rsidR="00134DC0" w:rsidRPr="007F4CC8" w:rsidRDefault="00134DC0" w:rsidP="009748AF">
      <w:pPr>
        <w:rPr>
          <w:sz w:val="16"/>
        </w:rPr>
      </w:pPr>
    </w:p>
    <w:p w:rsidR="00134DC0" w:rsidRPr="009748AF" w:rsidRDefault="009748AF" w:rsidP="00134DC0">
      <w:pPr>
        <w:ind w:left="-720"/>
        <w:rPr>
          <w:u w:val="single"/>
        </w:rPr>
      </w:pPr>
      <w:r w:rsidRPr="009748AF">
        <w:rPr>
          <w:b/>
          <w:u w:val="single"/>
        </w:rPr>
        <w:t>Policy</w:t>
      </w:r>
    </w:p>
    <w:p w:rsidR="00134DC0" w:rsidRDefault="00134DC0" w:rsidP="00134DC0">
      <w:pPr>
        <w:ind w:left="-720"/>
      </w:pPr>
      <w:r>
        <w:t xml:space="preserve">To detect preformed urease enzyme activity in gastric mucosal biopsies which indicate the presence of Helicobacter pylori. </w:t>
      </w:r>
      <w:r w:rsidR="00BB0868">
        <w:t>H. pylori has been shown to cause active chronic gastritis and has been implicated as a primary etiologic factor in duodenal ulcer disease, gastric ulcer, and non-ulcer dyspepsia.</w:t>
      </w:r>
    </w:p>
    <w:p w:rsidR="00EB1A4D" w:rsidRDefault="00EB1A4D" w:rsidP="00134DC0">
      <w:pPr>
        <w:ind w:left="-720"/>
      </w:pPr>
    </w:p>
    <w:p w:rsidR="00EB1A4D" w:rsidRPr="009748AF" w:rsidRDefault="009748AF" w:rsidP="00134DC0">
      <w:pPr>
        <w:ind w:left="-720"/>
        <w:rPr>
          <w:b/>
          <w:u w:val="single"/>
        </w:rPr>
      </w:pPr>
      <w:r w:rsidRPr="009748AF">
        <w:rPr>
          <w:b/>
          <w:u w:val="single"/>
        </w:rPr>
        <w:t>Storage</w:t>
      </w:r>
    </w:p>
    <w:p w:rsidR="00EB1A4D" w:rsidRDefault="00EB1A4D" w:rsidP="00134DC0">
      <w:pPr>
        <w:ind w:left="-720"/>
      </w:pPr>
      <w:proofErr w:type="spellStart"/>
      <w:r>
        <w:t>CloTest</w:t>
      </w:r>
      <w:proofErr w:type="spellEnd"/>
      <w:r>
        <w:t xml:space="preserve"> should be stored at 2-8 ºC until used. Allow product to come to room temperature before use.</w:t>
      </w:r>
    </w:p>
    <w:p w:rsidR="00EB1A4D" w:rsidRDefault="00EB1A4D" w:rsidP="00134DC0">
      <w:pPr>
        <w:ind w:left="-720"/>
      </w:pPr>
    </w:p>
    <w:p w:rsidR="00EB1A4D" w:rsidRPr="009748AF" w:rsidRDefault="009748AF" w:rsidP="00134DC0">
      <w:pPr>
        <w:ind w:left="-720"/>
        <w:rPr>
          <w:b/>
          <w:u w:val="single"/>
        </w:rPr>
      </w:pPr>
      <w:r w:rsidRPr="009748AF">
        <w:rPr>
          <w:b/>
          <w:u w:val="single"/>
        </w:rPr>
        <w:t>Preparation</w:t>
      </w:r>
    </w:p>
    <w:p w:rsidR="00EB1A4D" w:rsidRDefault="00EB1A4D" w:rsidP="00134DC0">
      <w:pPr>
        <w:ind w:left="-720"/>
      </w:pPr>
      <w:r>
        <w:t xml:space="preserve">Before use the </w:t>
      </w:r>
      <w:proofErr w:type="spellStart"/>
      <w:r>
        <w:t>CloTest</w:t>
      </w:r>
      <w:proofErr w:type="spellEnd"/>
      <w:r>
        <w:t xml:space="preserve"> should be inspected to make sure that the well is full and a yellow color. If a CloTest has an orange color it should not be used.</w:t>
      </w:r>
    </w:p>
    <w:p w:rsidR="00EB1A4D" w:rsidRDefault="00EB1A4D" w:rsidP="00134DC0">
      <w:pPr>
        <w:ind w:left="-720"/>
      </w:pPr>
    </w:p>
    <w:p w:rsidR="00EB1A4D" w:rsidRDefault="00EB1A4D" w:rsidP="00134DC0">
      <w:pPr>
        <w:ind w:left="-720"/>
      </w:pPr>
      <w:r>
        <w:t xml:space="preserve">Surgery will obtain a </w:t>
      </w:r>
      <w:proofErr w:type="spellStart"/>
      <w:r>
        <w:t>Clo</w:t>
      </w:r>
      <w:r w:rsidR="008750F3">
        <w:t>T</w:t>
      </w:r>
      <w:r>
        <w:t>est</w:t>
      </w:r>
      <w:proofErr w:type="spellEnd"/>
      <w:r w:rsidR="007F4CC8">
        <w:t xml:space="preserve"> device</w:t>
      </w:r>
      <w:r>
        <w:t xml:space="preserve"> from the laboratory when needed. Surgery will obtain the specimen and place in the CloTest package and return it to the lab.</w:t>
      </w:r>
    </w:p>
    <w:p w:rsidR="00EB1A4D" w:rsidRDefault="00EB1A4D" w:rsidP="00134DC0">
      <w:pPr>
        <w:ind w:left="-720"/>
      </w:pPr>
    </w:p>
    <w:p w:rsidR="00EB1A4D" w:rsidRPr="009748AF" w:rsidRDefault="009748AF" w:rsidP="00134DC0">
      <w:pPr>
        <w:ind w:left="-720"/>
        <w:rPr>
          <w:b/>
          <w:u w:val="single"/>
        </w:rPr>
      </w:pPr>
      <w:r w:rsidRPr="009748AF">
        <w:rPr>
          <w:b/>
          <w:u w:val="single"/>
        </w:rPr>
        <w:t>Procedure</w:t>
      </w:r>
    </w:p>
    <w:p w:rsidR="00EB1A4D" w:rsidRDefault="00EB1A4D" w:rsidP="00134DC0">
      <w:pPr>
        <w:ind w:left="-720"/>
      </w:pPr>
      <w:r>
        <w:t xml:space="preserve">The </w:t>
      </w:r>
      <w:proofErr w:type="spellStart"/>
      <w:r>
        <w:t>CloTest</w:t>
      </w:r>
      <w:proofErr w:type="spellEnd"/>
      <w:r>
        <w:t xml:space="preserve"> specimen should be kept at room temperature for 24 hours.</w:t>
      </w:r>
    </w:p>
    <w:p w:rsidR="00EB1A4D" w:rsidRDefault="00EB1A4D" w:rsidP="00134DC0">
      <w:pPr>
        <w:ind w:left="-720"/>
      </w:pPr>
    </w:p>
    <w:p w:rsidR="00EB1A4D" w:rsidRPr="007F4CC8" w:rsidRDefault="00EB1A4D" w:rsidP="00134DC0">
      <w:pPr>
        <w:ind w:left="-720"/>
        <w:rPr>
          <w:b/>
        </w:rPr>
      </w:pPr>
      <w:r w:rsidRPr="007F4CC8">
        <w:rPr>
          <w:b/>
        </w:rPr>
        <w:t>Interpretation of Results</w:t>
      </w:r>
    </w:p>
    <w:p w:rsidR="00EB1A4D" w:rsidRDefault="00EB1A4D" w:rsidP="00BB0868">
      <w:pPr>
        <w:ind w:left="-720"/>
      </w:pPr>
      <w:r>
        <w:t>When first inserted into the gel, specimens may have a very slight pink tinge, particularly if blood or alkaline bile is present. Only if the pink area is deepening in color and expanding in size will the CloTest be called positive.</w:t>
      </w:r>
      <w:r w:rsidR="00BB0868">
        <w:t xml:space="preserve"> </w:t>
      </w:r>
      <w:r>
        <w:t>If urease is present in the tissue, then an expanding magenta zone will be noted around the biopsy specimen. The CloTest may also gradually change to a deep orange and then a magenta color.</w:t>
      </w:r>
    </w:p>
    <w:p w:rsidR="00BB0868" w:rsidRDefault="00BB0868" w:rsidP="00134DC0">
      <w:pPr>
        <w:ind w:left="-720"/>
      </w:pPr>
    </w:p>
    <w:p w:rsidR="00BB0868" w:rsidRDefault="00BB0868" w:rsidP="00134DC0">
      <w:pPr>
        <w:ind w:left="-720"/>
      </w:pPr>
      <w:r w:rsidRPr="009748AF">
        <w:rPr>
          <w:b/>
        </w:rPr>
        <w:t>Positive:</w:t>
      </w:r>
      <w:r w:rsidR="00ED69BE">
        <w:t xml:space="preserve"> Any color change of the whole gel to a shade other than yellow (</w:t>
      </w:r>
      <w:proofErr w:type="gramStart"/>
      <w:r w:rsidR="00ED69BE">
        <w:t>red ,</w:t>
      </w:r>
      <w:proofErr w:type="gramEnd"/>
      <w:r w:rsidR="00ED69BE">
        <w:t xml:space="preserve"> magenta, pink, orange) indicated the present of a H. Pylori. Read within 24 hours.</w:t>
      </w:r>
      <w:r w:rsidR="008750F3">
        <w:t xml:space="preserve"> Test device may be held up to 72 hours before reading.</w:t>
      </w:r>
    </w:p>
    <w:p w:rsidR="00BB0868" w:rsidRDefault="00BB0868" w:rsidP="00134DC0">
      <w:pPr>
        <w:ind w:left="-720"/>
      </w:pPr>
      <w:r w:rsidRPr="009748AF">
        <w:rPr>
          <w:b/>
        </w:rPr>
        <w:t>Negative:</w:t>
      </w:r>
      <w:r>
        <w:t xml:space="preserve"> Yellow color within 24 hours.</w:t>
      </w:r>
    </w:p>
    <w:p w:rsidR="00BB0868" w:rsidRDefault="00BB0868" w:rsidP="00134DC0">
      <w:pPr>
        <w:ind w:left="-720"/>
      </w:pPr>
    </w:p>
    <w:p w:rsidR="00BB0868" w:rsidRDefault="00BB0868" w:rsidP="00134DC0">
      <w:pPr>
        <w:ind w:left="-720"/>
      </w:pPr>
      <w:r>
        <w:t>Positive Control:  All negative tests will have a positive control test done.</w:t>
      </w:r>
    </w:p>
    <w:p w:rsidR="00BB0868" w:rsidRDefault="00BB0868" w:rsidP="00BB0868">
      <w:pPr>
        <w:numPr>
          <w:ilvl w:val="0"/>
          <w:numId w:val="1"/>
        </w:numPr>
      </w:pPr>
      <w:r>
        <w:t>Peel back the label on the CloTest slide until the yellow gel is exposed.</w:t>
      </w:r>
    </w:p>
    <w:p w:rsidR="00BB0868" w:rsidRDefault="00BB0868" w:rsidP="00BB0868">
      <w:pPr>
        <w:numPr>
          <w:ilvl w:val="0"/>
          <w:numId w:val="1"/>
        </w:numPr>
      </w:pPr>
      <w:r>
        <w:t>Put the CloTest Positive Control tablet into the gel.</w:t>
      </w:r>
    </w:p>
    <w:p w:rsidR="00BB0868" w:rsidRDefault="00BB0868" w:rsidP="00BB0868">
      <w:pPr>
        <w:numPr>
          <w:ilvl w:val="0"/>
          <w:numId w:val="1"/>
        </w:numPr>
      </w:pPr>
      <w:r>
        <w:t>Reseal the CloTest label over the gel.</w:t>
      </w:r>
    </w:p>
    <w:p w:rsidR="00BB0868" w:rsidRDefault="00BB0868" w:rsidP="00BB0868">
      <w:pPr>
        <w:numPr>
          <w:ilvl w:val="0"/>
          <w:numId w:val="1"/>
        </w:numPr>
      </w:pPr>
      <w:r>
        <w:t>Wait 5 minutes.</w:t>
      </w:r>
    </w:p>
    <w:p w:rsidR="00417564" w:rsidRDefault="00BB0868" w:rsidP="00417564">
      <w:pPr>
        <w:numPr>
          <w:ilvl w:val="0"/>
          <w:numId w:val="1"/>
        </w:numPr>
      </w:pPr>
      <w:r>
        <w:t xml:space="preserve">Observe the gel for </w:t>
      </w:r>
      <w:r w:rsidR="00417564">
        <w:t>a positive magenta color change.</w:t>
      </w:r>
    </w:p>
    <w:p w:rsidR="00417564" w:rsidRDefault="00417564" w:rsidP="00417564">
      <w:pPr>
        <w:ind w:left="-720"/>
      </w:pPr>
      <w:r>
        <w:lastRenderedPageBreak/>
        <w:t xml:space="preserve">Alternative Positive Control: Alternative positive control may be used when unable to obtain the </w:t>
      </w:r>
      <w:proofErr w:type="spellStart"/>
      <w:r>
        <w:t>CloTest</w:t>
      </w:r>
      <w:proofErr w:type="spellEnd"/>
      <w:r>
        <w:t xml:space="preserve"> Positive Control tablet.</w:t>
      </w:r>
    </w:p>
    <w:p w:rsidR="00417564" w:rsidRDefault="00417564" w:rsidP="00417564">
      <w:pPr>
        <w:numPr>
          <w:ilvl w:val="0"/>
          <w:numId w:val="3"/>
        </w:numPr>
      </w:pPr>
      <w:r>
        <w:t xml:space="preserve">Peel back the label on the </w:t>
      </w:r>
      <w:proofErr w:type="spellStart"/>
      <w:r>
        <w:t>CloTest</w:t>
      </w:r>
      <w:proofErr w:type="spellEnd"/>
      <w:r>
        <w:t xml:space="preserve"> slide until the yellow gel is exposed.</w:t>
      </w:r>
    </w:p>
    <w:p w:rsidR="00417564" w:rsidRDefault="00417564" w:rsidP="00417564">
      <w:pPr>
        <w:numPr>
          <w:ilvl w:val="0"/>
          <w:numId w:val="3"/>
        </w:numPr>
      </w:pPr>
      <w:r>
        <w:t>Use a green 10 µL loop to add Proteus vulgaris ATCC 49132 by puncturing the gel with the loop.</w:t>
      </w:r>
    </w:p>
    <w:p w:rsidR="00417564" w:rsidRDefault="00417564" w:rsidP="00417564">
      <w:pPr>
        <w:numPr>
          <w:ilvl w:val="0"/>
          <w:numId w:val="3"/>
        </w:numPr>
      </w:pPr>
      <w:r>
        <w:t xml:space="preserve">Reseal the </w:t>
      </w:r>
      <w:proofErr w:type="spellStart"/>
      <w:r>
        <w:t>CloTest</w:t>
      </w:r>
      <w:proofErr w:type="spellEnd"/>
      <w:r>
        <w:t xml:space="preserve"> label over the gel.</w:t>
      </w:r>
    </w:p>
    <w:p w:rsidR="00417564" w:rsidRDefault="00417564" w:rsidP="00417564">
      <w:pPr>
        <w:numPr>
          <w:ilvl w:val="0"/>
          <w:numId w:val="3"/>
        </w:numPr>
      </w:pPr>
      <w:r>
        <w:t>Incubate for 3 hours at 35-37°C</w:t>
      </w:r>
      <w:r>
        <w:t>.</w:t>
      </w:r>
    </w:p>
    <w:p w:rsidR="00417564" w:rsidRDefault="00417564" w:rsidP="00417564">
      <w:pPr>
        <w:numPr>
          <w:ilvl w:val="0"/>
          <w:numId w:val="3"/>
        </w:numPr>
      </w:pPr>
      <w:r>
        <w:t>Observe the gel for a positive magenta color change.</w:t>
      </w:r>
    </w:p>
    <w:p w:rsidR="00417564" w:rsidRDefault="00417564" w:rsidP="00417564">
      <w:pPr>
        <w:ind w:left="-720"/>
      </w:pPr>
    </w:p>
    <w:p w:rsidR="00BB0868" w:rsidRDefault="00BB0868" w:rsidP="00417564">
      <w:pPr>
        <w:ind w:left="-720"/>
      </w:pPr>
    </w:p>
    <w:p w:rsidR="009748AF" w:rsidRDefault="00BB0868" w:rsidP="00BB0868">
      <w:pPr>
        <w:ind w:left="-720"/>
      </w:pPr>
      <w:r w:rsidRPr="009748AF">
        <w:rPr>
          <w:b/>
          <w:u w:val="single"/>
        </w:rPr>
        <w:t>Results</w:t>
      </w:r>
      <w:r>
        <w:t xml:space="preserve"> </w:t>
      </w:r>
    </w:p>
    <w:p w:rsidR="00BB0868" w:rsidRDefault="00BB0868" w:rsidP="00BB0868">
      <w:pPr>
        <w:ind w:left="-720"/>
      </w:pPr>
      <w:r>
        <w:t xml:space="preserve">Report </w:t>
      </w:r>
      <w:proofErr w:type="spellStart"/>
      <w:r>
        <w:t>CloTest</w:t>
      </w:r>
      <w:proofErr w:type="spellEnd"/>
      <w:r>
        <w:t xml:space="preserve"> results and positive control if performed in Meditech according to the Serology LIS Policy.</w:t>
      </w:r>
    </w:p>
    <w:p w:rsidR="00BB0868" w:rsidRDefault="00BB0868" w:rsidP="00BB0868">
      <w:pPr>
        <w:ind w:left="-720"/>
      </w:pPr>
    </w:p>
    <w:p w:rsidR="009748AF" w:rsidRDefault="00BB0868" w:rsidP="00BB0868">
      <w:pPr>
        <w:ind w:left="-720"/>
        <w:rPr>
          <w:b/>
          <w:u w:val="single"/>
        </w:rPr>
      </w:pPr>
      <w:r w:rsidRPr="009748AF">
        <w:rPr>
          <w:b/>
          <w:u w:val="single"/>
        </w:rPr>
        <w:t>Reference</w:t>
      </w:r>
    </w:p>
    <w:p w:rsidR="00BB0868" w:rsidRDefault="00BB0868" w:rsidP="00BB0868">
      <w:pPr>
        <w:ind w:left="-720"/>
      </w:pPr>
      <w:proofErr w:type="spellStart"/>
      <w:r>
        <w:t>CloTest</w:t>
      </w:r>
      <w:proofErr w:type="spellEnd"/>
      <w:r>
        <w:t xml:space="preserve"> package insert and positive control tablet vial.</w:t>
      </w:r>
    </w:p>
    <w:p w:rsidR="00BB0868" w:rsidRDefault="00BB0868" w:rsidP="00BB0868">
      <w:pPr>
        <w:ind w:left="-720"/>
      </w:pPr>
    </w:p>
    <w:p w:rsidR="00134DC0" w:rsidRDefault="00134DC0" w:rsidP="00134DC0">
      <w:pPr>
        <w:ind w:left="-720"/>
      </w:pPr>
    </w:p>
    <w:sectPr w:rsidR="00134DC0" w:rsidSect="00CD6087">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3DA3"/>
    <w:multiLevelType w:val="hybridMultilevel"/>
    <w:tmpl w:val="A2C633FA"/>
    <w:lvl w:ilvl="0" w:tplc="0A862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243C4536"/>
    <w:multiLevelType w:val="hybridMultilevel"/>
    <w:tmpl w:val="A2C633FA"/>
    <w:lvl w:ilvl="0" w:tplc="0A862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68710726"/>
    <w:multiLevelType w:val="hybridMultilevel"/>
    <w:tmpl w:val="ECA6306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01"/>
    <w:rsid w:val="00134DC0"/>
    <w:rsid w:val="001B4AE2"/>
    <w:rsid w:val="003E57F6"/>
    <w:rsid w:val="00417564"/>
    <w:rsid w:val="00734593"/>
    <w:rsid w:val="007F4CC8"/>
    <w:rsid w:val="00862CBB"/>
    <w:rsid w:val="008750F3"/>
    <w:rsid w:val="009748AF"/>
    <w:rsid w:val="009A3101"/>
    <w:rsid w:val="00B55D03"/>
    <w:rsid w:val="00BB0868"/>
    <w:rsid w:val="00CD6087"/>
    <w:rsid w:val="00D03471"/>
    <w:rsid w:val="00D547D1"/>
    <w:rsid w:val="00D67C68"/>
    <w:rsid w:val="00EB1A4D"/>
    <w:rsid w:val="00ED69BE"/>
    <w:rsid w:val="00F0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F401CC71-44DC-45A7-9FBC-E301ACA5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A3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74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7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MEVorsten</dc:creator>
  <cp:keywords/>
  <cp:lastModifiedBy>Jordan L. Hepp</cp:lastModifiedBy>
  <cp:revision>2</cp:revision>
  <cp:lastPrinted>2005-06-29T19:14:00Z</cp:lastPrinted>
  <dcterms:created xsi:type="dcterms:W3CDTF">2024-07-14T15:40:00Z</dcterms:created>
  <dcterms:modified xsi:type="dcterms:W3CDTF">2024-07-14T15:40:00Z</dcterms:modified>
</cp:coreProperties>
</file>