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743"/>
        <w:gridCol w:w="927"/>
        <w:gridCol w:w="5410"/>
      </w:tblGrid>
      <w:tr w:rsidR="00ED06C4" w14:paraId="1BB45B86" w14:textId="77777777" w:rsidTr="005E5A12">
        <w:trPr>
          <w:cantSplit/>
          <w:trHeight w:val="829"/>
          <w:jc w:val="center"/>
        </w:trPr>
        <w:tc>
          <w:tcPr>
            <w:tcW w:w="3765" w:type="dxa"/>
            <w:vMerge w:val="restart"/>
          </w:tcPr>
          <w:p w14:paraId="23AB38CB" w14:textId="77777777" w:rsidR="00ED06C4" w:rsidRPr="00235711" w:rsidRDefault="00ED06C4" w:rsidP="005E5A12">
            <w:pPr>
              <w:jc w:val="center"/>
              <w:rPr>
                <w:b/>
                <w:sz w:val="40"/>
                <w:szCs w:val="32"/>
              </w:rPr>
            </w:pPr>
            <w:r w:rsidRPr="00235711">
              <w:rPr>
                <w:b/>
                <w:sz w:val="40"/>
                <w:szCs w:val="32"/>
              </w:rPr>
              <w:t>St. Anthony</w:t>
            </w:r>
          </w:p>
          <w:p w14:paraId="7AAE9BC9" w14:textId="77777777" w:rsidR="00ED06C4" w:rsidRPr="00235711" w:rsidRDefault="00ED06C4" w:rsidP="005E5A12">
            <w:pPr>
              <w:jc w:val="center"/>
              <w:rPr>
                <w:b/>
                <w:sz w:val="40"/>
                <w:szCs w:val="32"/>
              </w:rPr>
            </w:pPr>
            <w:smartTag w:uri="urn:schemas-microsoft-com:office:smarttags" w:element="place">
              <w:smartTag w:uri="urn:schemas-microsoft-com:office:smarttags" w:element="PlaceName">
                <w:r w:rsidRPr="00235711">
                  <w:rPr>
                    <w:b/>
                    <w:sz w:val="40"/>
                    <w:szCs w:val="32"/>
                  </w:rPr>
                  <w:t>Regional</w:t>
                </w:r>
              </w:smartTag>
              <w:r w:rsidRPr="00235711">
                <w:rPr>
                  <w:b/>
                  <w:sz w:val="40"/>
                  <w:szCs w:val="32"/>
                </w:rPr>
                <w:t xml:space="preserve"> </w:t>
              </w:r>
              <w:smartTag w:uri="urn:schemas-microsoft-com:office:smarttags" w:element="PlaceType">
                <w:r w:rsidRPr="00235711">
                  <w:rPr>
                    <w:b/>
                    <w:sz w:val="40"/>
                    <w:szCs w:val="32"/>
                  </w:rPr>
                  <w:t>Hospital</w:t>
                </w:r>
              </w:smartTag>
            </w:smartTag>
          </w:p>
          <w:p w14:paraId="179B5845" w14:textId="77777777" w:rsidR="00ED06C4" w:rsidRDefault="00ED06C4" w:rsidP="005E5A12">
            <w:pPr>
              <w:rPr>
                <w:b/>
                <w:sz w:val="32"/>
                <w:szCs w:val="32"/>
              </w:rPr>
            </w:pPr>
          </w:p>
          <w:p w14:paraId="3D96186C" w14:textId="77777777" w:rsidR="00ED06C4" w:rsidRPr="00235711" w:rsidRDefault="00ED06C4" w:rsidP="005E5A12">
            <w:pPr>
              <w:jc w:val="center"/>
            </w:pPr>
            <w:r w:rsidRPr="00235711">
              <w:t>POLICY/PROCEDURE</w:t>
            </w:r>
          </w:p>
        </w:tc>
        <w:tc>
          <w:tcPr>
            <w:tcW w:w="810" w:type="dxa"/>
            <w:shd w:val="clear" w:color="auto" w:fill="D9D9D9" w:themeFill="background1" w:themeFillShade="D9"/>
            <w:vAlign w:val="center"/>
          </w:tcPr>
          <w:p w14:paraId="4233BA68" w14:textId="77777777" w:rsidR="00ED06C4" w:rsidRPr="00314BB4" w:rsidRDefault="00ED06C4" w:rsidP="005E5A12">
            <w:pPr>
              <w:jc w:val="center"/>
              <w:rPr>
                <w:sz w:val="20"/>
              </w:rPr>
            </w:pPr>
            <w:r w:rsidRPr="00314BB4">
              <w:rPr>
                <w:sz w:val="20"/>
              </w:rPr>
              <w:t>Lab Director</w:t>
            </w:r>
          </w:p>
        </w:tc>
        <w:tc>
          <w:tcPr>
            <w:tcW w:w="5505" w:type="dxa"/>
            <w:shd w:val="clear" w:color="auto" w:fill="auto"/>
          </w:tcPr>
          <w:p w14:paraId="5582F315" w14:textId="77777777" w:rsidR="00ED06C4" w:rsidRDefault="00ED06C4" w:rsidP="005E5A12"/>
        </w:tc>
      </w:tr>
      <w:tr w:rsidR="00ED06C4" w14:paraId="586E4518" w14:textId="77777777" w:rsidTr="005E5A12">
        <w:trPr>
          <w:cantSplit/>
          <w:trHeight w:val="829"/>
          <w:jc w:val="center"/>
        </w:trPr>
        <w:tc>
          <w:tcPr>
            <w:tcW w:w="3765" w:type="dxa"/>
            <w:vMerge/>
          </w:tcPr>
          <w:p w14:paraId="7127F6EC" w14:textId="77777777" w:rsidR="00ED06C4" w:rsidRPr="00235711" w:rsidRDefault="00ED06C4" w:rsidP="005E5A12">
            <w:pPr>
              <w:jc w:val="center"/>
              <w:rPr>
                <w:b/>
                <w:sz w:val="40"/>
                <w:szCs w:val="32"/>
              </w:rPr>
            </w:pPr>
          </w:p>
        </w:tc>
        <w:tc>
          <w:tcPr>
            <w:tcW w:w="810" w:type="dxa"/>
            <w:shd w:val="clear" w:color="auto" w:fill="D9D9D9" w:themeFill="background1" w:themeFillShade="D9"/>
            <w:vAlign w:val="center"/>
          </w:tcPr>
          <w:p w14:paraId="2538B45F" w14:textId="77777777" w:rsidR="00ED06C4" w:rsidRPr="00314BB4" w:rsidRDefault="00ED06C4" w:rsidP="005E5A12">
            <w:pPr>
              <w:jc w:val="center"/>
              <w:rPr>
                <w:sz w:val="20"/>
              </w:rPr>
            </w:pPr>
            <w:r w:rsidRPr="00314BB4">
              <w:rPr>
                <w:sz w:val="20"/>
              </w:rPr>
              <w:t>Lab Manager</w:t>
            </w:r>
          </w:p>
        </w:tc>
        <w:tc>
          <w:tcPr>
            <w:tcW w:w="5505" w:type="dxa"/>
            <w:shd w:val="clear" w:color="auto" w:fill="auto"/>
          </w:tcPr>
          <w:p w14:paraId="0B6C6513" w14:textId="77777777" w:rsidR="00ED06C4" w:rsidRDefault="00ED06C4" w:rsidP="005E5A12"/>
        </w:tc>
      </w:tr>
      <w:tr w:rsidR="00ED06C4" w14:paraId="26EF7B62" w14:textId="77777777" w:rsidTr="005E5A12">
        <w:trPr>
          <w:trHeight w:val="525"/>
          <w:jc w:val="center"/>
        </w:trPr>
        <w:tc>
          <w:tcPr>
            <w:tcW w:w="3765" w:type="dxa"/>
            <w:vAlign w:val="center"/>
          </w:tcPr>
          <w:p w14:paraId="195D9698" w14:textId="77777777" w:rsidR="00ED06C4" w:rsidRDefault="00ED06C4" w:rsidP="005E5A12">
            <w:pPr>
              <w:jc w:val="center"/>
            </w:pPr>
            <w:r>
              <w:t>Laboratory</w:t>
            </w:r>
          </w:p>
        </w:tc>
        <w:tc>
          <w:tcPr>
            <w:tcW w:w="6315" w:type="dxa"/>
            <w:gridSpan w:val="2"/>
            <w:shd w:val="clear" w:color="auto" w:fill="auto"/>
            <w:vAlign w:val="center"/>
          </w:tcPr>
          <w:p w14:paraId="3666F5C6" w14:textId="77777777" w:rsidR="00ED06C4" w:rsidRDefault="00ED06C4" w:rsidP="005E5A12">
            <w:pPr>
              <w:jc w:val="center"/>
            </w:pPr>
            <w:r>
              <w:t>Department: General</w:t>
            </w:r>
          </w:p>
        </w:tc>
      </w:tr>
      <w:tr w:rsidR="00ED06C4" w14:paraId="2A90EF2C" w14:textId="77777777" w:rsidTr="005E5A12">
        <w:trPr>
          <w:trHeight w:val="525"/>
          <w:jc w:val="center"/>
        </w:trPr>
        <w:tc>
          <w:tcPr>
            <w:tcW w:w="10080" w:type="dxa"/>
            <w:gridSpan w:val="3"/>
            <w:vAlign w:val="center"/>
          </w:tcPr>
          <w:p w14:paraId="4C5D18E5" w14:textId="40F78797" w:rsidR="00ED06C4" w:rsidRPr="00C60BF6" w:rsidRDefault="00E16B8A" w:rsidP="00E16B8A">
            <w:pPr>
              <w:rPr>
                <w:b/>
              </w:rPr>
            </w:pPr>
            <w:r>
              <w:rPr>
                <w:b/>
                <w:sz w:val="32"/>
              </w:rPr>
              <w:t>Title: SOP.PHLEB. Obtaining Blood Cultures 20230927</w:t>
            </w:r>
          </w:p>
        </w:tc>
      </w:tr>
    </w:tbl>
    <w:p w14:paraId="5893657A" w14:textId="77777777" w:rsidR="006A4C46" w:rsidRDefault="006A4C46"/>
    <w:p w14:paraId="29A8D2A3" w14:textId="492A8028" w:rsidR="00827B38" w:rsidRDefault="000C519A" w:rsidP="00434338">
      <w:r w:rsidRPr="000C519A">
        <w:rPr>
          <w:b/>
        </w:rPr>
        <w:t>Principle:</w:t>
      </w:r>
      <w:r>
        <w:t xml:space="preserve"> The following procedure should help ensure the proper collection of blood cultures when instructed by an ordering provider.  By adhering to this procedure the integrity of the samples will be preserved by minimizing the probability of contamination via skin flora as well as ensuring the culture can identify a true septic patient.  Proper disinfection of the puncture site and the avoidance of re</w:t>
      </w:r>
      <w:r w:rsidR="00C358C0">
        <w:t>-</w:t>
      </w:r>
      <w:r>
        <w:t>palpation will minimize the chance for contamination. By en</w:t>
      </w:r>
      <w:r w:rsidR="002E2DB1">
        <w:t>forcing</w:t>
      </w:r>
      <w:r>
        <w:t xml:space="preserve"> a minimum amount of whole blood</w:t>
      </w:r>
      <w:r w:rsidR="002E2DB1">
        <w:t xml:space="preserve"> be placed into each bottle, the likelihood of the blood culture to truly identify a septic patient is increased as it safeguards against false negatives due to inadequate sample sizes of whole blood. </w:t>
      </w:r>
    </w:p>
    <w:p w14:paraId="4CA57E79" w14:textId="77777777" w:rsidR="002E2DB1" w:rsidRDefault="002E2DB1" w:rsidP="00434338"/>
    <w:p w14:paraId="03F1B7D6" w14:textId="77777777" w:rsidR="00E105E7" w:rsidRDefault="00E105E7" w:rsidP="00E105E7">
      <w:r w:rsidRPr="00E105E7">
        <w:rPr>
          <w:b/>
        </w:rPr>
        <w:t>Note:</w:t>
      </w:r>
      <w:r>
        <w:t xml:space="preserve"> If a patient is receiving a blood or IV transfusion of any kind, the arm for infusion should NOT be used for drawing blood.  The best place to obtain a specimen, in this case, is from the opposite arm, or, if necessary, below the IV.  Patients with a mastectomy should have blood drawn from the opposite arm.  If this is not possible, notify the patient’s Physician.</w:t>
      </w:r>
    </w:p>
    <w:p w14:paraId="6B2631FB" w14:textId="77777777" w:rsidR="00E105E7" w:rsidRDefault="00E105E7" w:rsidP="00434338"/>
    <w:p w14:paraId="33584E97" w14:textId="77777777" w:rsidR="002E2DB1" w:rsidRDefault="00E105E7" w:rsidP="00434338">
      <w:pPr>
        <w:rPr>
          <w:b/>
        </w:rPr>
      </w:pPr>
      <w:r w:rsidRPr="00E105E7">
        <w:rPr>
          <w:b/>
        </w:rPr>
        <w:t xml:space="preserve">Procedure: </w:t>
      </w:r>
    </w:p>
    <w:p w14:paraId="5DCBB99D" w14:textId="77777777" w:rsidR="00D009F7" w:rsidRDefault="00D009F7" w:rsidP="00E105E7">
      <w:pPr>
        <w:pStyle w:val="ListParagraph"/>
        <w:numPr>
          <w:ilvl w:val="0"/>
          <w:numId w:val="1"/>
        </w:numPr>
      </w:pPr>
      <w:r>
        <w:t>Prepare the blood culture bottles for filling by popping the top off and sterilizing the stopper top with an alcohol prep square. Leave the alcohol square on the top of the bottle until immediately prior to filling.</w:t>
      </w:r>
    </w:p>
    <w:p w14:paraId="6B9CB62A" w14:textId="77777777" w:rsidR="00CD3A7E" w:rsidRDefault="00CD3A7E" w:rsidP="00E105E7">
      <w:pPr>
        <w:pStyle w:val="ListParagraph"/>
        <w:numPr>
          <w:ilvl w:val="0"/>
          <w:numId w:val="1"/>
        </w:numPr>
      </w:pPr>
      <w:r>
        <w:t>Verify the patient’s name and date of birth match the orders/labels that will be affixed to the blood culture bottles</w:t>
      </w:r>
    </w:p>
    <w:p w14:paraId="76056C4E" w14:textId="77777777" w:rsidR="00E105E7" w:rsidRDefault="00E105E7" w:rsidP="00E105E7">
      <w:pPr>
        <w:pStyle w:val="ListParagraph"/>
        <w:numPr>
          <w:ilvl w:val="0"/>
          <w:numId w:val="1"/>
        </w:numPr>
      </w:pPr>
      <w:r w:rsidRPr="00E105E7">
        <w:t>Identify a prospective</w:t>
      </w:r>
      <w:r>
        <w:t xml:space="preserve"> puncture site (each set of blood cultures will require a separate site/puncture).</w:t>
      </w:r>
    </w:p>
    <w:p w14:paraId="4918E0B3" w14:textId="77777777" w:rsidR="00E105E7" w:rsidRDefault="00E105E7" w:rsidP="00E105E7">
      <w:pPr>
        <w:pStyle w:val="ListParagraph"/>
        <w:numPr>
          <w:ilvl w:val="0"/>
          <w:numId w:val="1"/>
        </w:numPr>
      </w:pPr>
      <w:r>
        <w:t>Place the tourniquet on the patient’s arm</w:t>
      </w:r>
      <w:r w:rsidR="00802783">
        <w:t xml:space="preserve"> and assess the identified puncture site. Palpate if needed. If the site is deemed acceptable move on to disinfecting the site.</w:t>
      </w:r>
    </w:p>
    <w:p w14:paraId="5A711050" w14:textId="7E8366D4" w:rsidR="00802783" w:rsidRPr="00AB0F7D" w:rsidRDefault="00802783" w:rsidP="00E105E7">
      <w:pPr>
        <w:pStyle w:val="ListParagraph"/>
        <w:numPr>
          <w:ilvl w:val="0"/>
          <w:numId w:val="1"/>
        </w:numPr>
      </w:pPr>
      <w:r w:rsidRPr="00AB0F7D">
        <w:t xml:space="preserve">Disinfect the site with a </w:t>
      </w:r>
      <w:proofErr w:type="spellStart"/>
      <w:r w:rsidRPr="00AB0F7D">
        <w:t>Chlor</w:t>
      </w:r>
      <w:r w:rsidR="00D009F7" w:rsidRPr="00AB0F7D">
        <w:t>aPrep</w:t>
      </w:r>
      <w:proofErr w:type="spellEnd"/>
      <w:r w:rsidR="00D009F7" w:rsidRPr="00AB0F7D">
        <w:t xml:space="preserve"> or Povidone-I</w:t>
      </w:r>
      <w:r w:rsidRPr="00AB0F7D">
        <w:t>odine swab</w:t>
      </w:r>
      <w:r w:rsidR="00DB3560" w:rsidRPr="00AB0F7D">
        <w:t xml:space="preserve"> for at least 30 seconds using circular motion moving away from the puncture site</w:t>
      </w:r>
      <w:r w:rsidR="00D009F7" w:rsidRPr="00AB0F7D">
        <w:t>. Allow to air dry.</w:t>
      </w:r>
      <w:r w:rsidR="00DB3560" w:rsidRPr="00AB0F7D">
        <w:t xml:space="preserve"> </w:t>
      </w:r>
      <w:r w:rsidR="00DB3560" w:rsidRPr="00AB0F7D">
        <w:rPr>
          <w:u w:val="single"/>
        </w:rPr>
        <w:t xml:space="preserve">Do not “fan” </w:t>
      </w:r>
      <w:proofErr w:type="gramStart"/>
      <w:r w:rsidR="00DB3560" w:rsidRPr="00AB0F7D">
        <w:rPr>
          <w:u w:val="single"/>
        </w:rPr>
        <w:t>dry.</w:t>
      </w:r>
      <w:proofErr w:type="gramEnd"/>
      <w:r w:rsidR="00DB3560" w:rsidRPr="00AB0F7D">
        <w:t xml:space="preserve"> </w:t>
      </w:r>
      <w:r w:rsidR="00BE0C11" w:rsidRPr="00AB0F7D">
        <w:t xml:space="preserve"> </w:t>
      </w:r>
      <w:r w:rsidR="00BE0C11" w:rsidRPr="00AB0F7D">
        <w:rPr>
          <w:u w:val="single"/>
        </w:rPr>
        <w:t>Do not re</w:t>
      </w:r>
      <w:r w:rsidR="00C358C0">
        <w:rPr>
          <w:u w:val="single"/>
        </w:rPr>
        <w:t>-</w:t>
      </w:r>
      <w:bookmarkStart w:id="0" w:name="_GoBack"/>
      <w:bookmarkEnd w:id="0"/>
      <w:r w:rsidR="00BE0C11" w:rsidRPr="00AB0F7D">
        <w:rPr>
          <w:u w:val="single"/>
        </w:rPr>
        <w:t>palpate the site.</w:t>
      </w:r>
      <w:r w:rsidR="00BE0C11" w:rsidRPr="00AB0F7D">
        <w:t xml:space="preserve">  Doing so reintroduces bacterial contamination to the site.</w:t>
      </w:r>
    </w:p>
    <w:p w14:paraId="3E8BAC5F" w14:textId="3EA22CCA" w:rsidR="00D009F7" w:rsidRDefault="00D009F7" w:rsidP="00D009F7">
      <w:pPr>
        <w:pStyle w:val="ListParagraph"/>
        <w:numPr>
          <w:ilvl w:val="0"/>
          <w:numId w:val="1"/>
        </w:numPr>
      </w:pPr>
      <w:r>
        <w:t>Perform the venipu</w:t>
      </w:r>
      <w:r w:rsidR="004D362A">
        <w:t>n</w:t>
      </w:r>
      <w:r>
        <w:t>cture by inserting the needle at a 30° angle or less into the patient</w:t>
      </w:r>
      <w:r w:rsidR="0003136F">
        <w:t>’s</w:t>
      </w:r>
      <w:r>
        <w:t xml:space="preserve"> vein.</w:t>
      </w:r>
    </w:p>
    <w:p w14:paraId="0F609427" w14:textId="77777777" w:rsidR="00D009F7" w:rsidRDefault="00D009F7" w:rsidP="00D009F7">
      <w:pPr>
        <w:pStyle w:val="ListParagraph"/>
        <w:numPr>
          <w:ilvl w:val="0"/>
          <w:numId w:val="1"/>
        </w:numPr>
      </w:pPr>
      <w:r>
        <w:t xml:space="preserve">If using a butterfly needle you can remove the alcohol square from the top of the aerobic green bottle and puncture the septum using the </w:t>
      </w:r>
      <w:r w:rsidR="009364EC">
        <w:t>sheathed needle on the opposite end of the butterfly line from the venipuncture site.  Allow the vacuum to pull 10cc of whole blood from the patient into the bottle before pulling the sheathed needle out of the bottle and immediately following this same procedure for the anaerobic burgundy bottle.</w:t>
      </w:r>
    </w:p>
    <w:p w14:paraId="07205544" w14:textId="77777777" w:rsidR="00CD3A7E" w:rsidRDefault="00CD3A7E" w:rsidP="00BE0C11">
      <w:pPr>
        <w:pStyle w:val="ListParagraph"/>
        <w:numPr>
          <w:ilvl w:val="1"/>
          <w:numId w:val="1"/>
        </w:numPr>
      </w:pPr>
      <w:r>
        <w:lastRenderedPageBreak/>
        <w:t>The green aerobic bottle needs to be filled first as the vacuum will be pulling the air present in the tubing/needle into the bottle. After filling the aerobic bottle the tubing will be filled exclusively with whole blood.  This absence of air will preserve the anaerobic environment when filling the anaerobic bottle.</w:t>
      </w:r>
    </w:p>
    <w:p w14:paraId="4228B8D1" w14:textId="6152943E" w:rsidR="004C655F" w:rsidRDefault="004C655F" w:rsidP="004C655F">
      <w:pPr>
        <w:pStyle w:val="ListParagraph"/>
        <w:numPr>
          <w:ilvl w:val="1"/>
          <w:numId w:val="1"/>
        </w:numPr>
      </w:pPr>
      <w:r>
        <w:t xml:space="preserve">Venipunctures using a </w:t>
      </w:r>
      <w:r w:rsidRPr="0003136F">
        <w:rPr>
          <w:u w:val="single"/>
        </w:rPr>
        <w:t>20cc syringe</w:t>
      </w:r>
      <w:r>
        <w:t xml:space="preserve"> with either a straight needle or butterfly setup will need to remove the needle from the patient, apply a gauze 2x2 to the venipuncture site with </w:t>
      </w:r>
      <w:proofErr w:type="spellStart"/>
      <w:r>
        <w:t>CoFlex</w:t>
      </w:r>
      <w:proofErr w:type="spellEnd"/>
      <w:r>
        <w:t>, attach a transfer needle to the 20cc syringe, and begin filling the blood culture bottles (aerobic then anaerobic) using aseptic technique.</w:t>
      </w:r>
    </w:p>
    <w:p w14:paraId="7E73D4E9" w14:textId="77777777" w:rsidR="00CD3A7E" w:rsidRPr="00CD3A7E" w:rsidRDefault="00CD3A7E" w:rsidP="00BE0C11">
      <w:pPr>
        <w:pStyle w:val="ListParagraph"/>
        <w:numPr>
          <w:ilvl w:val="1"/>
          <w:numId w:val="1"/>
        </w:numPr>
        <w:rPr>
          <w:b/>
        </w:rPr>
      </w:pPr>
      <w:r w:rsidRPr="00CD3A7E">
        <w:rPr>
          <w:b/>
        </w:rPr>
        <w:t>Notes:</w:t>
      </w:r>
    </w:p>
    <w:p w14:paraId="3CBBEC3A" w14:textId="77777777" w:rsidR="00BE0C11" w:rsidRPr="00B355DB" w:rsidRDefault="00BE0C11" w:rsidP="00CD3A7E">
      <w:pPr>
        <w:pStyle w:val="ListParagraph"/>
        <w:numPr>
          <w:ilvl w:val="2"/>
          <w:numId w:val="1"/>
        </w:numPr>
      </w:pPr>
      <w:r w:rsidRPr="00B355DB">
        <w:t xml:space="preserve">A minimum of 5ml needs to be placed into each blood culture bottle. </w:t>
      </w:r>
    </w:p>
    <w:p w14:paraId="10623109" w14:textId="08F3188C" w:rsidR="000A5590" w:rsidRPr="000A5590" w:rsidRDefault="000A5590" w:rsidP="00CD3A7E">
      <w:pPr>
        <w:pStyle w:val="ListParagraph"/>
        <w:numPr>
          <w:ilvl w:val="2"/>
          <w:numId w:val="1"/>
        </w:numPr>
      </w:pPr>
      <w:r w:rsidRPr="000A5590">
        <w:t xml:space="preserve">If there is not enough blood to put </w:t>
      </w:r>
      <w:r w:rsidR="004102BE">
        <w:t>at least 5</w:t>
      </w:r>
      <w:r w:rsidRPr="000A5590">
        <w:t xml:space="preserve">ml in each bottle – put whatever blood is available in the aerobic bottle and ask the physician if that is permissible or if </w:t>
      </w:r>
      <w:r>
        <w:t>t</w:t>
      </w:r>
      <w:r w:rsidRPr="000A5590">
        <w:t>he</w:t>
      </w:r>
      <w:r>
        <w:t>y</w:t>
      </w:r>
      <w:r w:rsidRPr="000A5590">
        <w:t xml:space="preserve"> would like an anaerobic bottle drawn.  </w:t>
      </w:r>
    </w:p>
    <w:p w14:paraId="21FFD015" w14:textId="5A5C3547" w:rsidR="009364EC" w:rsidRDefault="009364EC" w:rsidP="00D009F7">
      <w:pPr>
        <w:pStyle w:val="ListParagraph"/>
        <w:numPr>
          <w:ilvl w:val="0"/>
          <w:numId w:val="1"/>
        </w:numPr>
      </w:pPr>
      <w:r>
        <w:t xml:space="preserve">Any labs that need to be drawn can be collected </w:t>
      </w:r>
      <w:r w:rsidR="000A5590">
        <w:t>following the blood cultures</w:t>
      </w:r>
      <w:r>
        <w:t xml:space="preserve"> using the sheathed needle following the proper order of draw (blue citrate tubes, </w:t>
      </w:r>
      <w:r w:rsidR="004C655F">
        <w:t xml:space="preserve">yellow SST, </w:t>
      </w:r>
      <w:r>
        <w:t>green lithium heparin, lavender so</w:t>
      </w:r>
      <w:r w:rsidR="004C655F">
        <w:t>dium EDTA, gray sodium fluoride</w:t>
      </w:r>
      <w:r>
        <w:t>).</w:t>
      </w:r>
    </w:p>
    <w:p w14:paraId="0A7E2AF2" w14:textId="22B744FE" w:rsidR="009364EC" w:rsidRPr="00E105E7" w:rsidRDefault="0003136F" w:rsidP="004C655F">
      <w:pPr>
        <w:pStyle w:val="ListParagraph"/>
        <w:numPr>
          <w:ilvl w:val="0"/>
          <w:numId w:val="1"/>
        </w:numPr>
      </w:pPr>
      <w:r>
        <w:t xml:space="preserve">When all venous blood that is needed has been collected, remove the needle from the patient’s vein and apply pressure with a gauze 2x2 and </w:t>
      </w:r>
      <w:proofErr w:type="spellStart"/>
      <w:r>
        <w:t>CoFlex</w:t>
      </w:r>
      <w:proofErr w:type="spellEnd"/>
      <w:r>
        <w:t>.</w:t>
      </w:r>
    </w:p>
    <w:sectPr w:rsidR="009364EC" w:rsidRPr="00E105E7" w:rsidSect="006A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22122"/>
    <w:multiLevelType w:val="hybridMultilevel"/>
    <w:tmpl w:val="B2EC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3F"/>
    <w:rsid w:val="0003136F"/>
    <w:rsid w:val="0005732B"/>
    <w:rsid w:val="000A5590"/>
    <w:rsid w:val="000C519A"/>
    <w:rsid w:val="000E60C5"/>
    <w:rsid w:val="000F49D7"/>
    <w:rsid w:val="00131497"/>
    <w:rsid w:val="001E0E4A"/>
    <w:rsid w:val="002E2DB1"/>
    <w:rsid w:val="004102BE"/>
    <w:rsid w:val="004128D0"/>
    <w:rsid w:val="004145A5"/>
    <w:rsid w:val="0042233F"/>
    <w:rsid w:val="00434338"/>
    <w:rsid w:val="004A555D"/>
    <w:rsid w:val="004C655F"/>
    <w:rsid w:val="004D362A"/>
    <w:rsid w:val="00603BD6"/>
    <w:rsid w:val="006123D1"/>
    <w:rsid w:val="006914FD"/>
    <w:rsid w:val="006A4C46"/>
    <w:rsid w:val="007E4C70"/>
    <w:rsid w:val="007E5097"/>
    <w:rsid w:val="00802783"/>
    <w:rsid w:val="00827B38"/>
    <w:rsid w:val="009364EC"/>
    <w:rsid w:val="00950B59"/>
    <w:rsid w:val="009552B2"/>
    <w:rsid w:val="0097612B"/>
    <w:rsid w:val="00994B09"/>
    <w:rsid w:val="009C46AC"/>
    <w:rsid w:val="00A05EFD"/>
    <w:rsid w:val="00A129FD"/>
    <w:rsid w:val="00AB0F7D"/>
    <w:rsid w:val="00B16043"/>
    <w:rsid w:val="00B355DB"/>
    <w:rsid w:val="00B603B8"/>
    <w:rsid w:val="00BE0C11"/>
    <w:rsid w:val="00C358C0"/>
    <w:rsid w:val="00CD3A7E"/>
    <w:rsid w:val="00CE2386"/>
    <w:rsid w:val="00D009F7"/>
    <w:rsid w:val="00DB3560"/>
    <w:rsid w:val="00E105E7"/>
    <w:rsid w:val="00E16B8A"/>
    <w:rsid w:val="00EC1550"/>
    <w:rsid w:val="00ED06C4"/>
    <w:rsid w:val="00ED57B0"/>
    <w:rsid w:val="00F6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897B85"/>
  <w15:docId w15:val="{04E92286-F679-44FB-AF9F-2C525FF4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B38"/>
    <w:rPr>
      <w:color w:val="0000FF" w:themeColor="hyperlink"/>
      <w:u w:val="single"/>
    </w:rPr>
  </w:style>
  <w:style w:type="character" w:styleId="FollowedHyperlink">
    <w:name w:val="FollowedHyperlink"/>
    <w:basedOn w:val="DefaultParagraphFont"/>
    <w:uiPriority w:val="99"/>
    <w:semiHidden/>
    <w:unhideWhenUsed/>
    <w:rsid w:val="00827B38"/>
    <w:rPr>
      <w:color w:val="800080" w:themeColor="followedHyperlink"/>
      <w:u w:val="single"/>
    </w:rPr>
  </w:style>
  <w:style w:type="paragraph" w:styleId="ListParagraph">
    <w:name w:val="List Paragraph"/>
    <w:basedOn w:val="Normal"/>
    <w:uiPriority w:val="34"/>
    <w:qFormat/>
    <w:rsid w:val="00E105E7"/>
    <w:pPr>
      <w:ind w:left="720"/>
      <w:contextualSpacing/>
    </w:pPr>
  </w:style>
  <w:style w:type="character" w:styleId="CommentReference">
    <w:name w:val="annotation reference"/>
    <w:basedOn w:val="DefaultParagraphFont"/>
    <w:uiPriority w:val="99"/>
    <w:semiHidden/>
    <w:unhideWhenUsed/>
    <w:rsid w:val="0005732B"/>
    <w:rPr>
      <w:sz w:val="16"/>
      <w:szCs w:val="16"/>
    </w:rPr>
  </w:style>
  <w:style w:type="paragraph" w:styleId="CommentText">
    <w:name w:val="annotation text"/>
    <w:basedOn w:val="Normal"/>
    <w:link w:val="CommentTextChar"/>
    <w:uiPriority w:val="99"/>
    <w:semiHidden/>
    <w:unhideWhenUsed/>
    <w:rsid w:val="0005732B"/>
    <w:rPr>
      <w:sz w:val="20"/>
      <w:szCs w:val="20"/>
    </w:rPr>
  </w:style>
  <w:style w:type="character" w:customStyle="1" w:styleId="CommentTextChar">
    <w:name w:val="Comment Text Char"/>
    <w:basedOn w:val="DefaultParagraphFont"/>
    <w:link w:val="CommentText"/>
    <w:uiPriority w:val="99"/>
    <w:semiHidden/>
    <w:rsid w:val="000573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32B"/>
    <w:rPr>
      <w:b/>
      <w:bCs/>
    </w:rPr>
  </w:style>
  <w:style w:type="character" w:customStyle="1" w:styleId="CommentSubjectChar">
    <w:name w:val="Comment Subject Char"/>
    <w:basedOn w:val="CommentTextChar"/>
    <w:link w:val="CommentSubject"/>
    <w:uiPriority w:val="99"/>
    <w:semiHidden/>
    <w:rsid w:val="000573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7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3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SARH</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Aspen J. Stone</cp:lastModifiedBy>
  <cp:revision>3</cp:revision>
  <cp:lastPrinted>2020-04-16T15:42:00Z</cp:lastPrinted>
  <dcterms:created xsi:type="dcterms:W3CDTF">2024-01-05T18:06:00Z</dcterms:created>
  <dcterms:modified xsi:type="dcterms:W3CDTF">2025-01-31T16:46:00Z</dcterms:modified>
</cp:coreProperties>
</file>