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743"/>
        <w:gridCol w:w="927"/>
        <w:gridCol w:w="5410"/>
      </w:tblGrid>
      <w:tr w:rsidR="00F729A4" w:rsidTr="005E5A12">
        <w:trPr>
          <w:cantSplit/>
          <w:trHeight w:val="829"/>
          <w:jc w:val="center"/>
        </w:trPr>
        <w:tc>
          <w:tcPr>
            <w:tcW w:w="3765" w:type="dxa"/>
            <w:vMerge w:val="restart"/>
          </w:tcPr>
          <w:p w:rsidR="00F729A4" w:rsidRPr="00235711" w:rsidRDefault="00F729A4" w:rsidP="005E5A12">
            <w:pPr>
              <w:jc w:val="center"/>
              <w:rPr>
                <w:b/>
                <w:sz w:val="40"/>
                <w:szCs w:val="32"/>
              </w:rPr>
            </w:pPr>
            <w:r w:rsidRPr="00235711">
              <w:rPr>
                <w:b/>
                <w:sz w:val="40"/>
                <w:szCs w:val="32"/>
              </w:rPr>
              <w:t>St. Anthony</w:t>
            </w:r>
          </w:p>
          <w:p w:rsidR="00F729A4" w:rsidRPr="00235711" w:rsidRDefault="00F729A4" w:rsidP="005E5A12">
            <w:pPr>
              <w:jc w:val="center"/>
              <w:rPr>
                <w:b/>
                <w:sz w:val="40"/>
                <w:szCs w:val="32"/>
              </w:rPr>
            </w:pPr>
            <w:smartTag w:uri="urn:schemas-microsoft-com:office:smarttags" w:element="place">
              <w:smartTag w:uri="urn:schemas-microsoft-com:office:smarttags" w:element="PlaceName">
                <w:r w:rsidRPr="00235711">
                  <w:rPr>
                    <w:b/>
                    <w:sz w:val="40"/>
                    <w:szCs w:val="32"/>
                  </w:rPr>
                  <w:t>Regional</w:t>
                </w:r>
              </w:smartTag>
              <w:r w:rsidRPr="00235711">
                <w:rPr>
                  <w:b/>
                  <w:sz w:val="40"/>
                  <w:szCs w:val="32"/>
                </w:rPr>
                <w:t xml:space="preserve"> </w:t>
              </w:r>
              <w:smartTag w:uri="urn:schemas-microsoft-com:office:smarttags" w:element="PlaceType">
                <w:r w:rsidRPr="00235711">
                  <w:rPr>
                    <w:b/>
                    <w:sz w:val="40"/>
                    <w:szCs w:val="32"/>
                  </w:rPr>
                  <w:t>Hospital</w:t>
                </w:r>
              </w:smartTag>
            </w:smartTag>
          </w:p>
          <w:p w:rsidR="00F729A4" w:rsidRDefault="00F729A4" w:rsidP="005E5A12">
            <w:pPr>
              <w:rPr>
                <w:b/>
                <w:sz w:val="32"/>
                <w:szCs w:val="32"/>
              </w:rPr>
            </w:pPr>
          </w:p>
          <w:p w:rsidR="00F729A4" w:rsidRPr="00235711" w:rsidRDefault="00F729A4" w:rsidP="005E5A12">
            <w:pPr>
              <w:jc w:val="center"/>
            </w:pPr>
            <w:r w:rsidRPr="00235711">
              <w:t>POLICY/PROCEDURE</w:t>
            </w:r>
          </w:p>
        </w:tc>
        <w:tc>
          <w:tcPr>
            <w:tcW w:w="810" w:type="dxa"/>
            <w:shd w:val="clear" w:color="auto" w:fill="D9D9D9" w:themeFill="background1" w:themeFillShade="D9"/>
            <w:vAlign w:val="center"/>
          </w:tcPr>
          <w:p w:rsidR="00F729A4" w:rsidRPr="00314BB4" w:rsidRDefault="00F729A4" w:rsidP="005E5A12">
            <w:pPr>
              <w:jc w:val="center"/>
              <w:rPr>
                <w:sz w:val="20"/>
              </w:rPr>
            </w:pPr>
            <w:r w:rsidRPr="00314BB4">
              <w:rPr>
                <w:sz w:val="20"/>
              </w:rPr>
              <w:t>Lab Director</w:t>
            </w:r>
          </w:p>
        </w:tc>
        <w:tc>
          <w:tcPr>
            <w:tcW w:w="5505" w:type="dxa"/>
            <w:shd w:val="clear" w:color="auto" w:fill="auto"/>
          </w:tcPr>
          <w:p w:rsidR="00F729A4" w:rsidRDefault="00F729A4" w:rsidP="005E5A12"/>
        </w:tc>
      </w:tr>
      <w:tr w:rsidR="00F729A4" w:rsidTr="005E5A12">
        <w:trPr>
          <w:cantSplit/>
          <w:trHeight w:val="829"/>
          <w:jc w:val="center"/>
        </w:trPr>
        <w:tc>
          <w:tcPr>
            <w:tcW w:w="3765" w:type="dxa"/>
            <w:vMerge/>
          </w:tcPr>
          <w:p w:rsidR="00F729A4" w:rsidRPr="00235711" w:rsidRDefault="00F729A4" w:rsidP="005E5A12">
            <w:pPr>
              <w:jc w:val="center"/>
              <w:rPr>
                <w:b/>
                <w:sz w:val="40"/>
                <w:szCs w:val="32"/>
              </w:rPr>
            </w:pPr>
          </w:p>
        </w:tc>
        <w:tc>
          <w:tcPr>
            <w:tcW w:w="810" w:type="dxa"/>
            <w:shd w:val="clear" w:color="auto" w:fill="D9D9D9" w:themeFill="background1" w:themeFillShade="D9"/>
            <w:vAlign w:val="center"/>
          </w:tcPr>
          <w:p w:rsidR="00F729A4" w:rsidRPr="00314BB4" w:rsidRDefault="00F729A4" w:rsidP="005E5A12">
            <w:pPr>
              <w:jc w:val="center"/>
              <w:rPr>
                <w:sz w:val="20"/>
              </w:rPr>
            </w:pPr>
            <w:r w:rsidRPr="00314BB4">
              <w:rPr>
                <w:sz w:val="20"/>
              </w:rPr>
              <w:t>Lab Manager</w:t>
            </w:r>
          </w:p>
        </w:tc>
        <w:tc>
          <w:tcPr>
            <w:tcW w:w="5505" w:type="dxa"/>
            <w:shd w:val="clear" w:color="auto" w:fill="auto"/>
          </w:tcPr>
          <w:p w:rsidR="00F729A4" w:rsidRDefault="00F729A4" w:rsidP="005E5A12"/>
        </w:tc>
      </w:tr>
      <w:tr w:rsidR="00F729A4" w:rsidTr="005E5A12">
        <w:trPr>
          <w:trHeight w:val="525"/>
          <w:jc w:val="center"/>
        </w:trPr>
        <w:tc>
          <w:tcPr>
            <w:tcW w:w="3765" w:type="dxa"/>
            <w:vAlign w:val="center"/>
          </w:tcPr>
          <w:p w:rsidR="00F729A4" w:rsidRDefault="00F729A4" w:rsidP="005E5A12">
            <w:pPr>
              <w:jc w:val="center"/>
            </w:pPr>
            <w:r>
              <w:t>Laboratory</w:t>
            </w:r>
          </w:p>
        </w:tc>
        <w:tc>
          <w:tcPr>
            <w:tcW w:w="6315" w:type="dxa"/>
            <w:gridSpan w:val="2"/>
            <w:shd w:val="clear" w:color="auto" w:fill="auto"/>
            <w:vAlign w:val="center"/>
          </w:tcPr>
          <w:p w:rsidR="00F729A4" w:rsidRDefault="00F729A4" w:rsidP="005E5A12">
            <w:pPr>
              <w:jc w:val="center"/>
            </w:pPr>
            <w:r>
              <w:t>Department: General</w:t>
            </w:r>
          </w:p>
        </w:tc>
      </w:tr>
      <w:tr w:rsidR="00F729A4" w:rsidTr="005E5A12">
        <w:trPr>
          <w:trHeight w:val="525"/>
          <w:jc w:val="center"/>
        </w:trPr>
        <w:tc>
          <w:tcPr>
            <w:tcW w:w="10080" w:type="dxa"/>
            <w:gridSpan w:val="3"/>
            <w:vAlign w:val="center"/>
          </w:tcPr>
          <w:p w:rsidR="00F729A4" w:rsidRPr="00C60BF6" w:rsidRDefault="00F729A4" w:rsidP="005E5A12">
            <w:pPr>
              <w:rPr>
                <w:b/>
              </w:rPr>
            </w:pPr>
            <w:r>
              <w:rPr>
                <w:b/>
                <w:sz w:val="32"/>
              </w:rPr>
              <w:t xml:space="preserve">Title: </w:t>
            </w:r>
            <w:r w:rsidRPr="00C60BF6">
              <w:rPr>
                <w:b/>
                <w:sz w:val="32"/>
              </w:rPr>
              <w:fldChar w:fldCharType="begin"/>
            </w:r>
            <w:r w:rsidRPr="00C60BF6">
              <w:rPr>
                <w:b/>
                <w:sz w:val="32"/>
              </w:rPr>
              <w:instrText xml:space="preserve"> FILENAME  \* FirstCap  \* MERGEFORMAT </w:instrText>
            </w:r>
            <w:r w:rsidRPr="00C60BF6">
              <w:rPr>
                <w:b/>
                <w:sz w:val="32"/>
              </w:rPr>
              <w:fldChar w:fldCharType="separate"/>
            </w:r>
            <w:r w:rsidR="009A1DC1">
              <w:rPr>
                <w:b/>
                <w:noProof/>
                <w:sz w:val="32"/>
              </w:rPr>
              <w:t>SOP.GEN.006 Specimen Labeling Policy 20220822</w:t>
            </w:r>
            <w:r w:rsidRPr="00C60BF6">
              <w:rPr>
                <w:b/>
                <w:sz w:val="32"/>
              </w:rPr>
              <w:fldChar w:fldCharType="end"/>
            </w:r>
            <w:bookmarkStart w:id="0" w:name="_GoBack"/>
            <w:bookmarkEnd w:id="0"/>
          </w:p>
        </w:tc>
      </w:tr>
    </w:tbl>
    <w:p w:rsidR="006A4C46" w:rsidRDefault="006A4C46"/>
    <w:p w:rsidR="00827B38" w:rsidRDefault="00397370" w:rsidP="00434338">
      <w:r w:rsidRPr="00265057">
        <w:rPr>
          <w:b/>
        </w:rPr>
        <w:t>Principle:</w:t>
      </w:r>
      <w:r>
        <w:t xml:space="preserve"> Proper specimen labeling is one of the first steps the Laboratory must take to ensure the integrity of the specimen.</w:t>
      </w:r>
    </w:p>
    <w:p w:rsidR="00397370" w:rsidRDefault="00397370" w:rsidP="00434338"/>
    <w:p w:rsidR="00397370" w:rsidRPr="00F729A4" w:rsidRDefault="00397370" w:rsidP="00434338">
      <w:pPr>
        <w:rPr>
          <w:b/>
        </w:rPr>
      </w:pPr>
      <w:r w:rsidRPr="00265057">
        <w:rPr>
          <w:b/>
        </w:rPr>
        <w:t xml:space="preserve">Policy: </w:t>
      </w:r>
    </w:p>
    <w:p w:rsidR="00397370" w:rsidRDefault="00397370" w:rsidP="00434338">
      <w:r>
        <w:t>Each specimen container must be labeled with the following information:</w:t>
      </w:r>
    </w:p>
    <w:p w:rsidR="000B04FD" w:rsidRDefault="000B04FD" w:rsidP="000B04FD">
      <w:pPr>
        <w:pStyle w:val="ListParagraph"/>
      </w:pPr>
    </w:p>
    <w:p w:rsidR="00397370" w:rsidRDefault="00397370" w:rsidP="000B04FD">
      <w:pPr>
        <w:pStyle w:val="ListParagraph"/>
        <w:numPr>
          <w:ilvl w:val="0"/>
          <w:numId w:val="1"/>
        </w:numPr>
      </w:pPr>
      <w:r>
        <w:t>First and last name of the patient.</w:t>
      </w:r>
    </w:p>
    <w:p w:rsidR="00397370" w:rsidRDefault="00397370" w:rsidP="000B04FD">
      <w:pPr>
        <w:pStyle w:val="ListParagraph"/>
        <w:numPr>
          <w:ilvl w:val="0"/>
          <w:numId w:val="1"/>
        </w:numPr>
      </w:pPr>
      <w:r>
        <w:t>Date of birth of the patient.</w:t>
      </w:r>
    </w:p>
    <w:p w:rsidR="00397370" w:rsidRDefault="00397370" w:rsidP="000B04FD">
      <w:pPr>
        <w:pStyle w:val="ListParagraph"/>
        <w:numPr>
          <w:ilvl w:val="0"/>
          <w:numId w:val="1"/>
        </w:numPr>
      </w:pPr>
      <w:r>
        <w:t>Initials of the person collecting the specimen.</w:t>
      </w:r>
    </w:p>
    <w:p w:rsidR="00397370" w:rsidRDefault="00397370" w:rsidP="000B04FD">
      <w:pPr>
        <w:pStyle w:val="ListParagraph"/>
        <w:numPr>
          <w:ilvl w:val="0"/>
          <w:numId w:val="1"/>
        </w:numPr>
      </w:pPr>
      <w:r>
        <w:t>Date and time of collection.</w:t>
      </w:r>
    </w:p>
    <w:p w:rsidR="00397370" w:rsidRDefault="00397370" w:rsidP="000B04FD">
      <w:pPr>
        <w:pStyle w:val="ListParagraph"/>
        <w:numPr>
          <w:ilvl w:val="0"/>
          <w:numId w:val="1"/>
        </w:numPr>
      </w:pPr>
      <w:r>
        <w:t>Specimens “collected by nurse” needs collection time and “CBN” transcribed to the barcode label before affixing it to the tube.</w:t>
      </w:r>
    </w:p>
    <w:p w:rsidR="00397370" w:rsidRDefault="00397370" w:rsidP="000B04FD">
      <w:pPr>
        <w:pStyle w:val="ListParagraph"/>
        <w:numPr>
          <w:ilvl w:val="0"/>
          <w:numId w:val="1"/>
        </w:numPr>
      </w:pPr>
      <w:r>
        <w:t>Specimens other than blood need to be labeled with the specimen type.</w:t>
      </w:r>
    </w:p>
    <w:p w:rsidR="00397370" w:rsidRDefault="00397370" w:rsidP="000B04FD">
      <w:pPr>
        <w:pStyle w:val="ListParagraph"/>
        <w:numPr>
          <w:ilvl w:val="0"/>
          <w:numId w:val="1"/>
        </w:numPr>
      </w:pPr>
      <w:r>
        <w:t>If the blood being collected by an R.N</w:t>
      </w:r>
      <w:r w:rsidR="000B04FD">
        <w:t xml:space="preserve">. </w:t>
      </w:r>
      <w:r w:rsidR="00662B31">
        <w:t xml:space="preserve">is </w:t>
      </w:r>
      <w:r w:rsidR="000B04FD">
        <w:t>for Bloo</w:t>
      </w:r>
      <w:r>
        <w:t>d Bank studies –</w:t>
      </w:r>
      <w:r w:rsidR="000B04FD">
        <w:t xml:space="preserve"> Under the ‘Edit Sample Type Receive Data’ tab on the receive screen, in the comments window,</w:t>
      </w:r>
      <w:r>
        <w:t xml:space="preserve"> use F5, CBN canned text, and once the canned text populates type in the nurses name (not initials).  The observer’s name (phlebotomist/tech) will be filled in automatically. Verify that the information is correct before filing.</w:t>
      </w:r>
    </w:p>
    <w:p w:rsidR="00397370" w:rsidRDefault="00397370" w:rsidP="00434338"/>
    <w:p w:rsidR="00397370" w:rsidRDefault="00397370" w:rsidP="00434338">
      <w:r>
        <w:t>Labels, if available, must</w:t>
      </w:r>
      <w:r w:rsidR="000B04FD">
        <w:t xml:space="preserve"> be affixed to the tubes at the time of the draw.</w:t>
      </w:r>
    </w:p>
    <w:p w:rsidR="000B04FD" w:rsidRDefault="000B04FD" w:rsidP="00434338"/>
    <w:p w:rsidR="000B04FD" w:rsidRDefault="000B04FD" w:rsidP="00434338">
      <w:r>
        <w:t xml:space="preserve">Testing should not be performed until the specimen tube is properly labeled.  Every effort should be made to find the appropriate person to have the sample properly labeled.  If, after considerable effort has been made, the appropriate person cannot be located, samples are to be run provided they contain enough information to identify with the correct patient.  </w:t>
      </w:r>
    </w:p>
    <w:p w:rsidR="000B04FD" w:rsidRDefault="000B04FD" w:rsidP="00434338"/>
    <w:p w:rsidR="000B04FD" w:rsidRDefault="000B04FD" w:rsidP="00434338">
      <w:r>
        <w:t>Exceptions: STAT testing is not to be delayed provided the specimen tubes contain enough information to identify with the correct patient.</w:t>
      </w:r>
    </w:p>
    <w:p w:rsidR="000B04FD" w:rsidRDefault="000B04FD" w:rsidP="00434338"/>
    <w:p w:rsidR="000B04FD" w:rsidRDefault="000B04FD" w:rsidP="00434338">
      <w:r>
        <w:t>Out-patient and Reference testing:</w:t>
      </w:r>
    </w:p>
    <w:p w:rsidR="000B04FD" w:rsidRDefault="000B04FD" w:rsidP="00434338"/>
    <w:p w:rsidR="000B04FD" w:rsidRPr="00EC1550" w:rsidRDefault="000B04FD" w:rsidP="00434338">
      <w:r>
        <w:t>Specimens sent to St. Anthony Regional Hospital</w:t>
      </w:r>
      <w:r w:rsidR="00265057">
        <w:t xml:space="preserve"> Laboratory must be labeled to match the information on the accompanying requisition.  Mislabeled or unlabeled specimens will not be accepted.  The time of collection and CBN will be transcribed to the barcode label.</w:t>
      </w:r>
    </w:p>
    <w:sectPr w:rsidR="000B04FD" w:rsidRPr="00EC1550" w:rsidSect="006A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E751A8"/>
    <w:multiLevelType w:val="hybridMultilevel"/>
    <w:tmpl w:val="B4A23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42233F"/>
    <w:rsid w:val="000B04FD"/>
    <w:rsid w:val="000E60C5"/>
    <w:rsid w:val="000F49D7"/>
    <w:rsid w:val="00131497"/>
    <w:rsid w:val="00265057"/>
    <w:rsid w:val="00397370"/>
    <w:rsid w:val="004128D0"/>
    <w:rsid w:val="004145A5"/>
    <w:rsid w:val="0042233F"/>
    <w:rsid w:val="00434338"/>
    <w:rsid w:val="004A555D"/>
    <w:rsid w:val="004E03BD"/>
    <w:rsid w:val="00603BD6"/>
    <w:rsid w:val="006123D1"/>
    <w:rsid w:val="00662B31"/>
    <w:rsid w:val="006914FD"/>
    <w:rsid w:val="006A4C46"/>
    <w:rsid w:val="007E4C70"/>
    <w:rsid w:val="007E5097"/>
    <w:rsid w:val="00827B38"/>
    <w:rsid w:val="00950B59"/>
    <w:rsid w:val="009552B2"/>
    <w:rsid w:val="0097612B"/>
    <w:rsid w:val="00994B09"/>
    <w:rsid w:val="009A1DC1"/>
    <w:rsid w:val="009B4973"/>
    <w:rsid w:val="009C46AC"/>
    <w:rsid w:val="00A05EFD"/>
    <w:rsid w:val="00A129FD"/>
    <w:rsid w:val="00B603B8"/>
    <w:rsid w:val="00CD64E9"/>
    <w:rsid w:val="00CE2386"/>
    <w:rsid w:val="00D96456"/>
    <w:rsid w:val="00EC1550"/>
    <w:rsid w:val="00ED57B0"/>
    <w:rsid w:val="00F640AE"/>
    <w:rsid w:val="00F729A4"/>
    <w:rsid w:val="00FD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442BE1B-B3E7-4C3F-B4D5-558A9B29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B38"/>
    <w:rPr>
      <w:color w:val="0000FF" w:themeColor="hyperlink"/>
      <w:u w:val="single"/>
    </w:rPr>
  </w:style>
  <w:style w:type="character" w:styleId="FollowedHyperlink">
    <w:name w:val="FollowedHyperlink"/>
    <w:basedOn w:val="DefaultParagraphFont"/>
    <w:uiPriority w:val="99"/>
    <w:semiHidden/>
    <w:unhideWhenUsed/>
    <w:rsid w:val="00827B38"/>
    <w:rPr>
      <w:color w:val="800080" w:themeColor="followedHyperlink"/>
      <w:u w:val="single"/>
    </w:rPr>
  </w:style>
  <w:style w:type="paragraph" w:styleId="ListParagraph">
    <w:name w:val="List Paragraph"/>
    <w:basedOn w:val="Normal"/>
    <w:uiPriority w:val="34"/>
    <w:qFormat/>
    <w:rsid w:val="000B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SARH</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Joseph D. Stipe</cp:lastModifiedBy>
  <cp:revision>6</cp:revision>
  <cp:lastPrinted>2012-01-17T20:30:00Z</cp:lastPrinted>
  <dcterms:created xsi:type="dcterms:W3CDTF">2019-02-07T16:41:00Z</dcterms:created>
  <dcterms:modified xsi:type="dcterms:W3CDTF">2022-08-23T13:54:00Z</dcterms:modified>
</cp:coreProperties>
</file>